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-183515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4" w:lineRule="exact"/>
        <w:rPr>
          <w:sz w:val="24"/>
          <w:szCs w:val="24"/>
          <w:color w:val="auto"/>
        </w:rPr>
      </w:pPr>
    </w:p>
    <w:p>
      <w:pPr>
        <w:ind w:left="3660" w:right="1540" w:hanging="3652"/>
        <w:spacing w:after="0" w:line="286" w:lineRule="auto"/>
        <w:tabs>
          <w:tab w:leader="none" w:pos="51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-283845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3" w:lineRule="exact"/>
        <w:rPr>
          <w:sz w:val="24"/>
          <w:szCs w:val="24"/>
          <w:color w:val="auto"/>
        </w:rPr>
      </w:pPr>
    </w:p>
    <w:tbl>
      <w:tblPr>
        <w:tblLayout w:type="fixed"/>
        <w:tblInd w:w="1280" w:type="dxa"/>
        <w:tblCellMar>
          <w:top w:w="0" w:type="dxa"/>
          <w:left w:w="0" w:type="dxa"/>
          <w:bottom w:w="0" w:type="dxa"/>
          <w:right w:w="0" w:type="dxa"/>
        </w:tblCellMar>
      </w:tblPr>
      <w:tr>
        <w:trPr>
          <w:trHeight w:val="214"/>
        </w:trPr>
        <w:tc>
          <w:tcPr>
            <w:tcW w:w="47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7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76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7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9"/>
              </w:rPr>
              <w:t>77 Sir John Rogerson’s Quay, Block C,</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14"/>
        </w:trPr>
        <w:tc>
          <w:tcPr>
            <w:tcW w:w="47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rPr>
              <w:t>Grand Canal Docklands</w:t>
            </w:r>
          </w:p>
        </w:tc>
        <w:tc>
          <w:tcPr>
            <w:tcW w:w="3120" w:type="dxa"/>
            <w:vAlign w:val="bottom"/>
          </w:tcPr>
          <w:p>
            <w:pPr>
              <w:spacing w:after="0"/>
              <w:rPr>
                <w:sz w:val="18"/>
                <w:szCs w:val="18"/>
                <w:color w:val="auto"/>
              </w:rPr>
            </w:pPr>
          </w:p>
        </w:tc>
      </w:tr>
      <w:tr>
        <w:trPr>
          <w:trHeight w:val="190"/>
        </w:trPr>
        <w:tc>
          <w:tcPr>
            <w:tcW w:w="47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09"/>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 representing the</w:t>
            </w:r>
          </w:p>
        </w:tc>
        <w:tc>
          <w:tcPr>
            <w:tcW w:w="22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r>
      <w:tr>
        <w:trPr>
          <w:trHeight w:val="210"/>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right to receive one (1) Ordinary Share of Amarin Corporation plc</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AMRN</w:t>
            </w:r>
          </w:p>
        </w:tc>
        <w:tc>
          <w:tcPr>
            <w:tcW w:w="4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76"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5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388,829,403 common shares were outstanding as of October 30, 2020, including 388,629,254 shares held as American Depositary Shares (ADSs), each representing one Ordinary Share, 50 pence par value per share and 200,149 Ordinary Shares. In addition, 2,385,078 ordinary share equivalents were issuable in exchange for outstanding preferred shares as of October 30, 2020, for a total of 391,214,481 ordinary shares and ordinary share equivalents outstanding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9"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gridSpan w:val="2"/>
          </w:tcPr>
          <w:p>
            <w:pPr>
              <w:jc w:val="center"/>
              <w:ind w:right="640"/>
              <w:spacing w:after="0"/>
              <w:rPr>
                <w:rFonts w:ascii="Times New Roman" w:cs="Times New Roman" w:eastAsia="Times New Roman" w:hAnsi="Times New Roman"/>
                <w:sz w:val="18"/>
                <w:szCs w:val="18"/>
                <w:b w:val="1"/>
                <w:bCs w:val="1"/>
                <w:u w:val="single" w:color="auto"/>
                <w:color w:val="0000EE"/>
                <w:w w:val="98"/>
              </w:rPr>
            </w:pPr>
            <w:hyperlink w:anchor="page3">
              <w:r>
                <w:rPr>
                  <w:rFonts w:ascii="Times New Roman" w:cs="Times New Roman" w:eastAsia="Times New Roman" w:hAnsi="Times New Roman"/>
                  <w:sz w:val="18"/>
                  <w:szCs w:val="18"/>
                  <w:b w:val="1"/>
                  <w:bCs w:val="1"/>
                  <w:u w:val="single" w:color="auto"/>
                  <w:color w:val="0000EE"/>
                  <w:w w:val="98"/>
                </w:rPr>
                <w:t>PART I – Financial Information</w:t>
              </w:r>
            </w:hyperlink>
          </w:p>
        </w:tc>
        <w:tc>
          <w:tcPr>
            <w:tcW w:w="1000" w:type="dxa"/>
            <w:vAlign w:val="bottom"/>
          </w:tcPr>
          <w:p>
            <w:pPr>
              <w:spacing w:after="0"/>
              <w:rPr>
                <w:sz w:val="24"/>
                <w:szCs w:val="24"/>
                <w:color w:val="auto"/>
              </w:rPr>
            </w:pPr>
          </w:p>
        </w:tc>
      </w:tr>
      <w:tr>
        <w:trPr>
          <w:trHeight w:val="31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280" w:type="dxa"/>
            <w:vAlign w:val="bottom"/>
          </w:tcPr>
          <w:p>
            <w:pPr>
              <w:spacing w:after="0"/>
              <w:rPr>
                <w:sz w:val="18"/>
                <w:szCs w:val="18"/>
                <w:color w:val="auto"/>
              </w:rPr>
            </w:pP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 for the three and nine months ended September 30, 2020 and 2019</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4"/>
        </w:trPr>
        <w:tc>
          <w:tcPr>
            <w:tcW w:w="1280" w:type="dxa"/>
            <w:vAlign w:val="bottom"/>
          </w:tcPr>
          <w:p>
            <w:pPr>
              <w:spacing w:after="0"/>
              <w:rPr>
                <w:sz w:val="16"/>
                <w:szCs w:val="16"/>
                <w:color w:val="auto"/>
              </w:rPr>
            </w:pPr>
          </w:p>
        </w:tc>
        <w:tc>
          <w:tcPr>
            <w:tcW w:w="8960" w:type="dxa"/>
            <w:vAlign w:val="bottom"/>
            <w:gridSpan w:val="4"/>
          </w:tcPr>
          <w:p>
            <w:pPr>
              <w:spacing w:after="0" w:line="194"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Changes in Stockholders’ Equity for the nine months ended September 30, 2020 and</w:t>
              </w:r>
            </w:hyperlink>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8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2019</w:t>
              </w:r>
            </w:hyperlink>
          </w:p>
        </w:tc>
        <w:tc>
          <w:tcPr>
            <w:tcW w:w="83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8"/>
        </w:trPr>
        <w:tc>
          <w:tcPr>
            <w:tcW w:w="1280" w:type="dxa"/>
            <w:vAlign w:val="bottom"/>
          </w:tcPr>
          <w:p>
            <w:pPr>
              <w:spacing w:after="0"/>
              <w:rPr>
                <w:sz w:val="18"/>
                <w:szCs w:val="18"/>
                <w:color w:val="auto"/>
              </w:rPr>
            </w:pP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for the nine months ended September 30, 2020 and 2019</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80" w:type="dxa"/>
            <w:vAlign w:val="bottom"/>
          </w:tcPr>
          <w:p>
            <w:pPr>
              <w:spacing w:after="0"/>
              <w:rPr>
                <w:sz w:val="18"/>
                <w:szCs w:val="18"/>
                <w:color w:val="auto"/>
              </w:rPr>
            </w:pP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Consolidated Financial Statements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Controls and Procedures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46"/>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gridSpan w:val="2"/>
          </w:tcPr>
          <w:p>
            <w:pPr>
              <w:jc w:val="center"/>
              <w:ind w:right="660"/>
              <w:spacing w:after="0"/>
              <w:rPr>
                <w:rFonts w:ascii="Times New Roman" w:cs="Times New Roman" w:eastAsia="Times New Roman" w:hAnsi="Times New Roman"/>
                <w:sz w:val="18"/>
                <w:szCs w:val="18"/>
                <w:b w:val="1"/>
                <w:bCs w:val="1"/>
                <w:u w:val="single" w:color="auto"/>
                <w:color w:val="0000EE"/>
                <w:w w:val="99"/>
              </w:rPr>
            </w:pPr>
            <w:hyperlink w:anchor="page45">
              <w:r>
                <w:rPr>
                  <w:rFonts w:ascii="Times New Roman" w:cs="Times New Roman" w:eastAsia="Times New Roman" w:hAnsi="Times New Roman"/>
                  <w:sz w:val="18"/>
                  <w:szCs w:val="18"/>
                  <w:b w:val="1"/>
                  <w:bCs w:val="1"/>
                  <w:u w:val="single" w:color="auto"/>
                  <w:color w:val="0000EE"/>
                  <w:w w:val="99"/>
                </w:rPr>
                <w:t>PART II – Other Information</w:t>
              </w:r>
            </w:hyperlink>
          </w:p>
        </w:tc>
        <w:tc>
          <w:tcPr>
            <w:tcW w:w="1000" w:type="dxa"/>
            <w:vAlign w:val="bottom"/>
          </w:tcPr>
          <w:p>
            <w:pPr>
              <w:spacing w:after="0"/>
              <w:rPr>
                <w:sz w:val="24"/>
                <w:szCs w:val="24"/>
                <w:color w:val="auto"/>
              </w:rPr>
            </w:pPr>
          </w:p>
        </w:tc>
      </w:tr>
      <w:tr>
        <w:trPr>
          <w:trHeight w:val="31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Legal Proceedings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Risk Factors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4"/>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Exhibits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38"/>
        </w:trPr>
        <w:tc>
          <w:tcPr>
            <w:tcW w:w="128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SIGNATURES</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648"/>
        </w:trPr>
        <w:tc>
          <w:tcPr>
            <w:tcW w:w="1280" w:type="dxa"/>
            <w:vAlign w:val="bottom"/>
          </w:tcPr>
          <w:p>
            <w:pPr>
              <w:spacing w:after="0"/>
              <w:rPr>
                <w:sz w:val="24"/>
                <w:szCs w:val="24"/>
                <w:color w:val="auto"/>
              </w:rPr>
            </w:pPr>
          </w:p>
        </w:tc>
        <w:tc>
          <w:tcPr>
            <w:tcW w:w="888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207,207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148,531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960,203</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121,366</w:t>
            </w:r>
          </w:p>
        </w:tc>
        <w:tc>
          <w:tcPr>
            <w:tcW w:w="300" w:type="dxa"/>
            <w:vAlign w:val="bottom"/>
          </w:tcPr>
          <w:p>
            <w:pPr>
              <w:spacing w:after="0"/>
              <w:rPr>
                <w:sz w:val="19"/>
                <w:szCs w:val="19"/>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from royalty-bearing instrument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326,189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A Convertible Preferred Stock, £0.05 par, unlimited authorized; 23,850,780 shares issued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outstanding as of September 30, 2020 (equivalent to 2,385,078 ordinary shares upon future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consolidation and redesignation at a 10:1 ratio) and 289,317,460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of December 31, 2019 (equivalent to 28,931,746 ordinary shares upon future consolidation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redesignation at a 10:1 ratio)</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Common stock, £0.50 par, unlimited authorized; 394,642,079 issued, 388,828,694 outstanding as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of September 30, 2020; 365,014,893 issued, 360,103,901 outstanding as of December 31, 2019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287,585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Treasury stock; 5,813,385 shares as of September 30, 2020; 4,910,992 shares as of December 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(50,728)</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(35,900)</w:t>
            </w: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(1,434,103)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(1,411,177)</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607,257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608,263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960,203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5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441,118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 net</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446,809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350,133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91,482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376,946</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378,770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378,770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800" w:type="dxa"/>
            <w:vAlign w:val="bottom"/>
            <w:gridSpan w:val="2"/>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365,014,893</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(4,910,992)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21,850</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269,173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1,764,317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(1,411,177)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608,263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412,465</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1,951,448</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(759,832)</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(13,831)</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(13,831)</w:t>
            </w:r>
          </w:p>
        </w:tc>
        <w:tc>
          <w:tcPr>
            <w:tcW w:w="0" w:type="dxa"/>
            <w:vAlign w:val="bottom"/>
          </w:tcPr>
          <w:p>
            <w:pPr>
              <w:spacing w:after="0"/>
              <w:rPr>
                <w:sz w:val="1"/>
                <w:szCs w:val="1"/>
                <w:color w:val="auto"/>
              </w:rPr>
            </w:pPr>
          </w:p>
        </w:tc>
      </w:tr>
      <w:tr>
        <w:trPr>
          <w:trHeight w:val="21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(20,553)</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(20,553)</w:t>
            </w:r>
          </w:p>
        </w:tc>
        <w:tc>
          <w:tcPr>
            <w:tcW w:w="0" w:type="dxa"/>
            <w:vAlign w:val="bottom"/>
          </w:tcPr>
          <w:p>
            <w:pPr>
              <w:spacing w:after="0"/>
              <w:rPr>
                <w:sz w:val="1"/>
                <w:szCs w:val="1"/>
                <w:color w:val="auto"/>
              </w:rPr>
            </w:pPr>
          </w:p>
        </w:tc>
      </w:tr>
      <w:tr>
        <w:trPr>
          <w:trHeight w:val="263"/>
        </w:trPr>
        <w:tc>
          <w:tcPr>
            <w:tcW w:w="1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14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367,378,806</w:t>
            </w:r>
          </w:p>
        </w:tc>
        <w:tc>
          <w:tcPr>
            <w:tcW w:w="14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(5,670,824)</w:t>
            </w:r>
          </w:p>
        </w:tc>
        <w:tc>
          <w:tcPr>
            <w:tcW w:w="1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21,850</w:t>
            </w:r>
          </w:p>
        </w:tc>
        <w:tc>
          <w:tcPr>
            <w:tcW w:w="1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270,716</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1,774,671</w:t>
            </w:r>
          </w:p>
        </w:tc>
        <w:tc>
          <w:tcPr>
            <w:tcW w:w="1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(49,731</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(1,431,730</w:t>
            </w:r>
          </w:p>
        </w:tc>
        <w:tc>
          <w:tcPr>
            <w:tcW w:w="160" w:type="dxa"/>
            <w:vAlign w:val="bottom"/>
            <w:tcBorders>
              <w:bottom w:val="single" w:sz="8" w:color="CFF0FC"/>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585,776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under employee</w:t>
            </w: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280" w:type="dxa"/>
            <w:vAlign w:val="bottom"/>
            <w:gridSpan w:val="2"/>
            <w:vMerge w:val="continue"/>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123,608</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net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(237,713,680)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23,771,368</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1"/>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148,290</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(70,971)</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1"/>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51,603,780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391,589,312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(5,741,795)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285,672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1,787,492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(50,252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(1,427,315</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602,763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net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(27,753,000)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2,775,300</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82,001</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(71,590)</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1"/>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(6,788)</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23,850,780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394,642,079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(5,813,385)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287,585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1,799,069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(1,434,103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607,257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04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20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800" w:type="dxa"/>
            <w:vAlign w:val="bottom"/>
            <w:gridSpan w:val="2"/>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329,110,863</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(3,260,850)</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$ 21,850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246,663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1,282,762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(1,388,532)</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152,330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3,838,739</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80" w:type="dxa"/>
            <w:vAlign w:val="bottom"/>
          </w:tcPr>
          <w:p>
            <w:pPr>
              <w:spacing w:after="0"/>
              <w:rPr>
                <w:sz w:val="19"/>
                <w:szCs w:val="19"/>
                <w:color w:val="auto"/>
              </w:rPr>
            </w:pPr>
          </w:p>
        </w:tc>
      </w:tr>
      <w:tr>
        <w:trPr>
          <w:trHeight w:val="211"/>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1,416,124</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(526,708)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(9,080)</w:t>
            </w: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tcPr>
          <w:p>
            <w:pPr>
              <w:spacing w:after="0"/>
              <w:rPr>
                <w:sz w:val="19"/>
                <w:szCs w:val="19"/>
                <w:color w:val="auto"/>
              </w:rPr>
            </w:pPr>
          </w:p>
        </w:tc>
      </w:tr>
      <w:tr>
        <w:trPr>
          <w:trHeight w:val="22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(24,431)</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(24,431)</w:t>
            </w:r>
          </w:p>
        </w:tc>
      </w:tr>
      <w:tr>
        <w:trPr>
          <w:trHeight w:val="263"/>
        </w:trPr>
        <w:tc>
          <w:tcPr>
            <w:tcW w:w="2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12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334,365,726</w:t>
            </w:r>
          </w:p>
        </w:tc>
        <w:tc>
          <w:tcPr>
            <w:tcW w:w="14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(3,787,558)</w:t>
            </w:r>
          </w:p>
        </w:tc>
        <w:tc>
          <w:tcPr>
            <w:tcW w:w="16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$ 21,850</w:t>
            </w: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250,088</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1,301,389</w:t>
            </w:r>
          </w:p>
        </w:tc>
        <w:tc>
          <w:tcPr>
            <w:tcW w:w="1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(19,493</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(1,412,963</w:t>
            </w:r>
          </w:p>
        </w:tc>
        <w:tc>
          <w:tcPr>
            <w:tcW w:w="160" w:type="dxa"/>
            <w:vAlign w:val="bottom"/>
            <w:tcBorders>
              <w:bottom w:val="single" w:sz="8" w:color="CFF0FC"/>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140,871</w:t>
            </w:r>
          </w:p>
        </w:tc>
        <w:tc>
          <w:tcPr>
            <w:tcW w:w="80" w:type="dxa"/>
            <w:vAlign w:val="bottom"/>
            <w:tcBorders>
              <w:bottom w:val="single" w:sz="8" w:color="CFF0FC"/>
            </w:tcBorders>
          </w:tcPr>
          <w:p>
            <w:pPr>
              <w:spacing w:after="0"/>
              <w:rPr>
                <w:sz w:val="22"/>
                <w:szCs w:val="22"/>
                <w:color w:val="auto"/>
              </w:rPr>
            </w:pPr>
          </w:p>
        </w:tc>
      </w:tr>
      <w:tr>
        <w:trPr>
          <w:trHeight w:val="192"/>
        </w:trPr>
        <w:tc>
          <w:tcPr>
            <w:tcW w:w="20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6"/>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 employee stock</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47,358</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FF0FC"/>
          </w:tcPr>
          <w:p>
            <w:pPr>
              <w:spacing w:after="0"/>
              <w:rPr>
                <w:sz w:val="20"/>
                <w:szCs w:val="20"/>
                <w:color w:val="auto"/>
              </w:rPr>
            </w:pP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619,404</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9"/>
                <w:szCs w:val="19"/>
                <w:color w:val="auto"/>
              </w:rPr>
            </w:pPr>
          </w:p>
        </w:tc>
      </w:tr>
      <w:tr>
        <w:trPr>
          <w:trHeight w:val="211"/>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116,937</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(54,057)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80" w:type="dxa"/>
            <w:vAlign w:val="bottom"/>
          </w:tcPr>
          <w:p>
            <w:pPr>
              <w:spacing w:after="0"/>
              <w:rPr>
                <w:sz w:val="19"/>
                <w:szCs w:val="19"/>
                <w:color w:val="auto"/>
              </w:rPr>
            </w:pPr>
          </w:p>
        </w:tc>
      </w:tr>
      <w:tr>
        <w:trPr>
          <w:trHeight w:val="230"/>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(1,820)</w:t>
            </w:r>
          </w:p>
        </w:tc>
      </w:tr>
      <w:tr>
        <w:trPr>
          <w:trHeight w:val="263"/>
        </w:trPr>
        <w:tc>
          <w:tcPr>
            <w:tcW w:w="2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12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335,149,425</w:t>
            </w:r>
          </w:p>
        </w:tc>
        <w:tc>
          <w:tcPr>
            <w:tcW w:w="14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(3,841,615)</w:t>
            </w:r>
          </w:p>
        </w:tc>
        <w:tc>
          <w:tcPr>
            <w:tcW w:w="16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$ 21,850</w:t>
            </w: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250,588</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1,311,965</w:t>
            </w:r>
          </w:p>
        </w:tc>
        <w:tc>
          <w:tcPr>
            <w:tcW w:w="1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(20,533</w:t>
            </w:r>
          </w:p>
        </w:tc>
        <w:tc>
          <w:tcPr>
            <w:tcW w:w="140" w:type="dxa"/>
            <w:vAlign w:val="bottom"/>
            <w:tcBorders>
              <w:bottom w:val="single" w:sz="8" w:color="CFF0FC"/>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(1,414,783</w:t>
            </w:r>
          </w:p>
        </w:tc>
        <w:tc>
          <w:tcPr>
            <w:tcW w:w="160" w:type="dxa"/>
            <w:vAlign w:val="bottom"/>
            <w:tcBorders>
              <w:bottom w:val="single" w:sz="8" w:color="CFF0FC"/>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149,087</w:t>
            </w:r>
          </w:p>
        </w:tc>
        <w:tc>
          <w:tcPr>
            <w:tcW w:w="80" w:type="dxa"/>
            <w:vAlign w:val="bottom"/>
            <w:tcBorders>
              <w:bottom w:val="single" w:sz="8" w:color="CFF0FC"/>
            </w:tcBorders>
          </w:tcPr>
          <w:p>
            <w:pPr>
              <w:spacing w:after="0"/>
              <w:rPr>
                <w:sz w:val="22"/>
                <w:szCs w:val="22"/>
                <w:color w:val="auto"/>
              </w:rPr>
            </w:pPr>
          </w:p>
        </w:tc>
      </w:tr>
      <w:tr>
        <w:trPr>
          <w:trHeight w:val="192"/>
        </w:trPr>
        <w:tc>
          <w:tcPr>
            <w:tcW w:w="20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Issuance of common</w:t>
            </w: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6"/>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net of transaction</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25,555,556</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424,229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440,108</w:t>
            </w:r>
          </w:p>
        </w:tc>
        <w:tc>
          <w:tcPr>
            <w:tcW w:w="80" w:type="dxa"/>
            <w:vAlign w:val="bottom"/>
            <w:shd w:val="clear" w:color="auto" w:fill="CFF0FC"/>
          </w:tcPr>
          <w:p>
            <w:pPr>
              <w:spacing w:after="0"/>
              <w:rPr>
                <w:sz w:val="20"/>
                <w:szCs w:val="20"/>
                <w:color w:val="auto"/>
              </w:rPr>
            </w:pP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663,964</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19"/>
                <w:szCs w:val="19"/>
                <w:color w:val="auto"/>
              </w:rPr>
            </w:pPr>
          </w:p>
        </w:tc>
      </w:tr>
      <w:tr>
        <w:trPr>
          <w:trHeight w:val="22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80" w:type="dxa"/>
            <w:vAlign w:val="bottom"/>
            <w:shd w:val="clear" w:color="auto" w:fill="CFF0FC"/>
          </w:tcPr>
          <w:p>
            <w:pPr>
              <w:spacing w:after="0"/>
              <w:rPr>
                <w:sz w:val="19"/>
                <w:szCs w:val="19"/>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(3,462)</w:t>
            </w: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w:t>
            </w:r>
          </w:p>
        </w:tc>
      </w:tr>
      <w:tr>
        <w:trPr>
          <w:trHeight w:val="223"/>
        </w:trPr>
        <w:tc>
          <w:tcPr>
            <w:tcW w:w="2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289,317,460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361,368,945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(3,841,615)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$ 21,850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266,878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1,745,946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(20,533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(1,418,245</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595,896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(22,926)</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(29,713)</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provided by (used in) operating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investments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(37,060)</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(71,762)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(9,914)</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receivable</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 and maturities of securities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securities</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furniture, fixtures and equipment</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 of transaction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transaction costs for conversion of preferred stock</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on debt from royalty-bearing instrument</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(40,916)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(21,441)</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(DECREASE) INCREASE IN CASH AND CASH EQUIVALENTS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(437,373)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648,495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211,122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677,111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320" w:hanging="512"/>
        <w:spacing w:after="0" w:line="378" w:lineRule="auto"/>
        <w:tabs>
          <w:tab w:leader="none" w:pos="51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u w:val="single" w:color="auto"/>
          <w:color w:val="auto"/>
        </w:rPr>
        <w:t>Nature of Business</w:t>
      </w:r>
    </w:p>
    <w:p>
      <w:pPr>
        <w:ind w:right="200"/>
        <w:spacing w:after="0" w:line="282"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health and reduce cardiovascular risk.</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was first approved by the U.S. Food and Drug Administration, or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On December 13, 2019, the FDA approved a new indication and label expansion for VASCEPA based on the landmark results of our long-term cardiovascular outcomes trial, REDUCE-IT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FDA as an adjunct to maximally tolerated statin therapy for reducing persistent cardiovascular risk in select high risk patients. VASCEPA is available in the United States, or the U.S., by prescription only. In January 2013, the Company began selling and marketing 1-gram size VASCEPA capsules in the United States, and in October 2016, introduced a smaller 0.5-gram capsule size. VASCEPA is also available for sale by prescription only in Canada, Lebanon and the United Arab Emirates through collaborations and is also in development in other jurisdictions. In Europe, the Company is preparing to self-launch VASCEPA following, and pursuant to, regulatory approval, although it may engage commercialization partners for certain smaller markets in Europe. Regulatory approval in the European Union is subject to an approval recommendation by the European Medicines Agency, or EMA, which is expected in early 2021 and associated European Community, or EC, approval expected promptly thereafter with launch timing in individual countries in Europe gated by timing of achieving product reimbursement on a country-by-country basis as is typical for new drugs.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since inception, has devoted substantial resources to research and development efforts, most significantly, the development and conduct of REDUCE-IT. The Company announced topline results from REDUCE-IT on September 24, 2018. On November 10, 2018, the Company presented primary results of REDUCE-IT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the Company publicly presented the total cardiovascular events results, and the method of calculating such events, of the REDUCE-IT study at the American College of Cardiology’s, or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and such results and methods were concurrently published in the </w:t>
      </w:r>
      <w:r>
        <w:rPr>
          <w:rFonts w:ascii="Times New Roman" w:cs="Times New Roman" w:eastAsia="Times New Roman" w:hAnsi="Times New Roman"/>
          <w:sz w:val="18"/>
          <w:szCs w:val="18"/>
          <w:i w:val="1"/>
          <w:iCs w:val="1"/>
          <w:color w:val="auto"/>
        </w:rPr>
        <w:t>Journal of the American College of Cardiology.</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granted Priority Review designation to the Company’s March 2019 supplemental new drug application, or sNDA, seeking an expanded indication for VASCEPA in the United States based on the positive results of the REDUCE-IT study. In November 2019, the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Reflecting the robust results of the clinical development program for VASCEPA, no additional post-approval clinical study or other special post-approval requirement (as often seen with other drug approvals) was requested by the FDA in conjunction with its approval of VASCEPA.</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Prior to the REDUCE-IT results topline announcement in September 2018, the Company’s commercialization of VASCEPA was somewhat limited. Subsequent to learning the positive cardiovascular outcomes results of the REDUCE-IT study, the Company increased its promotional efforts. Based on the positive REDUCE-IT results, in early 2019, the Company increased the size of its direct sales force to approximately 440 sales professionals, including approximately 400 sales representatives. As a result of the FDA’s approved indication and label expansion in December 2019, in early 2020 the Company completed the expansion of its direct sales force to approximately 900 sales professionals, including approximately 800 sales representatives. In addition to promotion of VASCEPA in the United States, based on REDUCE-IT, the Company has increased focus on expansion of the Company’s development efforts for VASCEPA to major markets outside the United States. The Company currently has strategic collaborations to develop and commercialize VASCEPA in select territories outside the United States. The Company operates in one business segment.</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On March 30, 2020, the United States District Court for the District of Nevada, or the Nevada Court, ruled in favor of two generics companies in Amarin’s patent litigation related to its abbreviated new drug applications, or ANDAs, that seek FDA approval for sale of generic versions of VASCEPA for the original indication of VASCEPA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500 mg/dL) hypertriglyceridemia. On May 22, 2020 and August 10, 2020, the two generics companies, Hikma Pharmaceutical USA Inc., or Hikma, and Dr. Reddy’s Laboratories, Inc., or Dr. Reddy’s, respectively, received FDA approval to market its generic versions of VASCEPA. On September 3, 2020, the U.S. Court of Appeals for the Federal Circuit, or the Federal Circuit, upheld the March ruling by the Nevada Court in favor of the two generics companies. On October 2, 2020, the Company filed a combined petition for panel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4, 2020, our rehearing and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petitions were denied. Amarin plans to file a writ of certiorari within 90 days of such denial to ask the United States Supreme Court to hear our appeal. Amarin intends to vigorously pursue this matter, but cannot predict the outcome. To date, Hikma and Dr. Reddy’s have not launched generic versions of VASCEPA, although, following the outcome of the appeal trial on September 3, 2020, Hikma announced it is working towards a launch.</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In Europe, ten to eleven years of market protection is anticipated due to regulatory exclusivity in the European Union subject to an approval recommendation by the EMA and associated EC approval, in addition to pending patent protection that could extend into 2039.</w:t>
      </w:r>
    </w:p>
    <w:p>
      <w:pPr>
        <w:spacing w:after="0" w:line="19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product is sold, including in Canada, China, Lebanon and the United Arab Emirates where the drug is promoted and sold via collaboration with third-party companies that compensate Amarin for such supply. We are not responsible for providing any generic company with drug product.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color w:val="auto"/>
        </w:rPr>
        <w:t>The condensed consolidated financial statements included herein have been prepared by the Company, without audit,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2019, or the 2019 Form 10-K, filed with the SEC. The balance sheet amounts at December 31, 2019 in this report were derived from the Company’s audited 2019 consolidated financial statements included in the 2019 Form 10-K.</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2020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2020, the Company had Total assets of $960.2 million, of which $608.0 million consisted of cash and liquid short-term and long-term investments. More specifically, the Company had Current assets of $888.5 million, including Cash and cash equivalents of $207.2 million, Short-term investments of $354.7 million, Accounts receivable, net, of $147.3 million and Inventory of $148.5 million. In addition, as of September 30, 2020, the Company has Long-term investments of $46.1 million. The Company’s condensed consolidated balance sheets also include a $9.5 million liability under its royalty-bearing instrument which amount, when paid during the fourth quarter of 2020, will be the final payment under such instrument and an end to the quarterly installments</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400"/>
        <w:spacing w:after="0" w:line="282" w:lineRule="auto"/>
        <w:rPr>
          <w:sz w:val="20"/>
          <w:szCs w:val="20"/>
          <w:color w:val="auto"/>
        </w:rPr>
      </w:pPr>
      <w:r>
        <w:rPr>
          <w:rFonts w:ascii="Times New Roman" w:cs="Times New Roman" w:eastAsia="Times New Roman" w:hAnsi="Times New Roman"/>
          <w:sz w:val="18"/>
          <w:szCs w:val="18"/>
          <w:color w:val="auto"/>
        </w:rPr>
        <w:t>calculated as 10% of quarterly VASCEPA net revenues which the Company has incurred since the product was launched in 2013. As of September 30, 2020, the Company had no other debt outstanding.</w:t>
      </w:r>
    </w:p>
    <w:p>
      <w:pPr>
        <w:spacing w:after="0" w:line="200" w:lineRule="exact"/>
        <w:rPr>
          <w:sz w:val="20"/>
          <w:szCs w:val="20"/>
          <w:color w:val="auto"/>
        </w:rPr>
      </w:pPr>
    </w:p>
    <w:p>
      <w:pPr>
        <w:spacing w:after="0" w:line="28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9—Revenue Recognition.</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223,579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(29,261)</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(12,273)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samples when they are packaged. The average cost reflects the actual purchase price of VASCEPA active pharmaceutical ingredient, or API.</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income tax provision, as applicable.</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7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The IRS began an examination of the Company’s 2018 U.S. income tax return in the first quarter of 2020. Although the outcome of tax audits is always uncertain and could result in significant cash tax payments, the Company does not believe the outcome of this audit will have a material adverse effect on its consolidated financial position or results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outstanding reflects the dilutive effect, if any, of potentially dilutive common shares, such as common stock options calculated using the treasury stock method and convertible preferred stock using the “if-converted” method. In periods with reported net operating losses, all common stock options are deemed anti-dilutive such that basic net loss per share and diluted net loss per share are equal.</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in a net loss position for all periods presented and is therefore not required to present the two-class method, however, in the event the Company is in a net income position, the two-class method must be applied for this period by allocating all earnings during the period to common shares and preferred stock based on their contractual entitlements assuming all earnings are distributed.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are as follows:</w:t>
      </w:r>
    </w:p>
    <w:p>
      <w:pPr>
        <w:spacing w:after="0" w:line="281"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4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5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3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the following potentially dilutive securities were not included in the computation of net loss per share because the effect would be anti-dilutive or because performance criteria were not yet met for awards contingent upon such measures: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vMerge w:val="continue"/>
          </w:tcPr>
          <w:p>
            <w:pPr>
              <w:spacing w:after="0"/>
              <w:rPr>
                <w:sz w:val="13"/>
                <w:szCs w:val="13"/>
                <w:color w:val="auto"/>
              </w:rPr>
            </w:pPr>
          </w:p>
        </w:tc>
        <w:tc>
          <w:tcPr>
            <w:tcW w:w="118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if converted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25%, 37%, and 30%, respectively, of gross product sales for the nine months ended September 30, 2020, and represented 37%, 32%, and 25%, respectively, of the gross accounts receivable balance as of September 30, 2020. Customers A, B, and C accounted for 25%, 36%, and 29%, respectively, of gross product sales for the nine months ended September 30, 2019 and represented 42%, 23%, and 28%, respectively, of the gross accounts receivable balance as of September 30, 2019.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the Company’s specifications or that these and any future suppliers will have the manufacturing capacity to meet anticipated demand for VASCEPA.</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 w:name="page13"/>
    <w:bookmarkEnd w:id="12"/>
    <w:p>
      <w:pPr>
        <w:ind w:right="82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September 30, 2020 and December 31, 2019 and indicate the fair value hierarchy of the valuation techniques the Company utilized to determine such fair value: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3"/>
                <w:szCs w:val="13"/>
                <w:color w:val="auto"/>
              </w:rPr>
            </w:pPr>
          </w:p>
        </w:tc>
        <w:tc>
          <w:tcPr>
            <w:tcW w:w="160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81,714</w:t>
            </w:r>
          </w:p>
        </w:tc>
        <w:tc>
          <w:tcPr>
            <w:tcW w:w="28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493,278</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141,673</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351,605</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3"/>
                <w:szCs w:val="13"/>
                <w:color w:val="auto"/>
              </w:rPr>
            </w:pPr>
          </w:p>
        </w:tc>
        <w:tc>
          <w:tcPr>
            <w:tcW w:w="160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8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consists of cash, deposits with banks and short-term highly liquid money market instruments with remaining maturities at the date of the purchase of 90 days or less.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twelve months are included in short-term investments on its condensed consolidated balance sheet. Those with remaining maturities in excess of twelve months are included in long-term investments on its condensed consolidated balance sheet.</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Interest on investments is reported in interest income. The unrealized gain for the nine months ended September 30, 2020 and 2019 was $0.9 million and nil, respectively.</w:t>
      </w:r>
    </w:p>
    <w:p>
      <w:pPr>
        <w:spacing w:after="0" w:line="22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 The carrying amounts and the estimated fair values of debt from royalty-bearing instrument as of September 30, 2020 and December 31, 2019 are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5"/>
                <w:szCs w:val="15"/>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1"/>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from royalty-bearing instrument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debt from royalty-bearing instrument is calculated utilizing the same Level 3 inputs utilized in valuing the related derivative liability (see Derivative Liabilities below). The carrying value of the debt from royalty-bearing instrument is net of the unamortized debt discounts and issuance costs as of both September 30, 2020 and December 31, 2019. The carrying value of the debt from the royalty-bearing instrument as of September 30, 2020 approximates fair value because the instrument will be paid in full in the fourth quarter of 2020.</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Liabilities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ind w:right="320"/>
        <w:spacing w:after="0" w:line="282" w:lineRule="auto"/>
        <w:rPr>
          <w:sz w:val="20"/>
          <w:szCs w:val="20"/>
          <w:color w:val="auto"/>
        </w:rPr>
      </w:pPr>
      <w:r>
        <w:rPr>
          <w:rFonts w:ascii="Times New Roman" w:cs="Times New Roman" w:eastAsia="Times New Roman" w:hAnsi="Times New Roman"/>
          <w:sz w:val="18"/>
          <w:szCs w:val="18"/>
          <w:color w:val="auto"/>
        </w:rPr>
        <w:t>shares to discharge the liability, the derivative financial liability is derecognized and common stock and additional paid-in capital are recognized on the issuance of those shares.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Debt Redemption Feature</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Company’s December 2012 royalty-bearing instrument financing arrangement (discussed in Note 5—Debt) is scheduled to be fully repaid in the fourth quarter of 2020. Accounting for this instrument since its inception in 2012 has included reporting of an embedded derivative reflect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September 30, 2020, the fair value of the derivative was determined to be nil, and the debt was valued by comparing debt issues of similar companies with</w:t>
      </w:r>
    </w:p>
    <w:p>
      <w:pPr>
        <w:spacing w:after="0" w:line="5" w:lineRule="exact"/>
        <w:rPr>
          <w:sz w:val="20"/>
          <w:szCs w:val="20"/>
          <w:color w:val="auto"/>
        </w:rPr>
      </w:pPr>
    </w:p>
    <w:p>
      <w:pPr>
        <w:ind w:right="60"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terms of between 1.2 and 6.5 years, (ii) coupon rates of between 6.0% and 11.5% and (iii) market yields of between 5.4% and 16.4%. As of December 31, 2019, the fair value of the derivative was determined to be nil based on underlying assumptions, and the debt was valued by comparing debt issues of similar companies with (i) remaining terms of between 1.9 and 7.3 years, (ii) coupon rates of between 6.0% and 11.5% and (iii) market yields of between 5.2% and 16.8%. As such, the Company recognized no gain or loss on change in fair value of derivative liability for the nine months ended September 30, 2020 and 2019.</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changes in the assumptions used to value the derivative liability, including the probability of a change in control, could potentially result in a change to the carrying value of such liability. Because the remaining amount due from this royalty-bearing instrument is fixed and will be fully paid in the fourth quarter of 2020, any change in the value of this derivative liability will not have any impact on the Company’s aggregate cash payment obligation from this instrument regardless of any potential change in the carrying value of such liability.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which clarified that in collaborative arrangements where the counterparty is a customer for a good or service that is a distinct unit of account is required to be accounted for under ASC 606. The Company adopted this standard effective January 1, 2020, which did not have an impact on the Company’s condensed consolidated financial statements.</w:t>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eliminates, adds and modifies certain disclosure requirements for fair value measurements,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the requirement to disclose the amount of and reasons for transfers between Level 1 and Level 2 of the fair value hierarchy, and requiring disclosure of the range and weighted average used to develop significant unobservable inputs for Level 3 fair value measurements. The Company adopted this standard effective January 1, 2020, which did not have a material impact on the Company’s condensed consolidated financial statements.</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The Company adopted this standard effective January 1, 2020, which did not have a material impact on the Company’s condensed consolidated financial statements.</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Company also considered the following recent accounting pronouncement which was not yet adopted as of September 30, 2020:</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new guidance is effective for fiscal years beginning after December 15, 2020, including interim periods within those fiscal years. Early adoption of all amendments in the same period is permitted. The Company is currently evaluating the impact that this standard will have on the Company’s condensed consolidated financial statements.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condensed consolidated financial position, results of operations, and cash flows, or do not apply to the Company’s operations.</w:t>
      </w:r>
    </w:p>
    <w:p>
      <w:pPr>
        <w:spacing w:after="0" w:line="26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Intangible asset consists of the historical acquisition cost of certain technology rights for VASCEPA. Upon approval by FDA on December 13, 2019 of a new indication of VASCEPA, a milestone for £5 million was achieved, which resulted in the Intangible asset increasing by $8.5 million. The Intangible asset has an estimated weighted-average remaining useful life of 9.8 years. The carrying value as of September 30, 2020 and December 31, 2019 is as follows:</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FDA. Inventories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December 31, 2019 consist of the following:</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CFF0FC"/>
            </w:tcBorders>
            <w:vMerge w:val="continue"/>
          </w:tcPr>
          <w:p>
            <w:pPr>
              <w:spacing w:after="0"/>
              <w:rPr>
                <w:sz w:val="15"/>
                <w:szCs w:val="15"/>
                <w:color w:val="auto"/>
              </w:rPr>
            </w:pPr>
          </w:p>
        </w:tc>
        <w:tc>
          <w:tcPr>
            <w:tcW w:w="2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from Royalty-Bearing Instrument—December 2012 Financing</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2020, the remaining amount to be repaid to CPPIB is $9.6 million, which includes $0.1 million of interest. During the three and nine months ended September 30, 2020 , the Company made repayments under the agreement of $13.4 million and $42.8 million, respectively, to CPPIB and the remaining $9.6 million is scheduled to be paid in November 2020 for the third quarter of 2020, which will be the final payment on the debt. Previously, these payments, were calculated as 10% of VASCEPA net product revenues. All such payments reduced the remainder of the $150.0 million in aggregate payments to CPPIB. Except upon a change of control in Amarin, the agreement does not expire until $150.0 million in aggregate has been repaid, which will be fully repaid during the fourth quarter of 2020.</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nine months ended September 30, 2020 and 2019.</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2020 and December 31, 2019, the carrying value of the royalty-bearing instrument, net of the unamortized debt discount and issuance costs, was $9.4 million and $49.7 million, respectively. During the nine months ended September 30, 2020, the Company recorded cash and non-cash interest expense of $1.5 million and $0.6 million, respectively, in connection with the royalty-bearing instrument. During the nine months ended September 30, 2019, the Company recorded $3.4 million and $1.3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8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7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Under the agreement, the Company is restricted from paying dividends on its common shares, unless it has cash and cash equivalents in excess of a specified amount after such payment.</w:t>
      </w:r>
    </w:p>
    <w:p>
      <w:pPr>
        <w:spacing w:after="0" w:line="266" w:lineRule="exact"/>
        <w:rPr>
          <w:sz w:val="20"/>
          <w:szCs w:val="20"/>
          <w:color w:val="auto"/>
        </w:rPr>
      </w:pPr>
    </w:p>
    <w:p>
      <w:pPr>
        <w:ind w:left="520" w:right="8160" w:hanging="512"/>
        <w:spacing w:after="0" w:line="378" w:lineRule="auto"/>
        <w:tabs>
          <w:tab w:leader="none" w:pos="51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u w:val="single" w:color="auto"/>
          <w:color w:val="auto"/>
        </w:rPr>
        <w:t>Litigation</w:t>
      </w: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lawsuits, claims, investigations, proceedings, and threats of litigation relating to intellectual property, commercial arrangements and other matters. Refer to Item 1 Legal Proceedings of this Quarterly Report on Form 10-Q below for a discussion of the Company’s current legal proceedings.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supply agreements, there is a total of approximately $164.7 million that is potentially payable over the term of such agreements based on minimum purchase obligations. The Company continues to meet its contractual purchase obligations.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2004 share repurchase agreement with Laxdale Limited or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$9.7 million as of September 30, 2020). Also under the Laxdale agreement, upon receipt of a marketing approval in Europe for a further indication of VASCEPA (or further indication of any other product using Amarin Neuroscience Limited intellectual property), the Company must make an aggregate stock or cash payment</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(at the sole option of each of the sellers) of £5 million (approximately $6.4 million as of September 30, 2020) for the potential market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 obligations above since the amounts are either not paid or payable as of September 30, 2020.</w:t>
      </w:r>
    </w:p>
    <w:p>
      <w:pPr>
        <w:spacing w:after="0" w:line="329" w:lineRule="exact"/>
        <w:rPr>
          <w:sz w:val="20"/>
          <w:szCs w:val="20"/>
          <w:color w:val="auto"/>
        </w:rPr>
      </w:pPr>
    </w:p>
    <w:p>
      <w:pPr>
        <w:ind w:left="520" w:right="9580" w:hanging="512"/>
        <w:spacing w:after="0" w:line="400" w:lineRule="auto"/>
        <w:tabs>
          <w:tab w:leader="none" w:pos="51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i w:val="1"/>
          <w:iCs w:val="1"/>
          <w:u w:val="single" w:color="auto"/>
          <w:color w:val="auto"/>
        </w:rPr>
        <w:t>Preferred Stock</w:t>
      </w: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5, 2015, the Company entered into a subscription agreement with four institutional investors, or the Purchasers, including both existing and new investors, for the private placement of 352,150,790 restricted American Depositary Shares, each representing one (1) share of Amarin’s Series A Convertible Preference Shares, par value £0.05 per share, in the capital of the Company, or Series A Preference Shares, resulting in gross proceeds to the Company of $52.8 million. The closing of the private placement occurred on March 30, 2015.</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ten (10) Series A Preference Shares may be consolidated and redesignated as one (1) ordinary share, par value £0.50 per share, in the capital of the Company, each ordinary share to be represented by American Depositary Shares, or ADSs, provided that consolidation will be prohibited if, as a result, the holder of such Series A Preference Shares and its affiliates would beneficially own more than 9.9% (increased from 4.99% effective March 2020) of the total number of Amarin ordinary shares or ADSs outstanding following such redesignation, or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w:t>
      </w:r>
    </w:p>
    <w:p>
      <w:pPr>
        <w:spacing w:after="0" w:line="1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and Series A Preference Shares were sold in a transaction exempt from the registration requirements under the Securities Act of 1933, as amended, or the Securities Act. The Company filed a registration statement with the SEC covering the resale of the restricted American Depositary Shares and the ADSs representing ordinary shares created by the consolidation and redesignation of the Series A Preference Shares, or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April 2020, at the request of certain holders, 237,713,680 Series A Preference Shares were consolidated and redesignated, resulting in the issuance of 23,771,368 ordinary shares. During July 2020, at the request of certain holders, 27,753,000 Series A Preference Shares were consolidated and redesignated, resulting in the issuance of 2,775,300 ordinary shares. As of September 30, 2020, a total of 328,300,010 Series A Preference Shares had been consolidated and redesignated at the request of holders, resulting in the issuance of 32,830,001 ADSs, such that a maximum of 2,385,078 ordinary shares remained issuable upon future consolidation and redesignation of the remaining Series A Preference Shares as of September 30, 2020, subject to certain adjustments for dilutive events.</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March 16, 2020, the Company’s Board of Directors, upon the recommendation of the Remuneration Committee and based on input from Radford, part of the Rewards Solutions practice of Aon Plc, as independent external compensation consultants to the Company’s Remuneration Committee, adopted, subject to shareholder approval, the Amarin Corporation plc 2020 Stock Incentive Plan, or the 2020 Plan, which was subsequently approved by the Company’s shareholders on July 13, 2020 at the Annual General Meeting of Shareholders. The 2020 Plan is the successor to the Amarin Corporation plc 2011 Stock Option Plan, as amended, or the 2011 Plan, which expired on July 12, 2021. The maximum number of the Company’s ordinary shares of £0.50 each or equivalent ADSs to be issued under the 2020 Plan shall not exceed the sum of (i) 20,000,000 shares and (ii) the number of shares that remained available for grant under the 2011 Plan as of the date the 2020 Plan was approved by the Company’s shareholders. The number of shares remaining under the 2011 Plan was approximately 2,634,440. The award of stock options (both incentive and non-qualified stock options), restricted stock units, and certain limited unrestricted share awards are permitted. The 2020 Plan is administered by the Remuneration Committee of the Board of Directors and will expire on July 13, 2030.</w:t>
      </w:r>
    </w:p>
    <w:p>
      <w:pPr>
        <w:spacing w:after="0" w:line="19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2020 and 2019, in addition to ordinary shares issued as described in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above and in </w:t>
      </w:r>
      <w:r>
        <w:rPr>
          <w:rFonts w:ascii="Times New Roman" w:cs="Times New Roman" w:eastAsia="Times New Roman" w:hAnsi="Times New Roman"/>
          <w:sz w:val="18"/>
          <w:szCs w:val="18"/>
          <w:i w:val="1"/>
          <w:iCs w:val="1"/>
          <w:color w:val="auto"/>
        </w:rPr>
        <w:t>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below, the Company issued 123,608 and 47,358 ordinary shares, respectively, under the Amarin Corporation plc 2017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Plan.</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July 18, 2019, the Company completed a public offering of 22,222,223 ADSs with each ADS representing one ordinary share of the Company, at a price of $18.00 per ADS after commission. In addition, the Company granted the underwriters a 30-day option to purchase up to an additional 3,333,333 ADSs at a price of $18.00 per ADS. On July 29, 2019, the underwriters exercised the full option. This public offering, including the exercised option, resulted in gross proceeds of approximately $460.0 million and, after deducting customary commissions and offering expenses, net proceeds to the Company of approximately $440.1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2020, there were an aggregate of 17,478,906 stock options and 7,727,158 restricted stock units, or RSUs, outstanding under the 2020 Plan representing approximately 4% and 2%, respectively, of outstanding shares (including common and preferred shares) on a fully diluted basis.</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and 2019, the Company issued 642,756 and 5,122,107 common shares, respectively, as a result of the exercise of stock options, resulting in gross and net proceeds of $1.9 million during the nine months ended September 30, 2020 and $19.5 million during the nine months ended September 30, 2019.</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2020 and 2019, the Company issued 1,206,494 and 1,533,061 common shares, respectively, related to the vesting of RSUs, of which 440,573 and 580,765 shares, respectively, were retained as treasury shares as settlement of employee tax obligations. Of these shares issued during the nine months ended September 30, 2020, in connection with the achievement of certain regulatory and sales performance conditions associated with the REDUCE-IT clinical trial and subsequent revenue growth, the Company issued 1,107,660 common shares upon vesting of performance-based RSUs granted in 2017 and 2018, of which 461,820 shares were retained as treasury shares as settlement of employee tax obligations. These performance-based RSUs will continue to vest ratably monthly through August 2021.</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13, 2020, the Company granted a total of 164,657 RSUs and 210,764 stock options to members of the Company’s Board of Directors under the 2020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July 1, 2020, the Company granted 100,000 RSUs to employees under the 2011 Plan that vest upon the achievement of specified sales performance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2020, the Company granted a total of 782,520 RSUs to employees under the 2011 Plan. The RSUs vest quarterly over a three-year period.</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2, 2020 and February 3, 2020, the Company granted a total of 821,950 RSUs and 1,875,000 stock options, respectively, to employees under the 2011 Plan. The RSUs vest annually over a three-year period and the stock options vest quarterly over a four-year period. Also on February 3, 2020, the Company granted a total of 1,253,400 RSUs to employees under the 2011 Plan that vest upon the achievement of specified sales performance conditions.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8" w:name="page19"/>
    <w:bookmarkEnd w:id="18"/>
    <w:p>
      <w:pPr>
        <w:ind w:right="60"/>
        <w:spacing w:after="0" w:line="256" w:lineRule="auto"/>
        <w:rPr>
          <w:sz w:val="20"/>
          <w:szCs w:val="20"/>
          <w:color w:val="auto"/>
        </w:rPr>
      </w:pPr>
      <w:r>
        <w:rPr>
          <w:rFonts w:ascii="Times New Roman" w:cs="Times New Roman" w:eastAsia="Times New Roman" w:hAnsi="Times New Roman"/>
          <w:sz w:val="18"/>
          <w:szCs w:val="18"/>
          <w:color w:val="auto"/>
        </w:rPr>
        <w:t>On May 20, 2019, the Company granted a total of 45,163 RSUs and 58,721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Also on May 20, 2019, the Company granted an additional 20,000 RSUs to employees under the 2011 Plan that vest upon the achievement of a specified sales performance condition.</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February 1, 2019, the Company granted a total of 757,800 RSUs and 1,193,400 stock options to employees under the 2011 Plan. The RSUs vest annually over a three-year period and the stock options vest quarterly over a four-year period. Also on February 1, 2019, the Company granted a total of 580,000 RSUs to employees under the 2011 Plan that vest upon the achievement of a specified sales performance condition.</w:t>
      </w:r>
    </w:p>
    <w:p>
      <w:pPr>
        <w:spacing w:after="0" w:line="280"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or the Agreement, with Kowa Pharmaceuticals America, Inc. related to the commercialization of VASCEPA capsules in the United States. The Co-Promotion Agreement, as amended in 2017, intentionally designed the co-promotion to naturally end as of December 31, 2018 and the companies mutually agreed not to renew the agreement.</w:t>
      </w:r>
    </w:p>
    <w:p>
      <w:pPr>
        <w:spacing w:after="0" w:line="20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During 2018, which was the last year of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a net payable to Kowa Pharmaceuticals America, Inc. of $5.2 million and $10.0 million, respectively, of which $3.9 million and $6.5 million, respectively, was classified as current on the condensed consolidated balance sheets, representing the remaining accrued co-promotion tail payments.</w:t>
      </w:r>
    </w:p>
    <w:p>
      <w:pPr>
        <w:spacing w:after="0" w:line="320"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that the Company charges its distributors for VASCEPA.</w:t>
      </w:r>
    </w:p>
    <w:p>
      <w:pPr>
        <w:spacing w:after="0" w:line="3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line="255" w:lineRule="auto"/>
        <w:rPr>
          <w:sz w:val="20"/>
          <w:szCs w:val="20"/>
          <w:color w:val="auto"/>
        </w:rPr>
      </w:pPr>
      <w:r>
        <w:rPr>
          <w:rFonts w:ascii="Times New Roman" w:cs="Times New Roman" w:eastAsia="Times New Roman" w:hAnsi="Times New Roman"/>
          <w:sz w:val="18"/>
          <w:szCs w:val="18"/>
          <w:color w:val="auto"/>
        </w:rPr>
        <w:t>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9" w:lineRule="exact"/>
        <w:rPr>
          <w:sz w:val="20"/>
          <w:szCs w:val="20"/>
          <w:color w:val="auto"/>
        </w:rPr>
      </w:pPr>
    </w:p>
    <w:p>
      <w:pPr>
        <w:ind w:left="520" w:right="20" w:firstLine="48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right="20" w:firstLine="48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ind w:left="520" w:right="20" w:firstLine="487"/>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Product Returns: </w:t>
      </w:r>
      <w:r>
        <w:rPr>
          <w:rFonts w:ascii="Times New Roman" w:cs="Times New Roman" w:eastAsia="Times New Roman" w:hAnsi="Times New Roman"/>
          <w:sz w:val="17"/>
          <w:szCs w:val="17"/>
          <w:color w:val="auto"/>
        </w:rPr>
        <w:t>The Company’s distributors have the right to return unopened unprescribed VASCEPA during the 18-month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w:t>
      </w:r>
    </w:p>
    <w:p>
      <w:pPr>
        <w:spacing w:after="0" w:line="2" w:lineRule="exact"/>
        <w:rPr>
          <w:sz w:val="20"/>
          <w:szCs w:val="20"/>
          <w:color w:val="auto"/>
        </w:rPr>
      </w:pPr>
    </w:p>
    <w:p>
      <w:pPr>
        <w:ind w:left="520" w:hanging="2"/>
        <w:spacing w:after="0" w:line="253" w:lineRule="auto"/>
        <w:tabs>
          <w:tab w:leader="none" w:pos="8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7" w:lineRule="exact"/>
        <w:rPr>
          <w:sz w:val="20"/>
          <w:szCs w:val="20"/>
          <w:color w:val="auto"/>
        </w:rPr>
      </w:pPr>
    </w:p>
    <w:p>
      <w:pPr>
        <w:ind w:left="520" w:firstLine="48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14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3"/>
                <w:szCs w:val="13"/>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29,261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90,997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(32,364)</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(304,903)</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(384,035)</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(29,067)</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(85,731)</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(118,742)</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63,069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14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19,495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(34,400)</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(184,801)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(249,600)</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(19,325)</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(41,363)</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(62,540)</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27,947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89,705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7" w:right="379" w:bottom="1440" w:gutter="0" w:footer="0" w:header="0"/>
        </w:sectPr>
      </w:pPr>
    </w:p>
    <w:bookmarkStart w:id="21" w:name="page22"/>
    <w:bookmarkEnd w:id="21"/>
    <w:p>
      <w:pPr>
        <w:ind w:right="1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21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2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Commercialization and Supply Agreements</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January 2020, the Company achieved certain milestones under the agreement, resulting in payment of $1.0 million to Mochida, which was recorded as Research and development expense on the condensed consolidated statement of operations.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Eddingpharm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and 2019, the Company recognized $2.2 million and $0.2 million, respectively, as licensing revenue related to the up-front and milestone payments received in connection with the Eddingpharm agreement. From contract inception through September 30, 2020 and December 31, 2019, the Company recognized $5.2 million and $3.0 million, respectively, as licensing revenue under the DCS Agreement concurrent with the support provided by Amarin to Eddingpharm in achieving the combined development and regulatory performance obligation, which in the Company’s judgment is the best measure of progress towards satisfying this performance obligation. The remaining transaction price of $10.8 million and $13.0 million is recorded in deferred revenue as of September 30, 2020 and December 31, 2019, respectively, on the condensed consolidated balance sheets and will be recognized as revenue over the remaining period of 14 years.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 VASCEPA was launched in Lebanon in June 2018 and in United Arab Emirates in February 2019.</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$0.5 million and nil for the three months ended September 30, 2020 and 2019, respectively, and $0.5 million and $0.3 million for the nine months ended September 30, 2020 and 2019 , respectively.</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right="100"/>
        <w:spacing w:after="0" w:line="282" w:lineRule="auto"/>
        <w:rPr>
          <w:sz w:val="20"/>
          <w:szCs w:val="20"/>
          <w:color w:val="auto"/>
        </w:rPr>
      </w:pPr>
      <w:r>
        <w:rPr>
          <w:rFonts w:ascii="Times New Roman" w:cs="Times New Roman" w:eastAsia="Times New Roman" w:hAnsi="Times New Roman"/>
          <w:sz w:val="18"/>
          <w:szCs w:val="18"/>
          <w:color w:val="auto"/>
        </w:rPr>
        <w:t>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and 2019, the Company recognized $3.5 million and $0.9 million, respectively, as licensing revenue related to up-front and milestone payments received in connection with the HLS agreement. From the contract’s inception through September 30, 2020 and December 31, 2019, the Company has recognized $6.4 million and $2.9 million, respectively, as licensing revenue is recognized under the agreement concurrent with the support provided by Amarin to HLS in achieving this performance obligation, which in the Company’s judgment is the best measure of progress towards satisfying the combined development and regulatory performance obligation. The remaining transaction price of $7.4 million and $7.1 million is recorded in deferred revenue as of September 30, 2020 and December 31, 2019, respectively, on the condensed consolidated balance sheets and will be recognized as revenue over the remaining period of 10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net product revenue of $8.5 million and nil for the nine months ended September 30, 2020 and 2019,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nine months ended September 30, 2020 and 2019:</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34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8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and 2019 date, the Company recognized the following revenues as a result of changes in the contract asset and contract liability balances in the respective periods: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3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r>
      <w:tr>
        <w:trPr>
          <w:trHeight w:val="22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ind w:left="940" w:hanging="93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219"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right="180" w:firstLine="510"/>
        <w:spacing w:after="0" w:line="259" w:lineRule="auto"/>
        <w:rPr>
          <w:sz w:val="20"/>
          <w:szCs w:val="20"/>
          <w:color w:val="auto"/>
        </w:rPr>
      </w:pPr>
      <w:r>
        <w:rPr>
          <w:rFonts w:ascii="Times New Roman" w:cs="Times New Roman" w:eastAsia="Times New Roman" w:hAnsi="Times New Roman"/>
          <w:sz w:val="18"/>
          <w:szCs w:val="18"/>
          <w:color w:val="auto"/>
        </w:rPr>
        <w:t>On April 12, 2019 the Company entered into an Office Centre Sharing Agreement for office space in Dublin, Ireland effective May 1, 2019 was scheduled to terminate on April 30, 2020 and was extended for one additional year through April 30, 2021 and can continue to be extended automatically for successive one year periods. On July 4, 2019, the Company entered into an Office Centre Sharing Agreements effective October 1, 2019 for office space in Dublin, Ireland was scheduled to terminate on September 30, 2020 and was extended for one additional year through April 30, 2021 and can be extended automatically for successive one year periods. On August 1, 2020 the Company entered into an Office Centre Sharing Agreement effective September 14, 2020 for office space in Dublin, Ireland which terminates on April 30, 2021 and can be extended automatically for successive one year periods. These leases have been determined to be short-term leases and the Company is committed to making payments of $0.1 million during the next twelve months.</w:t>
      </w:r>
    </w:p>
    <w:p>
      <w:pPr>
        <w:spacing w:after="0" w:line="184"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$10.6 million and $9.8 million and the operating lease right-of-use asset is $8.1 million and $8.5 million, as of September 30, 2020 and December 31, 2019, respectively. The lease expense for the three and nine months ended September 30, 2020 is approximately $0.4 million and $1.2 million, respectively. The lease expense for the three and nine months ended September 30, 2019 is approximately $0.4 million and $1.1 million, respectively.</w:t>
      </w:r>
    </w:p>
    <w:p>
      <w:pPr>
        <w:spacing w:after="0" w:line="188"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2240" w:type="dxa"/>
            <w:vAlign w:val="bottom"/>
          </w:tcPr>
          <w:p>
            <w:pPr>
              <w:spacing w:after="0"/>
              <w:rPr>
                <w:sz w:val="13"/>
                <w:szCs w:val="13"/>
                <w:color w:val="auto"/>
              </w:rPr>
            </w:pPr>
          </w:p>
        </w:tc>
      </w:tr>
      <w:tr>
        <w:trPr>
          <w:trHeight w:val="148"/>
        </w:trPr>
        <w:tc>
          <w:tcPr>
            <w:tcW w:w="2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2240" w:type="dxa"/>
            <w:vAlign w:val="bottom"/>
          </w:tcPr>
          <w:p>
            <w:pPr>
              <w:spacing w:after="0"/>
              <w:rPr>
                <w:sz w:val="12"/>
                <w:szCs w:val="12"/>
                <w:color w:val="auto"/>
              </w:rPr>
            </w:pPr>
          </w:p>
        </w:tc>
      </w:tr>
      <w:tr>
        <w:trPr>
          <w:trHeight w:val="148"/>
        </w:trPr>
        <w:tc>
          <w:tcPr>
            <w:tcW w:w="2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2240" w:type="dxa"/>
            <w:vAlign w:val="bottom"/>
          </w:tcPr>
          <w:p>
            <w:pPr>
              <w:spacing w:after="0"/>
              <w:rPr>
                <w:sz w:val="12"/>
                <w:szCs w:val="12"/>
                <w:color w:val="auto"/>
              </w:rPr>
            </w:pPr>
          </w:p>
        </w:tc>
      </w:tr>
      <w:tr>
        <w:trPr>
          <w:trHeight w:val="173"/>
        </w:trPr>
        <w:tc>
          <w:tcPr>
            <w:tcW w:w="2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2240" w:type="dxa"/>
            <w:vAlign w:val="bottom"/>
          </w:tcPr>
          <w:p>
            <w:pPr>
              <w:spacing w:after="0"/>
              <w:rPr>
                <w:sz w:val="15"/>
                <w:szCs w:val="15"/>
                <w:color w:val="auto"/>
              </w:rPr>
            </w:pPr>
          </w:p>
        </w:tc>
      </w:tr>
      <w:tr>
        <w:trPr>
          <w:trHeight w:val="223"/>
        </w:trPr>
        <w:tc>
          <w:tcPr>
            <w:tcW w:w="2260" w:type="dxa"/>
            <w:vAlign w:val="bottom"/>
          </w:tcPr>
          <w:p>
            <w:pPr>
              <w:spacing w:after="0"/>
              <w:rPr>
                <w:sz w:val="19"/>
                <w:szCs w:val="19"/>
                <w:color w:val="auto"/>
              </w:rPr>
            </w:pPr>
          </w:p>
        </w:tc>
        <w:tc>
          <w:tcPr>
            <w:tcW w:w="2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4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80" w:type="dxa"/>
            <w:vAlign w:val="bottom"/>
            <w:tcBorders>
              <w:bottom w:val="single" w:sz="8" w:color="CFF0FC"/>
            </w:tcBorders>
          </w:tcPr>
          <w:p>
            <w:pPr>
              <w:spacing w:after="0"/>
              <w:rPr>
                <w:sz w:val="19"/>
                <w:szCs w:val="19"/>
                <w:color w:val="auto"/>
              </w:rPr>
            </w:pP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23"/>
        </w:trPr>
        <w:tc>
          <w:tcPr>
            <w:tcW w:w="51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Discount Adjustments</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751"/>
        </w:trPr>
        <w:tc>
          <w:tcPr>
            <w:tcW w:w="2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2019 and below under Part II, Item IA, “Risk Factors”.</w:t>
      </w:r>
    </w:p>
    <w:p>
      <w:pPr>
        <w:spacing w:after="0" w:line="18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w:t>
      </w:r>
    </w:p>
    <w:p>
      <w:pPr>
        <w:spacing w:after="0" w:line="16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was first approved by the U.S. Food and Drug Administration, or FDA, for use as an adjunct to diet to reduce triglyceride, or TG, levels in adult patients with severe (TG ≥500 mg/dL) hypertriglyceridemia. On December 13, 2019, the FDA-approved a new indication and label expansion for VASCEPA based on the landmark results of our cardiovascular outcomes trial of VASCEPA, REDUCE-IT®, or Reduction of Cardiovascular Events with EPA – Intervention Trial. VASCEPA is the first and only drug approved by the FDA as an adjunct to maximally tolerated statin therapy for reducing persistent cardiovascular risk in select high risk-patients. In Europe, we are preparing to self-launch VASCEPA, following and pursuant to, regulatory approval, although we may engage commercialization partners for certain of the smaller countries in Europe. Regulatory approval in the European Union is subject to an approval recommendation by the European Medicines Agency, or EMA, which is expected in early 2021 and associated European Community, or EC, approval expected promptly thereafter, with launch timing in individual countries in Europe gated by timing of achieving product reimbursement on a country-by-country basis as is typical for new drugs.</w:t>
      </w:r>
    </w:p>
    <w:p>
      <w:pPr>
        <w:spacing w:after="0" w:line="18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publicly presented primary results of the REDUCE-IT study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 significance (p&lt;0.001), in first occurrence of major adverse cardiovascular events, or MACE, in the intent-to-</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or ACC, 68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Scientific Session and such results and methods were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Included in such results were that VASCEPA reduced total events (first and subsequent events) by 30% compared to placebo, reflecting that for every 1,000 patients treated for five years with VASCEPA versus placebo in this trial, approximately 159 MACE would have been prevented with VASCEPA.</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REDUCE-IT results, several clinical treatment guidelines and position statements have been updated, including those listed below:</w:t>
      </w:r>
    </w:p>
    <w:p>
      <w:pPr>
        <w:spacing w:after="0" w:line="77" w:lineRule="exact"/>
        <w:rPr>
          <w:sz w:val="20"/>
          <w:szCs w:val="20"/>
          <w:color w:val="auto"/>
        </w:rPr>
      </w:pPr>
    </w:p>
    <w:p>
      <w:pPr>
        <w:ind w:left="1260" w:right="240" w:hanging="375"/>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2019, the American Diabetes Association, or ADA, issued important updates to the Standard of Medical Care in Diabetes for 2019, including a recommendation for the use of icosapent ethyl in treating at-risk patients based on the results of the REDUCE-IT cardiovascular outcomes study.</w:t>
      </w:r>
    </w:p>
    <w:p>
      <w:pPr>
        <w:spacing w:after="0" w:line="27" w:lineRule="exact"/>
        <w:rPr>
          <w:rFonts w:ascii="Times New Roman" w:cs="Times New Roman" w:eastAsia="Times New Roman" w:hAnsi="Times New Roman"/>
          <w:sz w:val="18"/>
          <w:szCs w:val="18"/>
          <w:color w:val="auto"/>
        </w:rPr>
      </w:pPr>
    </w:p>
    <w:p>
      <w:pPr>
        <w:ind w:left="1260" w:right="180" w:hanging="375"/>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13" w:lineRule="exact"/>
        <w:rPr>
          <w:rFonts w:ascii="Times New Roman" w:cs="Times New Roman" w:eastAsia="Times New Roman" w:hAnsi="Times New Roman"/>
          <w:sz w:val="18"/>
          <w:szCs w:val="18"/>
          <w:color w:val="auto"/>
        </w:rPr>
      </w:pPr>
    </w:p>
    <w:p>
      <w:pPr>
        <w:ind w:left="1260" w:right="320" w:hanging="375"/>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National Lipid Association issued a position statement recognizing the cardiovascular risk-lowering effects of icosapent ethyl based on the REDUCE-IT results.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ind w:left="1260" w:right="160" w:hanging="375"/>
        <w:spacing w:after="0" w:line="266"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the European Society of Cardiology and the European Atherosclerosis Society updated their Clinical Practice Guidelines for the Management of Dyslipidemias to incorporate findings from the REDUCE-IT study and in August 2020 the European Society of Cardiology expanded their guidelines to also cover patients with acute coronary syndrome.</w:t>
      </w:r>
    </w:p>
    <w:p>
      <w:pPr>
        <w:spacing w:after="0" w:line="27" w:lineRule="exact"/>
        <w:rPr>
          <w:rFonts w:ascii="Times New Roman" w:cs="Times New Roman" w:eastAsia="Times New Roman" w:hAnsi="Times New Roman"/>
          <w:sz w:val="18"/>
          <w:szCs w:val="18"/>
          <w:color w:val="auto"/>
        </w:rPr>
      </w:pPr>
    </w:p>
    <w:p>
      <w:pPr>
        <w:ind w:left="1260" w:right="20" w:hanging="375"/>
        <w:spacing w:after="0" w:line="261"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American Association of Clinical Endocrinologists and the American College of Endocrinology released a consensus statement on the comprehensive management of type 2 diabetes. The statement included new guidance for managing patients with established or high risk for cardiovascular disease who have triglyceride levels between 135 – 499 mg/dL with icosapent ethyl which has proven benefits to prevent the next adverse cardiovascular event.</w:t>
      </w:r>
    </w:p>
    <w:p>
      <w:pPr>
        <w:spacing w:after="0" w:line="126"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In October 2019, the Institute for Clinical and Economic Review, or ICER, released its final evidence report regarding clinical effectiveness and economic impacts on VASCEPA. ICER’s report indicated that VASCEPA was cost effective across all of the non-profit organization’s analyses, including its quality-adjusted life year metrics of &lt;$50,000. The conclusion from the report is that VASCEPA easily meets “commonly cited thresholds for cost-effectiveness and therefore represents a high long-term value for money” based on the organization’s value assessment framework. In addition, an independent academic, patient-level, cost-effectiveness analysis of icosapent ethyl led by Dr. William S. Weintraub, M.D., director of Outcomes Research with MedStar Cardiovascular Research Network, indicated that VASCEPA was projected to not only be cost-effective but also to reduce long-term health care costs in a majority of the scenarios analyzed.</w:t>
      </w:r>
    </w:p>
    <w:p>
      <w:pPr>
        <w:spacing w:after="0" w:line="135"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In November 2019,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88" w:lineRule="exact"/>
        <w:rPr>
          <w:sz w:val="20"/>
          <w:szCs w:val="20"/>
          <w:color w:val="auto"/>
        </w:rPr>
      </w:pPr>
    </w:p>
    <w:p>
      <w:pPr>
        <w:jc w:val="both"/>
        <w:ind w:right="140" w:firstLine="510"/>
        <w:spacing w:after="0" w:line="257" w:lineRule="auto"/>
        <w:rPr>
          <w:sz w:val="20"/>
          <w:szCs w:val="20"/>
          <w:color w:val="auto"/>
        </w:rPr>
      </w:pPr>
      <w:r>
        <w:rPr>
          <w:rFonts w:ascii="Times New Roman" w:cs="Times New Roman" w:eastAsia="Times New Roman" w:hAnsi="Times New Roman"/>
          <w:sz w:val="18"/>
          <w:szCs w:val="18"/>
          <w:color w:val="auto"/>
        </w:rPr>
        <w:t>On March 30, 2020, the United States District Court for the District of Nevada, or the Nevada Court, decided in favor of two generic companies in our patent litigation related to their abbreviated new drug applications, or ANDAs, that seek FDA approval for sale of generic versions of VASCEPA. On May 22, 2020 and August 10, 2020, the two generic companies, Hikma Pharmaceutical USA Inc., or Hikma, and Dr. Reddy’s Laboratories, Inc., or Dr.</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Reddy’s, received FDA approval to market its generic versions of VASCEPA for the original indication of VASCEPA as an adjunct to diet to reduce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500 mg/dL) hypertriglyceridemia. On September 3, 2020, the U.S. Court of Appeals for the Federal Circuit upheld the March ruling by the Nevada Court in favor of the two generic companies. On October 2, 2020, we filed a combined petition for panel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4, 2020, our rehearing and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petitions were denied. The mandate of the court will issue on November 12, 2020. We plan to file a writ of certiorari within 90 days of such denial to ask the United States Supreme Court to hear our appeal. We intend to vigorously pursue this matter, but we cannot predict the outcome.</w:t>
      </w:r>
    </w:p>
    <w:p>
      <w:pPr>
        <w:spacing w:after="0" w:line="19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To date, Hikma and Dr. Reddy’s have not launched generic versions of VASCEPA, although, following the outcome of the trial appeal on September 3, 2020, Hikma announced it is working towards a launch. We anticipate that generics companies, when they launch in the United States, are likely to have limited supply capacity for VASCEPA. 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for identifying and pursuing additional indications that could be treated with VASCEPA. If generic companies determine to launch generic versions of icosapent ethyl in the United States, such competition could have a material and adverse impact on our revenues and our operations.</w:t>
      </w:r>
    </w:p>
    <w:p>
      <w:pPr>
        <w:spacing w:after="0" w:line="4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In Europe, ten to eleven years of market protection is anticipated due to regulatory exclusivity in the European Union subject to an approval recommendation by the EMA and associated EC approval, in addition to pending patent protection that could extend into 2039.</w:t>
      </w:r>
    </w:p>
    <w:p>
      <w:pPr>
        <w:spacing w:after="0" w:line="1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branded product is sold, including Canada, China, Lebanon and the United Arab Emirates where the drug is promoted and sold via collaborations with third-party companies that compensate us for such supply. We are not responsible for providing any generic company with drug product.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w:t>
      </w:r>
    </w:p>
    <w:p>
      <w:pPr>
        <w:spacing w:after="0" w:line="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commenced the commercial launch of VASCEPA through sales and shipments to our network of U.S.-based wholesalers in the United States in January 2013. We began selling and marketing 1-gram size VASCEPA capsules in January 2013, and in October 2016, introduced a smaller 0.5-gram capsule size. The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33"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Prior to results of the REDUCE-IT study, we did not have cardiovascular outcomes data regarding the clinical effect of VASCEPA and a substantial portion of our resources were being spent on the REDUCE-IT study. As a result, our commercialization of VASCEPA was somewhat limited.</w:t>
      </w:r>
    </w:p>
    <w:p>
      <w:pPr>
        <w:spacing w:after="0" w:line="5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Prior to the REDUCE-IT results topline announcement in September 2018, our direct sales force consisted of approximately 170 sales professionals, including sales representatives and their managers. Based on the positive REDUCE-IT results, in early 2019, we increased the size of our direct sales force to approximately 440 sales professionals, including approximately 400 sales representatives. As a result of the FDA’s approved indication and label expansion in December 2019, our direct sales force was expanded to approximately 900 sales professionals, including approximately 800 sales representatives.</w:t>
      </w:r>
    </w:p>
    <w:p>
      <w:pPr>
        <w:spacing w:after="0" w:line="18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September 30, 2020 and 2019 was approximately 1,174,000 and 865,000, respectively. According to data from another third party, IQVIA, the estimated number of normalized total VASCEPA prescriptions for the three months ended September 30, 2020 and 2019 was approximately 1,081,000 and 787,000,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8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9" w:right="359" w:bottom="1440" w:gutter="0" w:footer="0" w:header="0"/>
        </w:sectPr>
      </w:pPr>
    </w:p>
    <w:bookmarkStart w:id="29" w:name="page30"/>
    <w:bookmarkEnd w:id="29"/>
    <w:p>
      <w:pPr>
        <w:ind w:firstLine="510"/>
        <w:spacing w:after="0" w:line="253" w:lineRule="auto"/>
        <w:rPr>
          <w:sz w:val="20"/>
          <w:szCs w:val="20"/>
          <w:color w:val="auto"/>
        </w:rPr>
      </w:pPr>
      <w:r>
        <w:rPr>
          <w:rFonts w:ascii="Times New Roman" w:cs="Times New Roman" w:eastAsia="Times New Roman" w:hAnsi="Times New Roman"/>
          <w:sz w:val="18"/>
          <w:szCs w:val="18"/>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4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 xml:space="preserve">We also employ various medical affairs and marketing personnel to support our commercialization of VASCEPA. We expanded certain medical education and market awareness initiatives following the reporting of positive REDUCE-IT results in 2018. We began 2020 by taking steps to further expand promotion of VASCEPA, including direct to consumer advertising, as a result of the new indication and label expansion of VASCEPA approved by the FDA on December 13, 2019. In January 2020, we launched an educational campaign, </w:t>
      </w:r>
      <w:r>
        <w:rPr>
          <w:rFonts w:ascii="Times New Roman" w:cs="Times New Roman" w:eastAsia="Times New Roman" w:hAnsi="Times New Roman"/>
          <w:sz w:val="18"/>
          <w:szCs w:val="18"/>
          <w:i w:val="1"/>
          <w:iCs w:val="1"/>
          <w:color w:val="auto"/>
        </w:rPr>
        <w:t>True To Your Heart</w:t>
      </w:r>
      <w:r>
        <w:rPr>
          <w:rFonts w:ascii="Times New Roman" w:cs="Times New Roman" w:eastAsia="Times New Roman" w:hAnsi="Times New Roman"/>
          <w:sz w:val="18"/>
          <w:szCs w:val="18"/>
          <w:color w:val="auto"/>
        </w:rPr>
        <w:t>, to help people learn more about cardiovascular disease and how to better protect against persistent cardiovascular risk. We have commenced promotion and educational efforts which include the sponsorship of continuing medical education, social media-based communications, and advertisements on television and other forms of media.</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 xml:space="preserve">On March 30, 2020, the Nevada Court ruled in favor of two generic companies in our patent litigation related to its ANDAs that seek FDA approval for sale of generic versions of VASCEPA. On May 22, 2020 and August 10, 2020, the two generic companies, Hikma and Dr. Reddy’s received FDA approval to market its generic versions of VASCEPA. On September 3, 2020, the U.S. Court of Appeals for the Federal Circuit upheld the March ruling by the Nevada Court in favor of the two generic companies. On October 2, 2020, we filed a combined petition for panel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4, 2020, our rehearing and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petitions were denied. The mandate of the court will issue on November 12, 2020. We plan to file a writ of certiorari within 90 days of such denial to ask the United States Supreme Court to hear our appeal. We intend to vigorously pursue this matter, but we cannot predict the outcome. To date, Hikma and Dr. Reddy’s have not launched generic versions of VASCEPA, although, following the outcome of the trial appeal on September 3, 2020, Hikma announced it is working towards a launch.</w:t>
      </w:r>
    </w:p>
    <w:p>
      <w:pPr>
        <w:spacing w:after="0" w:line="13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for identifying and pursuing additional indications that could be treated with VASCEPA.</w:t>
      </w:r>
    </w:p>
    <w:p>
      <w:pPr>
        <w:spacing w:after="0" w:line="12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In Europe, Amarin is preparing to self-launch VASCEPA, although it may engage commercialization partners for certain of the smaller countries in Europe. Ten to eleven years of market protection is anticipated due to regulatory exclusivity in the European Union subject to an approval recommendation by the EMA in early 2021 and associated EC approval expected promptly thereafter, in addition to pending patent protection that could extend into 2039.</w:t>
      </w:r>
    </w:p>
    <w:p>
      <w:pPr>
        <w:spacing w:after="0" w:line="134"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 addition to promotion of VASCEPA in the United States, based on REDUCE-IT, we have increased focus on expansion of our development efforts for VASCEPA to major markets outside the United States. We currently have strategic collaborations to develop and commercialize VASCEPA in select territories outside the United States.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7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Eddingpharm, with our support, is conducting a clinical trial of VASCEPA in China, which is evaluating the effect of VASCEPA on patients with very high triglyceride levels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The results of this trial are expected to be announced before the end of 2020. After reviewing the results of this clinical study and consulting with regulatory authorities, our plans for seeking regulatory approval and reimbursement of VASCEPA in China will be updated.</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173"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In March 2016, we entered into an agreement with Biologix, to register and commercialize VASCEPA in several Middle Eastern and North African countries. VASCEPA was launched in Lebanon in June 2018 and in United Arab Emirates in February 2019, respectively.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7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has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Commercial launch in Canada began in February 2020 on a limited scale with subsequent expansion intended. An important step in growing the potential use of therapeutics in Canada, as is true in other countries, is gaining reimbursement coverage by the applicable payers. In July 2020, the Canadian Health Authorities recommended that patients with established cardiovascular diseases under certain conditions be reimbursed for VASCEPA. In addition, the Patented Medicines Price Review Boards review of VASCEPA’s introductory price submission did not trigger the pricing investigation criteria. While coverage of patients with established cardiovascular disease represents a substantial portion of VASCEPA’s approved label in Canada, HLS intends various initiatives to pursue expanding the Canadian Health Authorities recommendation to cover other patients at high risk for major adverse cardiovascular events beyond patients with established cardiovascular disease.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Europe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exploring potential development and commercial paths for VASCEPA throughout Europe.</w:t>
      </w:r>
    </w:p>
    <w:p>
      <w:pPr>
        <w:spacing w:after="0" w:line="17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December 2019, we announced that the EMA validated the marketing authorization application seeking approval for VASCEPA. The validation confirmed the submission was sufficiently complete for the EMA to begin its review. Review by the EMA of this application is active and together with associated EC review, expected promptly thereafter, is expected to be completed in early 2021. As we did in Canada, we are seeking an indication throughout Europe for VASCEPA targeting cardiovascular risk reduction based on the results of REDUCE-IT.</w:t>
      </w:r>
    </w:p>
    <w:p>
      <w:pPr>
        <w:spacing w:after="0" w:line="126"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In parallel with EMA’s review of our submission, we have been actively exploring the opportunity for VASCEPA commercialization in Europe. After extensive evaluation, we determined self-launching VASCEPA in Europe, except perhaps in certain smaller countries in Europe, is the best path forward considering all factors. Such an approach avoids sharing the economic potential of VASCEPA with any third-party commercial partners and ensures that VASCEPA would be likely to get the highest level of priority and focus. Similar to our approach in launching VASCEPA in the United States, in Europe we intend to build a core team of experienced professionals and a highly capable sales team and plan to leverage third-party relationships for various support activities. Such activities are underway. In Europe, patients at high risk for cardiovascular disease tend, in comparison to the United States, to be treated more often by specialists, such as cardiologists rather than by physicians who are general practitioners. Pursuant to regulatory approval of VASCEPA in Europe, this greater concentration of at-risk patients being treated by specialists in Europe should allow for more efficient promotion of VASCEPA in Europe than in the United States. We have been active in preparing for reimbursement negotiations which we intend to commence on a country-by-country basis in Europe following anticipated approval of VASCEPA following the currently ongoing EMA review. In certain European countries, securing product reimbursement is a requisite to launching.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VASCEPA, the success of such reimbursement negotiations could have a significant impact on our ability to realize the commercial opportunity of VASCEPA in Europe.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 of World</w:t>
      </w:r>
    </w:p>
    <w:p>
      <w:pPr>
        <w:spacing w:after="0" w:line="227"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We plan to also assess other potential partnership opportunities for licensing VASCEPA to partners in other parts of the world. While we believe that there is medical need and opportunity for VASCEPA elsewhere in the world, our current priorities are the geographies described above.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auto"/>
        </w:rPr>
        <w:t>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1" w:name="page32"/>
    <w:bookmarkEnd w:id="31"/>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conducted based on a special protocol assessment, or SPA, agreement with the FDA. Based on the final positive results of REDUCE-IT, we sought additional indicated uses for VASCEPA in the United States and continued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The total (first and subsequent) cardiovascular events results of the REDUCE-IT study were presented at the American College of Cardiology’s 68th Annual Scientific Session in March 2019 and concurrently published in the </w:t>
      </w:r>
      <w:r>
        <w:rPr>
          <w:rFonts w:ascii="Times New Roman" w:cs="Times New Roman" w:eastAsia="Times New Roman" w:hAnsi="Times New Roman"/>
          <w:sz w:val="18"/>
          <w:szCs w:val="18"/>
          <w:i w:val="1"/>
          <w:iCs w:val="1"/>
          <w:color w:val="auto"/>
        </w:rPr>
        <w:t>Journal of the American College of Cardiology</w:t>
      </w:r>
      <w:r>
        <w:rPr>
          <w:rFonts w:ascii="Times New Roman" w:cs="Times New Roman" w:eastAsia="Times New Roman" w:hAnsi="Times New Roman"/>
          <w:sz w:val="18"/>
          <w:szCs w:val="18"/>
          <w:color w:val="auto"/>
        </w:rPr>
        <w:t>. Potential additional research and development opportunities beyond REDUCE-IT will be prioritized after giving priority to securing regulatory approval for VASCEPA based on the REDUCE-IT results in various geographies internationally, including pursuit of approval for VASCEPA in Europe and in countries where we have commercialization partners for VASCEPA.</w:t>
      </w:r>
    </w:p>
    <w:p>
      <w:pPr>
        <w:spacing w:after="0" w:line="194"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FDA granted Priority Review designation to our March 2019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FDA held an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 Reflecting the robust results of the clinical development program for VASCEPA, no additional post-approval clinical study or other special post-approval requirement (as often seen with other drug approvals) was requested by the FDA in conjunction with its approval of VASCEPA.</w:t>
      </w:r>
    </w:p>
    <w:p>
      <w:pPr>
        <w:spacing w:after="0" w:line="192"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In January 2020, we achieved certain milestones under the agreement, resulting in payment of $1.0 million to Mochida.</w:t>
      </w:r>
    </w:p>
    <w:p>
      <w:pPr>
        <w:spacing w:after="0" w:line="188"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providing study drug product and limited financial support to investigators in multiple pilot studies designed to better understand the potential of VASCEPA and this potentially beneficial role. If the results of these pilot studies are positive, we intend to evaluate whether additional study is 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1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final results of the Effect of VASCEPA on Improving Coronary Atherosclerosis in People with High Triglycerides Taking Statin Therapy trial, or EVAPORATE, were presented at the European Society of Cardiology on August 29, 2020. A total of 80 patients were enrolled in the randomized, double-blind, placebo-controlled EVAPORATE trial. Patients had to have coronary atherosclerosis as documented by multidetector computed tomography, or MDCT, (1 or more angiographic stenoses with ≥20% narrowing), be on statin therapy, and have persistently elevated triglyceride (TG) levels (mean TG at baseline was 259.1 mg/dL [+/- 78.1]). Patients underwent an interim scan at 9 months and a final scan at 18 months. The prespecified primary endpoint was a comparison of change in low attenuation plaque, or LAP, volume at 18 months between icosapent ethyl and placebo. EVAPORATE was not powered for long-term outcomes. The final results showed a significant reduction in the primary endpoint; icosapent ethyl reduced LAP plaque volume by 17% from baseline to the 18-month scan, whereas there was a progression of LAP plaque volume in the placebo group. There were significant differences between icosapent ethyl and placebo at study end for secondary endpoints of other types of plaque volume changes, including and sequentially total, total non-calcified, fibrofatty, and fibrous plaque volumes. All regressed in the icosapent ethyl group and progressed in the placebo group, (p&lt;0.01 for all). The only secondary endpoint which did</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ind w:right="460"/>
        <w:spacing w:after="0" w:line="282" w:lineRule="auto"/>
        <w:rPr>
          <w:sz w:val="20"/>
          <w:szCs w:val="20"/>
          <w:color w:val="auto"/>
        </w:rPr>
      </w:pPr>
      <w:r>
        <w:rPr>
          <w:rFonts w:ascii="Times New Roman" w:cs="Times New Roman" w:eastAsia="Times New Roman" w:hAnsi="Times New Roman"/>
          <w:sz w:val="18"/>
          <w:szCs w:val="18"/>
          <w:color w:val="auto"/>
        </w:rPr>
        <w:t>not achieve a significant difference between groups in multivariable modeling was dense calcium (p=0.053). More study is needed to demonstrate the effects of VASCEPA on coronary plaque to determine the relationship of such effects, if any, on cardiovascular risk reduction.</w:t>
      </w:r>
    </w:p>
    <w:p>
      <w:pPr>
        <w:spacing w:after="0" w:line="16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During the Transcatheter Cardiovascular Therapeutics, or TCT, Connect 2020 Best of Abstracts session by Benjamin E. Peterson, M.D., Brigham and Women’s Hospital Heart &amp; Vascular Center and Harvard Medical School, which was held virtually from October 14 – October 18, 2020, the Company presented new REDUCE-IT PCI, or Percutaneous Coronary Intervention, analysis. The REDUCE-IT PCI analysis looked at 3,408 (41.7%) of patients enrolled in REDUCE-IT who had undergone a prior PCI. These patients were randomized a median of 2.9 years after PCI. Baseline characteristics were similar among patients randomized to VASCEPA versus placebo. Post hoc exploratory analyses of the subgroup of 3,408 patients with a prior PCI showed that, for the primary composite endpoint of 5-point MACE, time to first event was significantly reduced with VASCEPA versus placebo by 34% (p&lt;0.0001) and total (first and subsequent) events were also reduced by 39% (p&lt;0.0001). For the key secondary composite endpoint of 3-point MACE, time to first event was reduced by 34% (p&lt;0.0001) in the subgroup of patients with a prior PCI. Administration of VASCEPA resulted in robust absolute risk reductions of 8.5% and 5.4% and numbers needed to treat (NNT) of 12 and 19, respectively, for both primary and key secondary (hard MACE) composite endpoints in post hoc exploratory subgroup analyses.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global growth of VASCEPA revenues and minimum purchase commitments with certain suppliers. While our current supply chain is scalable, we continue efforts to expand, diversify and further enhance it.</w:t>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7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As the COVID-19 pandemic continues to spread and impact global populations and economies, we continue to evaluate its impact on patients, distributors, customers and our employees, as well as on our operations and the operations of our business partners and communities. Given the importance of supporting patients, we are diligently working with our suppliers, customers, distributors and other partners to provide patients with access to VASCEPA, while taking into account regulatory, institutional, and government guidance, policies and protocols. Given the uncertainties regarding the scope and impact of COVID-19 on our sales, supply, research and development efforts and operations, and on the operations of our customers, suppliers, distributors, other partners and patients, particularly as COVID-19 protocols and resources have restricted or discouraged patient access to hospitals, clinics, physicians’ offices and other administration sites and caused a reprioritization of health care services, the impact of COVID-19 could materially impact our current performance and continues to represent a risk to our future performance.</w:t>
      </w:r>
    </w:p>
    <w:p>
      <w:pPr>
        <w:spacing w:after="0" w:line="19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Beginning in mid-March 2020, our ability to directly promote VASCEPA to healthcare professionals had been limited due to appropriate social distancing practices associated with COVID-19 and by patients electing to forego visiting their doctors for non-urgent medical examinations and/or choose to not get blood tests which test results provide information useful to the treatment of cardiovascular risk. Such impact has had a significant impact on slowing VASCEPA prescription and revenue growth. While COVID-19 continues to impact our promotion of VASCEPA, we have seen signs of improvement. We resumed sales force, field-based, face-to-face interactions with healthcare providers beginning in June 2020, and now substantially all of our sales force personnel have the ability to resume face-to-face customer interactions, in a manner consistent with guidelines from local, state and government health officials in the United States. Such access remains variable and challenging due to COVID-19, yet we are optimistic that this improved access trend will increase and translate into increased levels of VASCEPA prescriptions and revenue. In July 2020 we launched our first television-based promotion of VASCEPA emphasizing that it is the first and only FDA approved drug for its indication. We anticipate that over time such promotion will increase awareness and usage of VASCEPA, and could help mitigate challenges if social distancing protocols and other restrictions are reinforced, including in light of any resurgence of the infection in certain geographies. Data on increased product usage from similar promotion of other products suggests that the impact of television-based promotion can be positive and sustained but is rarely immediate in its effect.</w:t>
      </w:r>
    </w:p>
    <w:p>
      <w:pPr>
        <w:spacing w:after="0" w:line="190"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Thus far, COVID-19 has not materially impacted our ability to secure and deliver supply of VASCEPA. And, thus far, COVID-19 is not known to have significantly impacted ongoing clinical trials of VASCEPA. Regarding regulatory review of VASCEPA in Europe, COVID-19 appears to have modestly slowed certain aspects of the review with the overall timeline for the review being completed by the EMA shifting from what was previously estimated as late 2020 into our current estimate of early 2021.</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firstLine="510"/>
        <w:spacing w:after="0" w:line="266" w:lineRule="auto"/>
        <w:rPr>
          <w:sz w:val="20"/>
          <w:szCs w:val="20"/>
          <w:color w:val="auto"/>
        </w:rPr>
      </w:pPr>
      <w:r>
        <w:rPr>
          <w:rFonts w:ascii="Times New Roman" w:cs="Times New Roman" w:eastAsia="Times New Roman" w:hAnsi="Times New Roman"/>
          <w:sz w:val="18"/>
          <w:szCs w:val="18"/>
          <w:color w:val="auto"/>
        </w:rPr>
        <w:t>The ultimate impacts of COVID-19 on our business are unknown; however, we are actively monitoring the situation and may take precautionary and preemptive actions that we determine are in the best interests of our business. We cannot predict the effects that such actions may have on our business or on our financial results, in particular with respect to demand for or access to VASCEPA.</w:t>
      </w:r>
    </w:p>
    <w:p>
      <w:pPr>
        <w:spacing w:after="0" w:line="176"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believe that the overall morale of employees within Amarin is positive despite the challenges associated with COVID-19. While we have experienced modest employee turnover in recent months, the turnover level is generally consistent with the pre-COVID era. And, while in a period of social distancing we are intentionally slow in hiring replacements for our limited number of open positions resulting from such seemingly ordinary course turnover, it is our intention to fill such positions particularly as we witness our sales representatives increasingly able to resume direct interactions with healthcare professionals.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 Outside of the United States, currently all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Currently the majority of our products revenue is derived from direct sales of VASCEPA in the United States.</w:t>
      </w:r>
    </w:p>
    <w:p>
      <w:pPr>
        <w:spacing w:after="0" w:line="187" w:lineRule="exact"/>
        <w:rPr>
          <w:sz w:val="20"/>
          <w:szCs w:val="20"/>
          <w:color w:val="auto"/>
        </w:rPr>
      </w:pPr>
    </w:p>
    <w:p>
      <w:pPr>
        <w:jc w:val="both"/>
        <w:ind w:right="5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73"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183" w:lineRule="exact"/>
        <w:rPr>
          <w:sz w:val="20"/>
          <w:szCs w:val="20"/>
          <w:color w:val="auto"/>
        </w:rPr>
      </w:pPr>
    </w:p>
    <w:p>
      <w:pPr>
        <w:ind w:right="1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7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83" w:lineRule="exact"/>
        <w:rPr>
          <w:sz w:val="20"/>
          <w:szCs w:val="20"/>
          <w:color w:val="auto"/>
        </w:rPr>
      </w:pPr>
    </w:p>
    <w:p>
      <w:pPr>
        <w:ind w:right="380" w:firstLine="510"/>
        <w:spacing w:after="0" w:line="290" w:lineRule="auto"/>
        <w:rPr>
          <w:sz w:val="20"/>
          <w:szCs w:val="20"/>
          <w:color w:val="auto"/>
        </w:rPr>
      </w:pPr>
      <w:r>
        <w:rPr>
          <w:rFonts w:ascii="Times New Roman" w:cs="Times New Roman" w:eastAsia="Times New Roman" w:hAnsi="Times New Roman"/>
          <w:sz w:val="17"/>
          <w:szCs w:val="17"/>
          <w:i w:val="1"/>
          <w:iCs w:val="1"/>
          <w:color w:val="auto"/>
        </w:rPr>
        <w:t>Interest and other (expense) income, net</w:t>
      </w:r>
      <w:r>
        <w:rPr>
          <w:rFonts w:ascii="Times New Roman" w:cs="Times New Roman" w:eastAsia="Times New Roman" w:hAnsi="Times New Roman"/>
          <w:sz w:val="17"/>
          <w:szCs w:val="17"/>
          <w:color w:val="auto"/>
        </w:rPr>
        <w:t>. Interest expense consists of interest incurred under our December 2012 royalty-bearing instrument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financing arrangement, which is calculated based on an estimated repayment schedule. Interest income consists of interest earned on our cash and cash equivalents, as well as our short and long-term investments. Other (expense) income, net, consists primarily of foreign exchange losses and gains.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three and nine months ended September 30, 2020 and 2019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2019. There were no material changes to our critical accounting policies, significant judgments and estimates during the nine months ended September 30, 2020.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2020 and September 30, 2019</w:t>
      </w:r>
    </w:p>
    <w:p>
      <w:pPr>
        <w:spacing w:after="0" w:line="11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net product revenue of $155.2 million and $112.3 million during the three months ended September 30,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respectively, an increase of $42.9 million, or 38%. This increase was driven primarily by volume of VASCEPA sales to our customers in the United States, as well as a modest increase in VASCEPA’s net selling price in the United States. Orders by such customers were supported by an increase in estimated normalized total VASCEPA prescriptions in the United States, reflecting various factors including managed care access improvements. Based on data provided by Symphony Health and IQVIA, estimated normalized total VASCEPA prescriptions in the United States increased by approximately 309,000 and 293,000, respectively, over the three months ended September 30, 2019, representing growth of 36% and 37%, respectively. The increase in net product revenue was also driven by VASCEPA sales to our commercial partners outside of the United States of approximately $0.5 million during the three months ended September 30, 2020 as compared to nil during the three months ended September 30, 2019.</w:t>
      </w:r>
    </w:p>
    <w:p>
      <w:pPr>
        <w:spacing w:after="0" w:line="18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All of our product revenue, net in the United States, in the three months ended September 30, 2020 and 2019 was derived from product sales of 1-gram and 0.5-gram size capsules of VASCEPA, net of allowances, discounts, incentives, rebates, chargebacks and returns. The U.S.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3"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2020 and 2019, our Product revenue, net in the United States included adjustment for co-pay mitigation support provided by us for commercially insured patients. Such support is intended to offset a portion of the out-of-pocket expense that patients are required to pay for VASCEPA based upon the benefit design of their prescription drug coverage. Our cost for these co-payment support payments during the three months ended September 30, 2020 and 2019 was up to $150 and $110, respectively per 30-day prescription filled and, up to $450 and $330, respectively per 90-day prescription filled.</w:t>
      </w:r>
    </w:p>
    <w:p>
      <w:pPr>
        <w:spacing w:after="0" w:line="183"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in the United States are to major commercial wholesalers which then resell VASCEPA to retail pharmacies.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35" w:name="page36"/>
    <w:bookmarkEnd w:id="35"/>
    <w:p>
      <w:pPr>
        <w:ind w:firstLine="510"/>
        <w:spacing w:after="0" w:line="252" w:lineRule="auto"/>
        <w:rPr>
          <w:sz w:val="20"/>
          <w:szCs w:val="20"/>
          <w:color w:val="auto"/>
        </w:rPr>
      </w:pPr>
      <w:r>
        <w:rPr>
          <w:rFonts w:ascii="Times New Roman" w:cs="Times New Roman" w:eastAsia="Times New Roman" w:hAnsi="Times New Roman"/>
          <w:sz w:val="18"/>
          <w:szCs w:val="18"/>
          <w:color w:val="auto"/>
        </w:rPr>
        <w:t>In March 2020, COVID-19 became widespread in the United States and other geographies around the globe. In recognition of guidance from public health officials, we announced on March 15, 2020 a temporary suspension of in-person promotional activities. We resumed sales force, field-based, face-to-face interactions with healthcare providers beginning in June 2020, and now substantially all of our sales force personnel have the ability to resume face-to-face customer interactions, in a manner consistent with guidelines from local, state and government health officials in the United States. For a newly FDA-approved drug like VASCEPA to be prescribed, historically physicians need to have met with their patients for an examination and have received blood test results prior to prescribing the drug to the patient. Public reports from IQVIA showed patient visits to medical offices for non-emergency medical care were down approximately 70% in April 2020 during the height of the COVID-19 related social distancing. Also reported was a significant drop in the number of routine lab tests likely due to patients not seeking medical care for non-urgent medical needs and resources of the medical community shifting focus to address the COVID-19 pandemic. As a result, while VASCEPA prescription levels in the three months ended September 30, 2020 grew over the three months ended September 30, 2019, we witnessed a slowing of new patients being prescribed VASCEPA resulting in year over year growth in the three months ended September 30, 2020 which was considerably slower than the growth reported in the three months ended March 31, 2020 when we launched VASCEPA for its new cardiovascular risk reduction indication. However, in September 2020, weekly normalized prescriptions reached levels consistent with, or slightly higher, than pre-COVID-19 levels. According to IQVIA data, in September 2020 the number of patient visits to health care providers increased meaningfully over the lows of April 2020 but remained below the volume levels reported prior to mid-March 2020 when the impact of COVID-19 began to significantly impact the United States. We cannot predict the duration of this pandemic and we cannot quantify the impact of COVID-19 on our business beyond September 30, 2020. We are confident that the patient need for VASCEPA remains high and that the slowing of VASCEPA growth in the three months ended September 30, 2020 was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w:t>
      </w:r>
    </w:p>
    <w:p>
      <w:pPr>
        <w:spacing w:after="0" w:line="187" w:lineRule="exact"/>
        <w:rPr>
          <w:sz w:val="20"/>
          <w:szCs w:val="20"/>
          <w:color w:val="auto"/>
        </w:rPr>
      </w:pPr>
    </w:p>
    <w:p>
      <w:pPr>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September 30, 2020 and 2019 was $1.3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respectively, an increase of $1.2 million, or 728%. Licensing and royalty revenue relates to the recognition of amounts received in connection with the following VASCEPA licensing agreements:</w:t>
      </w:r>
    </w:p>
    <w:p>
      <w:pPr>
        <w:spacing w:after="0" w:line="175" w:lineRule="exact"/>
        <w:rPr>
          <w:sz w:val="20"/>
          <w:szCs w:val="20"/>
          <w:color w:val="auto"/>
        </w:rPr>
      </w:pPr>
    </w:p>
    <w:p>
      <w:pPr>
        <w:ind w:left="880" w:hanging="373"/>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Eddingpharm – a $15.0 million up-front payment received in February 2015 and a $1.0 million milestone payment achieved in March 2016.</w:t>
      </w:r>
    </w:p>
    <w:p>
      <w:pPr>
        <w:spacing w:after="0" w:line="27" w:lineRule="exact"/>
        <w:rPr>
          <w:rFonts w:ascii="Times New Roman" w:cs="Times New Roman" w:eastAsia="Times New Roman" w:hAnsi="Times New Roman"/>
          <w:sz w:val="18"/>
          <w:szCs w:val="18"/>
          <w:color w:val="auto"/>
        </w:rPr>
      </w:pPr>
    </w:p>
    <w:p>
      <w:pPr>
        <w:ind w:left="880" w:right="260" w:hanging="373"/>
        <w:spacing w:after="0" w:line="253"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FDA approval of a new indication and label expansion in December 2019 and a $3.8 million milestone payment that was received as a result of obtaining a regulatory exclusivity designation in January 2020.</w:t>
      </w:r>
    </w:p>
    <w:p>
      <w:pPr>
        <w:spacing w:after="0" w:line="189"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w:t>
      </w:r>
    </w:p>
    <w:p>
      <w:pPr>
        <w:spacing w:after="0" w:line="176"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60" w:lineRule="exact"/>
        <w:rPr>
          <w:sz w:val="20"/>
          <w:szCs w:val="20"/>
          <w:color w:val="auto"/>
        </w:rPr>
      </w:pPr>
    </w:p>
    <w:p>
      <w:pPr>
        <w:ind w:right="40" w:firstLine="51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Cost of goods sold. </w:t>
      </w:r>
      <w:r>
        <w:rPr>
          <w:rFonts w:ascii="Times New Roman" w:cs="Times New Roman" w:eastAsia="Times New Roman" w:hAnsi="Times New Roman"/>
          <w:sz w:val="17"/>
          <w:szCs w:val="17"/>
          <w:color w:val="auto"/>
        </w:rPr>
        <w:t>Cost of goods sold during the three months ended September 30, 2020 and 2019 was $33.1 million and $25.4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an increase of $7.6 million, or 30%.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66"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three months ended September 30, 2020 and 2019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2020 to be similar to or modestly lower than 2019. The average cost may be variable from period to period depending upon the timing and quantity of API purchased from each supplier.</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Our overall gross margin on product sales for each of the three months ended September 30, 2020 and 2019 was 79% and 77%, respectively.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right="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September 30, 2020 and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$120.2 million and $82.6 million, respectively, an increase of $37.6 million, or 46%. Selling, general and administrative expenses for the three months ended September 30, 2020 and 2019 are summarized in the table below:</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 (1)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60" w:right="200" w:hanging="371"/>
        <w:spacing w:after="0" w:line="253"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September 30, 2020 and 2019 was $93.6 million and $61.2 million, respectively, an increase of $32.4 million, or 53%. This increase is primarily due to increased personnel costs related to the sales force expansion from approximately 440 sales professionals, including approximately 400 sales representatives, in 2019 to approximately 900 sales professionals, including approximately 800 sales representatives in 2020 as well as an increase in promotional activities and direct to consumer promotion following the launch of Vascepa in early 2020 for the new indication and expanded label approved by FDA in December 2019, including the launch in July 2020 of the first television commercials for Vascepa related to this new indication.</w:t>
      </w:r>
    </w:p>
    <w:p>
      <w:pPr>
        <w:spacing w:after="0" w:line="5" w:lineRule="exact"/>
        <w:rPr>
          <w:rFonts w:ascii="Times New Roman" w:cs="Times New Roman" w:eastAsia="Times New Roman" w:hAnsi="Times New Roman"/>
          <w:sz w:val="18"/>
          <w:szCs w:val="18"/>
          <w:color w:val="auto"/>
        </w:rPr>
      </w:pPr>
    </w:p>
    <w:p>
      <w:pPr>
        <w:ind w:left="460" w:right="180" w:hanging="371"/>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September 30, 2020 and 2019 was $16.6 million and $14.6 million, respectively, an increase of $2.0 million, or 14%. This increase is primarily a result of an increase in personnel and related costs as well as insurance premiums partially offset by a decrease in legal fees.</w:t>
      </w:r>
    </w:p>
    <w:p>
      <w:pPr>
        <w:spacing w:after="0" w:line="1" w:lineRule="exact"/>
        <w:rPr>
          <w:rFonts w:ascii="Times New Roman" w:cs="Times New Roman" w:eastAsia="Times New Roman" w:hAnsi="Times New Roman"/>
          <w:sz w:val="18"/>
          <w:szCs w:val="18"/>
          <w:color w:val="auto"/>
        </w:rPr>
      </w:pPr>
    </w:p>
    <w:p>
      <w:pPr>
        <w:ind w:left="460" w:right="60" w:hanging="371"/>
        <w:spacing w:after="0" w:line="253"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September 30, 2020 and 2019 was $9.9 million and $6.8 million, respectively, an increase of $3.2 million, or 47%. Non-cash stock-based compensation expense represents the estimated costs associated with equity awards issued to personnel supporting our selling, general and administrative functions. The increase is due primarily to an increase in the number of employees receiving equity awards as a result of the growth of our sales force and an increase in the underlying fair value of the equity awards.</w:t>
      </w:r>
    </w:p>
    <w:p>
      <w:pPr>
        <w:spacing w:after="0" w:line="18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We continuously evaluate all of our spending commitments and priorities, including the impact of the pending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 denial in the ANDA patent litigation and COVID-19 and as we work to increase revenue from VASCEPA. We plan to adjust our level of education and promotional activities based on various factors, including whether any generic company takes the risk of launching a generic version of VASCEPA during the patent litigation appeal process and the amount of any product launched.</w:t>
      </w:r>
    </w:p>
    <w:p>
      <w:pPr>
        <w:spacing w:after="0" w:line="180"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September 30, 2020 and 2019 was $10.2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$8.9 million, respectively, an increase of $1.3 million, or 14%. Research and development expenses for the three months ended September 30, 2020 and 2019 are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ind w:left="1700"/>
              <w:spacing w:after="0" w:line="205" w:lineRule="exact"/>
              <w:rPr>
                <w:sz w:val="20"/>
                <w:szCs w:val="20"/>
                <w:color w:val="auto"/>
              </w:rPr>
            </w:pPr>
            <w:r>
              <w:rPr>
                <w:rFonts w:ascii="Times New Roman" w:cs="Times New Roman" w:eastAsia="Times New Roman" w:hAnsi="Times New Roman"/>
                <w:sz w:val="18"/>
                <w:szCs w:val="18"/>
                <w:color w:val="auto"/>
              </w:rPr>
              <w:t>Research and development expense, excluding non-cash</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4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7" w:name="page38"/>
    <w:bookmarkEnd w:id="37"/>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September 30, 2020, as compared to the prior year period, is primarily due to timing of REDUCE-IT and related costs.</w:t>
      </w:r>
    </w:p>
    <w:p>
      <w:pPr>
        <w:spacing w:after="0" w:line="54" w:lineRule="exact"/>
        <w:rPr>
          <w:sz w:val="20"/>
          <w:szCs w:val="20"/>
          <w:color w:val="auto"/>
        </w:rPr>
      </w:pPr>
    </w:p>
    <w:p>
      <w:pPr>
        <w:ind w:left="500" w:right="140" w:hanging="492"/>
        <w:spacing w:after="0" w:line="257"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decrease in expenses is primarily driven by the completion of certain analyses performed beyond the REDUCE-IT cardiovascular outcomes trial. This is offset by the continuing support of various publications and scientific presentations relating to REDUCE-IT.</w:t>
      </w:r>
    </w:p>
    <w:p>
      <w:pPr>
        <w:spacing w:after="0" w:line="1" w:lineRule="exact"/>
        <w:rPr>
          <w:rFonts w:ascii="Times New Roman" w:cs="Times New Roman" w:eastAsia="Times New Roman" w:hAnsi="Times New Roman"/>
          <w:sz w:val="18"/>
          <w:szCs w:val="18"/>
          <w:color w:val="auto"/>
        </w:rPr>
      </w:pPr>
    </w:p>
    <w:p>
      <w:pPr>
        <w:ind w:left="500" w:right="4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three months ended September 30, 2020 and 2019 included annual FDA fees for maintaining manufacturing sites. Such fees primarily represent fees for support international regulatory review of VASCEPA, particularly in Europe,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supporting various other investigations, including work in collaboration with Mochida and pilot studies regarding VASCEPA.</w:t>
      </w:r>
    </w:p>
    <w:p>
      <w:pPr>
        <w:spacing w:after="0" w:line="1" w:lineRule="exact"/>
        <w:rPr>
          <w:rFonts w:ascii="Times New Roman" w:cs="Times New Roman" w:eastAsia="Times New Roman" w:hAnsi="Times New Roman"/>
          <w:sz w:val="18"/>
          <w:szCs w:val="18"/>
          <w:color w:val="auto"/>
        </w:rPr>
      </w:pPr>
    </w:p>
    <w:p>
      <w:pPr>
        <w:ind w:left="500" w:right="580" w:hanging="492"/>
        <w:spacing w:after="0" w:line="26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8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We are in the process of evaluating all of our spending commitments and priorities on research and development activities. Our research and development expenses may be variable in the coming quarters as we advance analysis of samples collected from REDUCE-IT patients, consider potential investigator initiatives involving VASCEPA and cardiovascular risk mitigation in COVID-19 patients, support international regulatory review of VASCEPA, particularly in Europe, and adjust to the potential impact of the launch of generic versions of VASCEPA in the United States.</w:t>
      </w:r>
    </w:p>
    <w:p>
      <w:pPr>
        <w:spacing w:after="0" w:line="178" w:lineRule="exact"/>
        <w:rPr>
          <w:sz w:val="20"/>
          <w:szCs w:val="20"/>
          <w:color w:val="auto"/>
        </w:rPr>
      </w:pPr>
    </w:p>
    <w:p>
      <w:pPr>
        <w:ind w:right="4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Net interest income for the three months ended September 30, 2020 and 2019 was $0.5 million and $1.1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$0.6 million, or 52%. Net interest income for the three months ended September 30, 2020 and 2019 is summarized in the table below:</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from royalty-bearing instrument (1):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debt from royalty-bearing instrument interest expense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(2)</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line="253"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three months ended September 30, 2020 and 2019 was $0.4 million and $1.5 million, respectively. These amounts reflect the fact that our VASCEPA net revenue levels have not been, and during these periods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 Additionally, the decrease in cash and non-cash interest is as a result of the royalty-bearing instrument balance decreasing from September 2019 to September 2020 as the instrument will be fully repaid in the fourth quarter of 2020.</w:t>
      </w:r>
    </w:p>
    <w:p>
      <w:pPr>
        <w:spacing w:after="0" w:line="2" w:lineRule="exact"/>
        <w:rPr>
          <w:rFonts w:ascii="Times New Roman" w:cs="Times New Roman" w:eastAsia="Times New Roman" w:hAnsi="Times New Roman"/>
          <w:sz w:val="18"/>
          <w:szCs w:val="18"/>
          <w:color w:val="auto"/>
        </w:rPr>
      </w:pPr>
    </w:p>
    <w:p>
      <w:pPr>
        <w:jc w:val="both"/>
        <w:ind w:left="500" w:right="40" w:hanging="492"/>
        <w:spacing w:after="0" w:line="255"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three months ended September 30, 2020 and 2019 was $1.0 million and $2.8 million, respectively. Interest income represents income earned on cash and investment balances. As a result of COVID-19 and the related economic conditions, interest rates have decreased during the three months ended September 30, 2020 as compared to the three months ended September 30, 2019.</w:t>
      </w:r>
    </w:p>
    <w:p>
      <w:pPr>
        <w:spacing w:after="0" w:line="184" w:lineRule="exact"/>
        <w:rPr>
          <w:sz w:val="20"/>
          <w:szCs w:val="20"/>
          <w:color w:val="auto"/>
        </w:rPr>
      </w:pPr>
    </w:p>
    <w:p>
      <w:pPr>
        <w:ind w:right="2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each of the three months ended September 30, 2020 and 2019 was nominal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 of $0.1 million, respectively. Other income (expense), net, primarily consists of gains and losses on foreign exchange transactions.</w:t>
      </w:r>
    </w:p>
    <w:p>
      <w:pPr>
        <w:spacing w:after="0" w:line="104" w:lineRule="exact"/>
        <w:rPr>
          <w:sz w:val="20"/>
          <w:szCs w:val="20"/>
          <w:color w:val="auto"/>
        </w:rPr>
      </w:pPr>
    </w:p>
    <w:p>
      <w:pPr>
        <w:ind w:right="3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for the three months ended September 30, 2020 and 2019 was a provision of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nil for the three months ended September 30, 2020 and 2019, respectively.</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2020 and September 30, 2019</w:t>
      </w:r>
    </w:p>
    <w:p>
      <w:pPr>
        <w:spacing w:after="0" w:line="11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net product revenue of $441.1 million and $285.3 million during the nine months ended September 30,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respectively, an increase of $155.8 million, or 55%. This increase was driven primarily by volume of VASCEPA sales to our customers in the United States, as well as a modest increase in VASCEPA’s net selling price in the United States. Orders by such customers were supported by an increase in estimated normalized total VASCEPA prescriptions in the United States, reflecting various factors including managed care access improvements. Based on data provided by Symphony Health and IQVIA, estimated normalized total VASCEPA prescriptions in the United States increased by approximately 1,087,000 and 1,027,000, respectively, over the nine months ended September 30, 2019, representing growth of 49% and 51%, respectively. The increase in net product revenue was also driven by VASCEPA sales to our commercial partners outside of the United States of approximately $8.9 million during the nine months ended September 30, 2020 as compared to $0.3 million during the nine months ended September 30, 2019, primarily as a result of an initial order to ensure availability of adequate product supply for the launch of VASCEPA in Canada. Such revenue is based on contractually agreed pricing and other terms.</w:t>
      </w:r>
    </w:p>
    <w:p>
      <w:pPr>
        <w:spacing w:after="0" w:line="187"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All of our product revenue, net in the United States, in the nine months ended September 30, 2020 and 2019 was derived from product sales of 1-gram and 0.5-gram size capsules of VASCEPA, net of allowances, discounts, incentives, rebates, chargebacks and returns. The U.S.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3"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and 2019, our Product revenue, net in the United States included adjustment for co-pay mitigation support provided by us for commercially insured patients. Such support is intended to offset a portion of the out-of-pocket expense that patients are required to pay for VASCEPA based upon the benefit design of their prescription drug coverage. Our cost for these co-payment support payments during the nine months ended September 30, 2020 and 2019 was up to $150 and $110, respectively, per 30-day prescription filled and, up to $450 and $330, respectively per 90-day prescription filled.</w:t>
      </w:r>
    </w:p>
    <w:p>
      <w:pPr>
        <w:spacing w:after="0" w:line="183"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in the United States are to major commercial wholesalers which then resell VASCEPA to retail pharmacies.</w:t>
      </w:r>
    </w:p>
    <w:p>
      <w:pPr>
        <w:spacing w:after="0" w:line="16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March 2020, COVID-19 became widespread in the United States and other geographies around the globe. In recognition of guidance from public health officials, we announced on March 15, 2020 a temporary suspension of in-person promotional activities. We resumed sales force, field-based, face-to-face interactions with healthcare providers beginning in June 2020, and now substantially all of our sales force personnel have the ability to resume face-to-face customer interactions, in a manner consistent with guidelines from local, state and government health officials in the United States. For a newly FDA-approved drug like VASCEPA to be prescribed, historically physicians need to have met with their patients for an examination and have received blood test results prior to prescribing the drug to the patient. Public reports from IQVIA showed patient visits to medical offices for non-emergency medical care were down approximately 70% in April 2020 during the height of the COVID-19 related social distancing. Also reported was a significant drop in the number of routine lab tests likely due to patients not seeking medical care for non-urgent medical needs and resources of the medical community shifting focus to address the COVID-19 pandemic. As a result, while VASCEPA prescription levels in the nine months ended September 30, 2020 grew over the nine months ended September 30, 2019, we witnessed a slowing of new patients being prescribed VASCEPA resulting in year over year growth in September 30, 2020 which was considerably slower than the growth reported in the three months ended March 31, 2020 when we launched VASCEPA for its new cardiovascular risk reduction indication. However, in September 2020 weekly normalized prescriptions are at or above pre-COVID levels. According to IQVIA data, in September 2020 the number of patient visits to health care providers increased meaningfully over the lows of April 2020 but remained below the volume levels reported prior to mid-March 2020 when the impact of COVID-19 began to significantly impact the United States. We cannot predict the duration of this pandemic and we cannot quantify the impact of COVID-19 on our business beyond September 30, 2020. We are confident that the patient need for VASCEPA remains high and that the slowing of VASCEPA growth in the nine months ended September 30, 2020 was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w:t>
      </w:r>
    </w:p>
    <w:p>
      <w:pPr>
        <w:spacing w:after="0" w:line="187" w:lineRule="exact"/>
        <w:rPr>
          <w:sz w:val="20"/>
          <w:szCs w:val="20"/>
          <w:color w:val="auto"/>
        </w:rPr>
      </w:pPr>
    </w:p>
    <w:p>
      <w:pPr>
        <w:jc w:val="both"/>
        <w:ind w:right="3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nine months ended September 30, 2020 and 2019 was $5.7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million, respectively, an increase of $4.6 million, or 403%. Licensing revenue relates to the recognition of amounts received in connection with the following VASCEPA licensing agreements:</w:t>
      </w:r>
    </w:p>
    <w:p>
      <w:pPr>
        <w:spacing w:after="0" w:line="175" w:lineRule="exact"/>
        <w:rPr>
          <w:sz w:val="20"/>
          <w:szCs w:val="20"/>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Eddingpharm – a $15.0 million up-front payment received in February 2015 and a $1.0 million milestone payment achieved in March 2016.</w:t>
      </w:r>
    </w:p>
    <w:p>
      <w:pPr>
        <w:spacing w:after="0" w:line="27" w:lineRule="exact"/>
        <w:rPr>
          <w:rFonts w:ascii="Times New Roman" w:cs="Times New Roman" w:eastAsia="Times New Roman" w:hAnsi="Times New Roman"/>
          <w:sz w:val="18"/>
          <w:szCs w:val="18"/>
          <w:color w:val="auto"/>
        </w:rPr>
      </w:pPr>
    </w:p>
    <w:p>
      <w:pPr>
        <w:ind w:left="880" w:right="260" w:hanging="373"/>
        <w:spacing w:after="0" w:line="253"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FDA approval of a new indication and label expansion in December 2019 and a $3.8 million milestone payment that was received as a result of obtaining a regulatory exclusivity designation in January 2020.</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w:t>
      </w:r>
    </w:p>
    <w:p>
      <w:pPr>
        <w:spacing w:after="0" w:line="176"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60" w:lineRule="exact"/>
        <w:rPr>
          <w:sz w:val="20"/>
          <w:szCs w:val="20"/>
          <w:color w:val="auto"/>
        </w:rPr>
      </w:pPr>
    </w:p>
    <w:p>
      <w:pPr>
        <w:ind w:right="40" w:firstLine="51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Cost of goods sold. </w:t>
      </w:r>
      <w:r>
        <w:rPr>
          <w:rFonts w:ascii="Times New Roman" w:cs="Times New Roman" w:eastAsia="Times New Roman" w:hAnsi="Times New Roman"/>
          <w:sz w:val="17"/>
          <w:szCs w:val="17"/>
          <w:color w:val="auto"/>
        </w:rPr>
        <w:t>Cost of goods sold during the nine months ended September 30, 2020 and 2019 was $96.7 million and $65.4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an increase of $31.3 million, or 48%.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6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nine months ended September 30, 2020 and 2019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2020 to be similar to or modestly lower than 2019. The average cost may be variable from period to period depending upon the timing and quantity of API purchased from each supplier.</w:t>
      </w:r>
    </w:p>
    <w:p>
      <w:pPr>
        <w:spacing w:after="0" w:line="18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overall gross margin on product sales for each of the nine months ended September 30, 2020 and 2019 was 78% and 77%, respectively. The increase in gross margin on product sales is driven by gross margin on U.S. product sales of 79%, partially offset by the gross margin on product sales to our partners outside the U.S. which was based on contractually agreed upon terms with our commercial partners in those territories which partners incur the costs of promoting and selling the product in their territories. During the nine months ended September 30, 2019, the $0.3 million product sales to our partners outside the U.S. had a negligible impact on gross margin levels.</w:t>
      </w:r>
    </w:p>
    <w:p>
      <w:pPr>
        <w:spacing w:after="0" w:line="181" w:lineRule="exact"/>
        <w:rPr>
          <w:sz w:val="20"/>
          <w:szCs w:val="20"/>
          <w:color w:val="auto"/>
        </w:rPr>
      </w:pPr>
    </w:p>
    <w:p>
      <w:pPr>
        <w:ind w:right="2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nine months ended September 30, 2020 and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$346.5 million and $227.6 million, respectively, an increase of $118.9 million, or 52%. Selling, general and administrative expenses for the nine months ended September 30, 2020 and 2019 are summarized in the table below:</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346,496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left="500" w:hanging="492"/>
        <w:spacing w:after="0" w:line="253"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nine months ended September 30, 2020 and 2019 was $260.7 million and $168.8 million, respectively, an increase of $91.8 million, or 54%. This increase is primarily due to increased personnel costs related to the sales force expansion from approximately 440 sales professionals, including approximately 400 sales representatives, in 2019 to approximately 900 sales professionals, including approximately 800 sales representatives in 2020, as well as an increase in promotional activities and direct to consumer promotion following the launch of VASCEPA in early 2020 for the new indication and expanded label approved by FDA in December 2019, including the launch in July 2020 of the first television commercials for VASCEPA related to this new indication.</w:t>
      </w:r>
    </w:p>
    <w:p>
      <w:pPr>
        <w:spacing w:after="0" w:line="5" w:lineRule="exact"/>
        <w:rPr>
          <w:rFonts w:ascii="Times New Roman" w:cs="Times New Roman" w:eastAsia="Times New Roman" w:hAnsi="Times New Roman"/>
          <w:sz w:val="18"/>
          <w:szCs w:val="18"/>
          <w:color w:val="auto"/>
        </w:rPr>
      </w:pPr>
    </w:p>
    <w:p>
      <w:pPr>
        <w:jc w:val="both"/>
        <w:ind w:left="460" w:right="80" w:hanging="371"/>
        <w:spacing w:after="0" w:line="265" w:lineRule="auto"/>
        <w:tabs>
          <w:tab w:leader="none" w:pos="4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 for the nine months ended September 30, 2020 and 2019 were $56.5 and $39.5 million, respectively, an increase of $17.0 million, or 43%. This increase is primarily a result of increased personnel and related costs, legal fees related to the ANDA patent litigation</w:t>
      </w:r>
    </w:p>
    <w:p>
      <w:pPr>
        <w:ind w:left="460"/>
        <w:spacing w:after="0"/>
        <w:rPr>
          <w:sz w:val="20"/>
          <w:szCs w:val="20"/>
          <w:color w:val="auto"/>
        </w:rPr>
      </w:pPr>
      <w:r>
        <w:rPr>
          <w:rFonts w:ascii="Times New Roman" w:cs="Times New Roman" w:eastAsia="Times New Roman" w:hAnsi="Times New Roman"/>
          <w:sz w:val="18"/>
          <w:szCs w:val="18"/>
          <w:color w:val="auto"/>
        </w:rPr>
        <w:t>in the United States, and insurance premiums.</w:t>
      </w:r>
    </w:p>
    <w:p>
      <w:pPr>
        <w:spacing w:after="0" w:line="9" w:lineRule="exact"/>
        <w:rPr>
          <w:sz w:val="20"/>
          <w:szCs w:val="20"/>
          <w:color w:val="auto"/>
        </w:rPr>
      </w:pPr>
    </w:p>
    <w:p>
      <w:pPr>
        <w:ind w:left="500" w:right="240" w:hanging="492"/>
        <w:spacing w:after="0" w:line="253"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nine months ended September 30, 2020 and 2019 was $29.3 million and $19.2 million, respectively, an increase of $10.1 million, or 53%. Non-cash stock-based compensation expense represents the estimated costs associated with equity awards issued to personnel supporting our selling, general and administrative functions. The increase is due primarily to an increase in the number of employees receiving equity awards as a result of the growth of our sales force and an increase in the underlying fair value of the equity awards.</w:t>
      </w:r>
    </w:p>
    <w:p>
      <w:pPr>
        <w:spacing w:after="0" w:line="18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We continuously evaluate all of our spending commitments and priorities, including the impact of the pending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 denial in the ANDA patent litigation and COVID-19 and as we work to increase revenue from VASCEPA. We plan to adjust our level of education and promotional activities based on various factors, including whether any generic company takes the risk of launching a generic version of VASCEPA during the patent litigation appeal process and the amount of any product launched.</w:t>
      </w:r>
    </w:p>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7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nine months ended September 30, 2020 and 2019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$30.5 million and $23.3 million, respectively, an increase of $7.2 million, or 31%. Research and development expenses for the nine months ended September 30, 2020 and 2019 are summarized in the table below:</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CFF0FC"/>
            </w:tcBorders>
            <w:vMerge w:val="continue"/>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 expense, excluding non-cash</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nine months ended September 30, 2020, as compared to the prior year period, is primarily due to timing of REDUCE-IT and related costs.</w:t>
      </w:r>
    </w:p>
    <w:p>
      <w:pPr>
        <w:spacing w:after="0" w:line="54" w:lineRule="exact"/>
        <w:rPr>
          <w:sz w:val="20"/>
          <w:szCs w:val="20"/>
          <w:color w:val="auto"/>
        </w:rPr>
      </w:pPr>
    </w:p>
    <w:p>
      <w:pPr>
        <w:jc w:val="both"/>
        <w:ind w:left="500" w:right="160" w:hanging="492"/>
        <w:spacing w:after="0" w:line="257"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increase in expenses is primarily driven by costs beyond the conduct of the study to further analyze samples collected from REDUCE-IT patients as well as the support of various publications and scientific presentations relating to REDUCE-IT.</w:t>
      </w:r>
    </w:p>
    <w:p>
      <w:pPr>
        <w:spacing w:after="0" w:line="1"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included annual FDA fees for maintaining manufacturing sites. Such fees primarily represent fees for support international regulatory review of VASCEPA, particularly in Europe,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In January 2020, we achieved certain milestones under our strategic collaboration agreement with Mochida, resulting in payment of $1.0 million. Also included are costs associated with various other investigations, including other costs in collaboration with Mochida and pilot studies regarding VASCEPA.</w:t>
      </w:r>
    </w:p>
    <w:p>
      <w:pPr>
        <w:spacing w:after="0" w:line="1" w:lineRule="exact"/>
        <w:rPr>
          <w:rFonts w:ascii="Times New Roman" w:cs="Times New Roman" w:eastAsia="Times New Roman" w:hAnsi="Times New Roman"/>
          <w:sz w:val="18"/>
          <w:szCs w:val="18"/>
          <w:color w:val="auto"/>
        </w:rPr>
      </w:pPr>
    </w:p>
    <w:p>
      <w:pPr>
        <w:ind w:left="500" w:right="580" w:hanging="492"/>
        <w:spacing w:after="0" w:line="26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8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We are in the process of evaluating all of our spending commitments and priorities on research and development activities. Our research and development expenses may be variable in the coming quarters as we advance analysis of samples collected from REDUCE-IT patients, consider potential investigator initiatives involving VASCEPA and cardiovascular risk mitigation in COVID-19 patients, support international regulatory review of VASCEPA, particularly in Europe, and adjust to the potential impact of the launch of generic versions of VASCEPA in the United States.</w:t>
      </w:r>
    </w:p>
    <w:p>
      <w:pPr>
        <w:spacing w:after="0" w:line="178" w:lineRule="exact"/>
        <w:rPr>
          <w:sz w:val="20"/>
          <w:szCs w:val="20"/>
          <w:color w:val="auto"/>
        </w:rPr>
      </w:pPr>
    </w:p>
    <w:p>
      <w:pPr>
        <w:ind w:right="6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Net interest income for the nine months ended September 30, 2020 and 2019 was income of $1.9 million and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respectively, an increase of $1.7 million, or 702%. Net interest income for the nine months ended September 30, 2020 and 2019 is summarized in the table below:</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5"/>
                <w:szCs w:val="15"/>
                <w:color w:val="auto"/>
              </w:rPr>
            </w:pPr>
          </w:p>
        </w:tc>
        <w:tc>
          <w:tcPr>
            <w:tcW w:w="24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(1):</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debt from royalty-bearing instrument interest expense</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(2)</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line="261"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nine months ended September 30, 2020 and 2019 was $2.1 million and $4.7 million, respectively. These amounts reflect the fact that our VASCEPA net revenue levels have not been, and during these periods were not assumed to be, high enough to support repayment in accordance with the contractual repayment schedule without the optional reduction which is allowed to be elected</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1" w:name="page42"/>
    <w:bookmarkEnd w:id="41"/>
    <w:p>
      <w:pPr>
        <w:ind w:left="500" w:right="300"/>
        <w:spacing w:after="0" w:line="255" w:lineRule="auto"/>
        <w:rPr>
          <w:sz w:val="20"/>
          <w:szCs w:val="20"/>
          <w:color w:val="auto"/>
        </w:rPr>
      </w:pPr>
      <w:r>
        <w:rPr>
          <w:rFonts w:ascii="Times New Roman" w:cs="Times New Roman" w:eastAsia="Times New Roman" w:hAnsi="Times New Roman"/>
          <w:sz w:val="18"/>
          <w:szCs w:val="18"/>
          <w:color w:val="auto"/>
        </w:rPr>
        <w:t>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 Additionally, the decrease in cash and non-cash interest is as a result of the entire royalty-bearing instrument balance decreasing from September 2019 to September 2020 as the instrument will be fully repaid in the fourth quarter of 2020.</w:t>
      </w:r>
    </w:p>
    <w:p>
      <w:pPr>
        <w:spacing w:after="0" w:line="3" w:lineRule="exact"/>
        <w:rPr>
          <w:sz w:val="20"/>
          <w:szCs w:val="20"/>
          <w:color w:val="auto"/>
        </w:rPr>
      </w:pPr>
    </w:p>
    <w:p>
      <w:pPr>
        <w:ind w:left="500" w:right="100" w:hanging="492"/>
        <w:spacing w:after="0" w:line="255"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nine months ended September 30, 2020 and 2019 was $4.4 million and $5.4 million, respectively. Interest income represents income earned on cash and investment balances. As a result of COVID-19 and the resulting economic conditions, interest rates have decreased during the nine months ended September 30, 2020 as compared to the nine months ended September 30, 2019.</w:t>
      </w:r>
    </w:p>
    <w:p>
      <w:pPr>
        <w:spacing w:after="0" w:line="184" w:lineRule="exact"/>
        <w:rPr>
          <w:sz w:val="20"/>
          <w:szCs w:val="20"/>
          <w:color w:val="auto"/>
        </w:rPr>
      </w:pPr>
    </w:p>
    <w:p>
      <w:pPr>
        <w:ind w:right="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nine months ended September 30, 2020 and 2019 was income of $0.1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$0.2 million, respectively. Other income (expense), net, primarily consists of gains and losses on foreign exchange transactions.</w:t>
      </w:r>
    </w:p>
    <w:p>
      <w:pPr>
        <w:spacing w:after="0" w:line="10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Income tax (provision) benefit</w:t>
      </w:r>
      <w:r>
        <w:rPr>
          <w:rFonts w:ascii="Times New Roman" w:cs="Times New Roman" w:eastAsia="Times New Roman" w:hAnsi="Times New Roman"/>
          <w:sz w:val="18"/>
          <w:szCs w:val="18"/>
          <w:color w:val="auto"/>
        </w:rPr>
        <w:t>. Income tax (provision) benefit for the nine months ended September 30, 2020 and 2019 was $2.4 million and nil,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income tax benefit recorded for the period ended September 30, 2020 primarily relates to the carryback of U.S. net operating losses as permitted under the CARES Act enacted in March 2020. The provision for each period is the result of losses generated by our U.S. and non-U.S. operations for which no tax benefit other than the benefit related to the loss carryback has been recognized based on our position that deferred tax benefits are not more likely than not to be realized based on available evidence.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Our sources of liquidity as of September 30, 2020 exceeds $600.0 million which includes cash and cash equivalents and restricted cash of $211.1 million, short-term investments of $354.7 million and long-term investments of $46.1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81" w:lineRule="exact"/>
        <w:rPr>
          <w:sz w:val="20"/>
          <w:szCs w:val="20"/>
          <w:color w:val="auto"/>
        </w:rPr>
      </w:pPr>
    </w:p>
    <w:p>
      <w:pPr>
        <w:ind w:right="800" w:firstLine="510"/>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5"/>
                <w:szCs w:val="15"/>
                <w:color w:val="auto"/>
              </w:rPr>
            </w:pPr>
          </w:p>
        </w:tc>
        <w:tc>
          <w:tcPr>
            <w:tcW w:w="23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(400.6)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September 30, 2020 compared net cash used in operating activities during the same period in 2019 increased primarily as a result of higher collections due to an increase in product sales, partially offset by costs associated with expanding our United States-based sales force, as well as increased costs of promotional activities following the successful REDUCE-IT study results.</w:t>
      </w:r>
    </w:p>
    <w:p>
      <w:pPr>
        <w:spacing w:after="0" w:line="176"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2020 compared to the same period in 2019 increased as a result of our purchasing approximately $587.1 million investment-grade interest bearing instruments during 2020, partially offset by $186.7 million in proceeds from the maturity and sale of securities.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2020 primarily reflects an increase in the payments made on our royalty-bearing instrument. 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September 30, 2020, the net remaining amount to be repaid to CPPIB is $9.6 million, which will be repaid during the fourth quarter of 2020.</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2019 is primarily due to completing a public offering of 22,222,223 ADS with each ADS representing one ordinary share, at a price of $18.00 per ADS after commission, on July 18, 2019. In addition, we granted the underwriters a 30-day option to purchase up to an additional 3,333,333 ADS at a price of $18.00 per ADS. On July 29, 2019, the underwriters exercised the full option. This public offering, including the exercised option, resulted in net proceeds to us of approximately $440.1 million, after deducting customary commissions and offering expenses. Net cash provided by financing activities in the same period in 2018 was primarily a result of a common stock issuance.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w:t>
      </w:r>
    </w:p>
    <w:p>
      <w:pPr>
        <w:spacing w:after="0" w:line="138"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As of September 30, 2020, we had net accounts receivable $147.3 million and inventory of $148.5 million. We have incurred annual operating losses since our inception and, as a result, we had an accumulated deficit of $1.4 billion as of September 30, 2020. We anticipate that quarterly net cash outflows in future periods will continue to be variable as a result of the timing of certain items, including our purchases of API, VASCEPA promotional activities from approval by the FDA for the new indication and expanded label and the impact from COVID-19 on our operations and those of our customers, any potential generic competition in the United States as a result of our ANDA litigation and commercialization of VASCEPA in Europe. For Europe, we anticipate the number of added employees to be hired in 2020 to be fewer than twenty professionals as the initial focus in Europe is on regulatory approval and reimbursement.</w:t>
      </w:r>
    </w:p>
    <w:p>
      <w:pPr>
        <w:spacing w:after="0" w:line="135"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of $207.2 million as of September 30, 2020 together with our short-term investments of $354.7 million as of September 30, 2020, will be sufficient to fund our projected operations for at least twelve months and is adequate to achieve positive cash flow from VASCEPA based on our current plans. We have based this estimate on assumptions that may prove to be wrong, including as a result of the risks discussed below under Part II, Item IA, “Risk Factors”, and we could use our capital resources sooner than we expect or fail to achieve positive cash flow.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operating leases related to real estate used as office space and debt and related interest. There have been no material changes during the nine months ended September 30, 2020 to our contractual obligations as presented in Part II, Item 7 of our Annual Report on Form 10-K for the year ended December 31,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2020.</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firstLine="510"/>
        <w:spacing w:after="0" w:line="256" w:lineRule="auto"/>
        <w:rPr>
          <w:sz w:val="20"/>
          <w:szCs w:val="20"/>
          <w:color w:val="auto"/>
        </w:rPr>
      </w:pPr>
      <w:r>
        <w:rPr>
          <w:rFonts w:ascii="Times New Roman" w:cs="Times New Roman" w:eastAsia="Times New Roman" w:hAnsi="Times New Roman"/>
          <w:sz w:val="18"/>
          <w:szCs w:val="18"/>
          <w:color w:val="auto"/>
        </w:rPr>
        <w:t>As of September 30, 2020,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2020,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2020,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2019 and “Item 1. Legal Proceedings” of our Quarterly Reports on Form 10-Q for the three months ended March 31, 2020 and the three months ended June 30, 2020 include a discussion of our current legal proceedings. There have been no material changes to the matters described in those disclosures during the three months ended September 30, 2020, other than as set forth below.</w:t>
      </w:r>
    </w:p>
    <w:p>
      <w:pPr>
        <w:spacing w:after="0" w:line="35" w:lineRule="exact"/>
        <w:rPr>
          <w:sz w:val="20"/>
          <w:szCs w:val="20"/>
          <w:color w:val="auto"/>
        </w:rPr>
      </w:pPr>
    </w:p>
    <w:p>
      <w:pPr>
        <w:ind w:right="120" w:firstLine="578"/>
        <w:spacing w:after="0" w:line="253" w:lineRule="auto"/>
        <w:rPr>
          <w:sz w:val="20"/>
          <w:szCs w:val="20"/>
          <w:color w:val="auto"/>
        </w:rPr>
      </w:pPr>
      <w:r>
        <w:rPr>
          <w:rFonts w:ascii="Times New Roman" w:cs="Times New Roman" w:eastAsia="Times New Roman" w:hAnsi="Times New Roman"/>
          <w:sz w:val="18"/>
          <w:szCs w:val="18"/>
          <w:color w:val="auto"/>
        </w:rPr>
        <w:t xml:space="preserve">The trial for the ANDA patent litigation against defendants, Dr. Reddy’s Laboratories, Inc. and Dr. Reddy’s Laboratories, Ltd., or, collectively, DRL, and Hikma Pharmaceuticals USA Inc., or Hikma, and certain of their respective affiliates, or the Defendants, took place in the United States District Court for the District of Nevada, or the Nevada Court (case no.: 2:16-cv-02525-MMD-NJK (consolidated with 2:16-cv-02562-MMD-NJK). Following conclusion of the trial in late January 2020, the Nevada Court, on March 30, 2020, decided in favor of the Defendants, ruling that our relevant patents are invalid due to obviousness. We appealed this decision to the United States Court of Appeals for the Federal Circuit (case no.: 20-1723). On September 3, 2020, the U.S. Court of Appeals for the Federal Circuit, or the Federal Circuit, upheld the March ruling by the Nevada Court in favor of the two generic companies. On October 2, 2020, we filed a combined petition for panel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(case no.: 20-1723, -1901). On November 4, 2020, our rehearing and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petitions were denied. The mandate of the court will issue on November 12, 2020. We plan to file a writ of certiorari within 90 days of such denial to ask the United States Supreme Court to hear our appeal. We intend to vigorously pursue this matter, but we cannot predict the outcome.</w:t>
      </w:r>
    </w:p>
    <w:p>
      <w:pPr>
        <w:spacing w:after="0" w:line="2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162" w:lineRule="exact"/>
        <w:rPr>
          <w:sz w:val="20"/>
          <w:szCs w:val="20"/>
          <w:color w:val="auto"/>
        </w:rPr>
      </w:pPr>
    </w:p>
    <w:p>
      <w:pPr>
        <w:ind w:left="620" w:right="120" w:hanging="369"/>
        <w:spacing w:after="0" w:line="257"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 its commercialization in the United States and its development and commercialization in Europe and other major markets. In the United States, VASCEPA could experience generic competition in the near term and in Europe VASCEPA is not currently approved for sale by applicable regulatory authorities.</w:t>
      </w:r>
    </w:p>
    <w:p>
      <w:pPr>
        <w:spacing w:after="0" w:line="1" w:lineRule="exact"/>
        <w:rPr>
          <w:rFonts w:ascii="Times New Roman" w:cs="Times New Roman" w:eastAsia="Times New Roman" w:hAnsi="Times New Roman"/>
          <w:sz w:val="18"/>
          <w:szCs w:val="18"/>
          <w:color w:val="auto"/>
        </w:rPr>
      </w:pPr>
    </w:p>
    <w:p>
      <w:pPr>
        <w:ind w:left="620" w:right="280" w:hanging="369"/>
        <w:spacing w:after="0" w:line="25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decision in favor of the two generic drug companies in connection with our ANDA patent trial, which ruling was upheld on appeal by a Federal Circuit panel, we could face generic competition in the near term and our revenues and results of operations could be materially and adversely affected if the generic companies obtain adequate supply and launch one or more generic versions of VASCEPA in the United States.</w:t>
      </w:r>
    </w:p>
    <w:p>
      <w:pPr>
        <w:spacing w:after="0" w:line="1" w:lineRule="exact"/>
        <w:rPr>
          <w:rFonts w:ascii="Times New Roman" w:cs="Times New Roman" w:eastAsia="Times New Roman" w:hAnsi="Times New Roman"/>
          <w:sz w:val="18"/>
          <w:szCs w:val="18"/>
          <w:color w:val="auto"/>
        </w:rPr>
      </w:pPr>
    </w:p>
    <w:p>
      <w:pPr>
        <w:ind w:left="620" w:right="420" w:hanging="369"/>
        <w:spacing w:after="0" w:line="25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necessary to meet expectations for commercial success.</w:t>
      </w:r>
    </w:p>
    <w:p>
      <w:pPr>
        <w:ind w:left="620" w:right="440" w:hanging="369"/>
        <w:spacing w:after="0" w:line="25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scale and scope of the coronavirus, or COVID-19, pandemic is uncertain and poses a significant threat to public health and infrastructure throughout the world, which could have a negative impact on our business.</w:t>
      </w:r>
    </w:p>
    <w:p>
      <w:pPr>
        <w:ind w:left="620" w:right="360" w:hanging="369"/>
        <w:spacing w:after="0" w:line="25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planned commercialization efforts may not be successful in increasing sales of VASCEPA in the United States and developing sales internationally.</w:t>
      </w:r>
    </w:p>
    <w:p>
      <w:pPr>
        <w:ind w:left="620" w:hanging="369"/>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promotion of VASCEPA is subject to regulatory scrutiny and associated risk generally.</w:t>
      </w:r>
    </w:p>
    <w:p>
      <w:pPr>
        <w:spacing w:after="0" w:line="9"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w:t>
      </w:r>
    </w:p>
    <w:p>
      <w:pPr>
        <w:spacing w:after="0" w:line="9" w:lineRule="exact"/>
        <w:rPr>
          <w:rFonts w:ascii="Times New Roman" w:cs="Times New Roman" w:eastAsia="Times New Roman" w:hAnsi="Times New Roman"/>
          <w:sz w:val="18"/>
          <w:szCs w:val="18"/>
          <w:color w:val="auto"/>
        </w:rPr>
      </w:pPr>
    </w:p>
    <w:p>
      <w:pPr>
        <w:ind w:left="620" w:right="540" w:hanging="369"/>
        <w:spacing w:after="0" w:line="25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ind w:left="620" w:right="400" w:hanging="369"/>
        <w:spacing w:after="0" w:line="25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ind w:left="620" w:hanging="369"/>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620" w:right="320" w:hanging="369"/>
        <w:spacing w:after="0" w:line="261"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ind w:left="620" w:right="440" w:hanging="369"/>
        <w:spacing w:after="0" w:line="250"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of VASCEPA outside the United States is substantially dependent on third parties and other circumstances outside our control.</w:t>
      </w:r>
    </w:p>
    <w:p>
      <w:pPr>
        <w:ind w:left="620" w:hanging="369"/>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to protect the commercial potential of VASCEPA.</w:t>
      </w:r>
    </w:p>
    <w:p>
      <w:pPr>
        <w:spacing w:after="0" w:line="9"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prevent competitors from competing with VASCEPA, even if we seek to enforce our patent rights.</w:t>
      </w:r>
    </w:p>
    <w:p>
      <w:pPr>
        <w:spacing w:after="0" w:line="9"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any of our pending patent applications relating to VASCEPA or its use will issue as patents.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this Quarterly Report on Form 10-Q, including our condensed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Except those denoted below with a “*”, these risk factors have not been materially updated from our Quarterly Report on Form 10-Q for the three months ended June 30, 2020.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117" w:lineRule="exact"/>
        <w:rPr>
          <w:sz w:val="20"/>
          <w:szCs w:val="20"/>
          <w:color w:val="auto"/>
        </w:rPr>
      </w:pPr>
    </w:p>
    <w:p>
      <w:pPr>
        <w:ind w:left="260" w:right="80" w:firstLine="3"/>
        <w:spacing w:after="0" w:line="268" w:lineRule="auto"/>
        <w:tabs>
          <w:tab w:leader="none" w:pos="39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are substantially dependent upon VASCEPA, its commercialization in the United States and its development and commercialization in Europe and other major markets. In the United States, VASCEPA could experience generic competition in the near term and in Europe VASCEPA is not currently approved for sale by applicable regulatory authorities.</w:t>
      </w:r>
    </w:p>
    <w:p>
      <w:pPr>
        <w:spacing w:after="0" w:line="67"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success of our company depends on our ability to successfully commercialize our only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in major markets globally. Much of our near-term financial results and value as a company had depended and currently depends on our ability to execute our development and commercial strategy for VASCEPA in the United States. As previously disclosed, VASCEPA could face competition from generic companies in the United States in the near term following patent litigation rulings against us in this territory.</w:t>
      </w:r>
    </w:p>
    <w:p>
      <w:pPr>
        <w:spacing w:after="0" w:line="7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continue our development efforts to support regulatory approvals and launch of VASCEPA in major markets outside the United States. Our expansion and development of VASCEPA outside the United States is generally not subject to the adverse patent ruling in the United States. Development outside the United States is primarily based on the second, and significantly more valuable, indication approval for VASCEPA in the United States, use of the drug in the reduction of cardiovascular risk in select high-risk patients. We are currently developing VASCEPA on our own in Europe for the use of the drug in the reduction of cardiovascular risk in select high-risk patients and are exploring possible strategic collaborations in smaller markets within Europe and in other major markets. We currently have multiple partners for the development and commercialization of VASCEPA in select geographies and intend to consider potential additional partners to commercialize VASCEPA in other parts of the world. For example, we have strategic collaborations for the development and commercialization of VASCEPA in Canada, the Middle East and Greater China. If commercialization efforts for VASCEPA do not meet expectations in major markets such as the United States and Europe, our business and prospects could be materially and adversely affected.</w:t>
      </w:r>
    </w:p>
    <w:p>
      <w:pPr>
        <w:spacing w:after="0" w:line="8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announced, in December 2019, that the EMA validated our MAA seeking approval for icosapent ethyl (brand name VASCEPA in the United States) as a treatment to reduce the risk of cardiovascular events in select high-risk patients.</w:t>
      </w:r>
    </w:p>
    <w:p>
      <w:pPr>
        <w:spacing w:after="0" w:line="72"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and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260" w:right="300" w:firstLine="3"/>
        <w:spacing w:after="0" w:line="262" w:lineRule="auto"/>
        <w:tabs>
          <w:tab w:leader="none" w:pos="395"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 a result of the decision in favor of the two generic drug companies in connection with our ANDA patent trial, which ruling was upheld on appeal by a Federal Circuit panel, we could face generic competition in the near term and our revenues and results of operations could be materially and adversely affected if the generic companies obtain adequate supply and launch one or more generic versions of VASCEPA in the United States.</w:t>
      </w:r>
    </w:p>
    <w:p>
      <w:pPr>
        <w:spacing w:after="0" w:line="7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received paragraph IV certification notices from certain companies contending to varying degrees that certain of our patents are invalid, unenforceable and/or will not be infringed by the manufacture, use, sale or offer for sale of a generic form of VASCEPA as described in those companies’ ANDAs. Following receipt of the paragraph IV certifications, beginning in late 2017 we were involved in litigation against these companies, including Dr. Reddy’s Laboratories, Inc., or DRL, and Hikma Pharmaceuticals USA Inc., or Hikma, (formerly known as West-Ward) and certain of their affiliates, or the Defendants, in the U.S. District Court for the District of Nevada, or the Nevada Court. In these lawsuits, we sought, among other remedies, an order enjoining each Defendant from marketing generic versions of VASCEPA before the last to expire of the asserted patents in 2030.</w:t>
      </w:r>
    </w:p>
    <w:p>
      <w:pPr>
        <w:spacing w:after="0" w:line="79"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 xml:space="preserve">On March 30, 2020, following conclusion of a trial in late January 2020, the Nevada Court issued its ruling in favor of the Defendants. On May 22, 2020 and August 10, 2020, Hikma and Dr. Reddy’s, respectively, received its FDA approval to market its generic versions of VASCEPA. On September 3, 2020, the U.S. Court of Appeals for the Federal Circuit, or the Federal Circuit, upheld the March ruling by the Nevada Court in favor of the two generic companies. On October 2, 2020, we filed a combined petition for panel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4, 2020, our rehearing and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petitions were denied. The mandate of the court will issue on November 12, 2020. We plan to file a writ of certiorari within 90 days of such denial to ask the United States Supreme Court to hear our appeal. We intend to vigorously pursue this matter, but we cannot predict the outcome.</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The court rulings detailed above could also permit Teva Pharmaceuticals USA, Inc., or Teva, to launch a generic version of VASCEPA under certain circumstances pursuant to a settlement agreement with us. For example, our settlement agreement with Teva provides that if another generic company obtains FDA approval and launches at risk pending appeal of the March 2020 Nevada Court ruling, Teva can launch its generic version of VASCEPA if we do not obtain an injunction removing such product from the market within 60 days. In such case, Teva’s commercialization would be at risk as Teva would be required to withdraw its product from the market if the other entities that launched at risk withdraw their products. Our settlement with Apotex Inc., or Apotex, does not have this provision. Further, the Teva and Apotex settlement agreements permit such companies to launch their generic version of VASCEPA under royalty-free license from us given that our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review was not granted, after issuance of the Federal Circuit mandate on November 12, 2020. While Teva received FDA approval of its ANDA, any launch by Apotex would be subject to FDA approval of the Apotex ANDA and each generic launch is subject to procurement of adequate supply.</w:t>
      </w:r>
    </w:p>
    <w:p>
      <w:pPr>
        <w:spacing w:after="0" w:line="80"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Once a generic version of VASCEPA is available in the market, whether based on a generic product with a MARINE indication label or REDUCE-IT indication label it can be used to fill a prescription for any use of the drug, subject to the potential for patent infringement under certain case law and subject to certain Teva and Apotex settlement agreement terms. The possibility of generic competition in the near term could have, and any commercial launch of a generic version of VASCEPA into the market could have, a material and adverse impact on our revenues and our results of operations. There can be no assurance that we would be successful in preventing use of generic versions of VASCEPA in indications for which they have not been approved by FDA, even if such use are determined to infringe certain of our patent claims.</w:t>
      </w:r>
    </w:p>
    <w:p>
      <w:pPr>
        <w:spacing w:after="0" w:line="79"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Further, although we are pursuing available remedies, including a plan for a petition for writ of certiorari to ask the United States Supreme Court to hear our appeal, we may not be successful in any such efforts, which will be costly and time-consuming to pursue. Such efforts will also require considerable attention of management and could, even if ultimately successful, negatively impact our results of operations.</w:t>
      </w:r>
    </w:p>
    <w:p>
      <w:pPr>
        <w:spacing w:after="0" w:line="68"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Additionally, while we believe that VASCEPA is difficult to manufacture and that building capacity to manufacture VASCEPA is time-consuming and expensive, all of which may limit the amount of VASCEPA supply available to generic companies in the event that they launch a generic version of VASCEPA, we could be wrong. We do not have direct visibility into the supply levels of any of the generic companies and we rely on our own experience together with information from third parties. The generic companies could potentially find or develop sources of qualified VASCEPA supply that are not known to us.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promotional and educational efforts with respect to VASCEPA will suffer and consequentially VASCEPA prescriptions will likely decrease. In addition, we may face increased litigation with such suppliers, which can be costly and distracting to management. Such circumstances 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7" w:name="page48"/>
    <w:bookmarkEnd w:id="47"/>
    <w:p>
      <w:pPr>
        <w:ind w:left="2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FDA-approved labeling and promotional efforts state these facts.</w:t>
      </w:r>
    </w:p>
    <w:p>
      <w:pPr>
        <w:spacing w:after="0" w:line="183"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September 2018, we announced topline results from the REDUCE-IT®,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w:t>
      </w:r>
    </w:p>
    <w:p>
      <w:pPr>
        <w:spacing w:after="0" w:line="190" w:lineRule="exact"/>
        <w:rPr>
          <w:sz w:val="20"/>
          <w:szCs w:val="20"/>
          <w:color w:val="auto"/>
        </w:rPr>
      </w:pPr>
    </w:p>
    <w:p>
      <w:pPr>
        <w:ind w:right="480" w:firstLine="510"/>
        <w:spacing w:after="0" w:line="266" w:lineRule="auto"/>
        <w:rPr>
          <w:sz w:val="20"/>
          <w:szCs w:val="20"/>
          <w:color w:val="auto"/>
        </w:rPr>
      </w:pPr>
      <w:r>
        <w:rPr>
          <w:rFonts w:ascii="Times New Roman" w:cs="Times New Roman" w:eastAsia="Times New Roman" w:hAnsi="Times New Roman"/>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76"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Despite FDA approval for this new indication and expanded label for VASCEPA, we may not meet expectations for market acceptance by physicians, patients, healthcare payors and others in the medical community for this new approved use, even if we are successful in our appeal effort.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72" w:lineRule="exact"/>
        <w:rPr>
          <w:sz w:val="20"/>
          <w:szCs w:val="20"/>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pending patent litigation appeal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generic version of VASCEPA;</w:t>
      </w:r>
    </w:p>
    <w:p>
      <w:pPr>
        <w:spacing w:after="0" w:line="117"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REDUCE-IT results over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REDUCE-IT by regulatory authorities internationally;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and outside of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 uses, on-label and off-label;</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the recent outbreak of coronavirus, and political unrest that could inhibit our ability to promote VASCEPA regionally and can negatively affect product demand by creating obstacles for patients to seek treatment and fill prescriptions;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8" w:name="page49"/>
    <w:bookmarkEnd w:id="48"/>
    <w:p>
      <w:pPr>
        <w:ind w:left="1000" w:right="46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10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FDA-approved labeling. By contrast,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FDA labeling, FDA-approved labeling that is more closely tied to the patient population studied in a clinical trial could limit use generally and by making reimbursement more difficult.</w:t>
      </w:r>
    </w:p>
    <w:p>
      <w:pPr>
        <w:spacing w:after="0" w:line="197" w:lineRule="exact"/>
        <w:rPr>
          <w:sz w:val="20"/>
          <w:szCs w:val="20"/>
          <w:color w:val="auto"/>
        </w:rPr>
      </w:pPr>
    </w:p>
    <w:p>
      <w:pPr>
        <w:ind w:left="2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scale and scope of the coronavirus, or COVID-19, pandemic is uncertain and poses a significant threat to public health and infrastructure throughout the world, which could have a negative impact on our business.</w:t>
      </w:r>
    </w:p>
    <w:p>
      <w:pPr>
        <w:spacing w:after="0" w:line="186"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global spread of the coronavirus has created significant volatility, uncertainty and disruption in healthcare, social and economic infrastructures. The extent to which the coronavirus pandemic impacts our business, operations and financial results will depend on numerous evolving factors that we may not be able to accurately predict or plan around, including:</w:t>
      </w:r>
    </w:p>
    <w:p>
      <w:pPr>
        <w:spacing w:after="0" w:line="68" w:lineRule="exact"/>
        <w:rPr>
          <w:sz w:val="20"/>
          <w:szCs w:val="20"/>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actions taken in response;</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VASCEPA, including as a result of travel restrictions, social distancing and other containment measures;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enrollment or monitoring of patients in clinical trials, particularly at clinical trial sites located in highly impacted jurisdictions;</w:t>
      </w:r>
    </w:p>
    <w:p>
      <w:pPr>
        <w:spacing w:after="0" w:line="117"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to meet demand if the production capabilities of suppliers is disrupted;</w:t>
      </w:r>
    </w:p>
    <w:p>
      <w:pPr>
        <w:spacing w:after="0" w:line="53"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regulatory oversight and actions if regulators and industry professionals are expending significant and unexpected resources addressing COVID-19;</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reimbursement from government and health administration authorities, private health insurers and other third-party payors if the system becomes overly strained; and</w:t>
      </w:r>
    </w:p>
    <w:p>
      <w:pPr>
        <w:spacing w:after="0" w:line="53"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closures of our and our partners’ offices, operations and facilities impeding our ability to work together as a company and with our business and healthcare partners.</w:t>
      </w:r>
    </w:p>
    <w:p>
      <w:pPr>
        <w:spacing w:after="0" w:line="5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To comply with travel restrictions, social distancing, quarantines and other containment measures implemented in various geographies, in March 2020, we suspended field based face-to-face interactions. We resumed sales force, field-based, face-to-face interactions with healthcare providers beginning in June 2020, and now substantially all of our sales force personnel have the ability to resume face-to-face customer interactions, in a manner consistent with state and local guidance. However, many healthcare professionals are not allowing such face-to-face interactions and the number of patient visits to doctors’ offices remains down considerably from pre-COVID-19 levels and the number of patients undergoing blood testing remains down considerably from pre-COVID-19 levels. These circumstances vary geographically and vary over time, with continued risk of resurgences in COVID-19 cases, and reinstitution of protocols, in various geographies. We hope to be able to maintain our substantial resumption of our business</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ind w:right="40"/>
        <w:spacing w:after="0" w:line="266" w:lineRule="auto"/>
        <w:rPr>
          <w:sz w:val="20"/>
          <w:szCs w:val="20"/>
          <w:color w:val="auto"/>
        </w:rPr>
      </w:pPr>
      <w:r>
        <w:rPr>
          <w:rFonts w:ascii="Times New Roman" w:cs="Times New Roman" w:eastAsia="Times New Roman" w:hAnsi="Times New Roman"/>
          <w:sz w:val="18"/>
          <w:szCs w:val="18"/>
          <w:color w:val="auto"/>
        </w:rPr>
        <w:t>efforts, however, given the dynamics related to COVID-19, there can be no assurance that this will be the case. While we have supplemented these face-to-face interactions with virtual outreach, these efforts may not be as successful as traditional, in-person interactions. Specifically, access to healthcare professionals through the internet or other channels, may not be as productive as in-person interactions.</w:t>
      </w:r>
    </w:p>
    <w:p>
      <w:pPr>
        <w:spacing w:after="0" w:line="6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which would have a material and adverse effect on our business.</w:t>
      </w:r>
    </w:p>
    <w:p>
      <w:pPr>
        <w:spacing w:after="0" w:line="7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disruptions associated with the coronavirus pandemic could also delay the timing of a determination on our ability to seek legal remedies as travel, operational resources and personnel are disrupted, with respect to our efforts and capabilities, as well as those of our advisors and the courts. The disruptions associated with the coronavirus pandemic could delay the potential timing of completion of the EMA review and subsequent steps for our application to get VASCEPA approved to be marketed in Europe. For example, COVID-19 appears to have modestly slowed certain aspects of the review with the overall timeline for the review being completed by the EMA shifting from what was previously estimated as late 2020 into our current estimate of early 2021. COVID-19 could also delay our plans to hire additional employees for the planned commercialization of VASCEPA in Europe.</w:t>
      </w:r>
    </w:p>
    <w:p>
      <w:pPr>
        <w:spacing w:after="0" w:line="197" w:lineRule="exact"/>
        <w:rPr>
          <w:sz w:val="20"/>
          <w:szCs w:val="20"/>
          <w:color w:val="auto"/>
        </w:rPr>
      </w:pPr>
    </w:p>
    <w:p>
      <w:pPr>
        <w:ind w:left="260"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4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FDA has approved VASCEPA for this expanded label and new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33"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This was the case when Health Canada approved an indication based on REDUCE-IT data that was different in certain respects than that approved by FDA in the United States. It is possible the scope of subsequent regulatory approvals, if any, could likewise differ based on the same data, such as with our pending European Union, or EU, application. Conflicting interpretations of data, or new data, could impact public and medical community perception of the totality of the efficacy and safety data from REDUCE-IT.</w:t>
      </w:r>
    </w:p>
    <w:p>
      <w:pPr>
        <w:spacing w:after="0" w:line="129"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may consider the following additional factors, which could lead to evaluations of the totality of the efficacy and safety data from REDUCE-IT that differ from those of the FDA:</w:t>
      </w:r>
    </w:p>
    <w:p>
      <w:pPr>
        <w:spacing w:after="0" w:line="54" w:lineRule="exact"/>
        <w:rPr>
          <w:sz w:val="20"/>
          <w:szCs w:val="20"/>
          <w:color w:val="auto"/>
        </w:rPr>
      </w:pPr>
    </w:p>
    <w:p>
      <w:pPr>
        <w:ind w:left="1000" w:right="36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related to adverse events such as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22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draw conclusions that differ from those of the FDA, the FDA could reevaluate its conclusions as to the safety and efficacy of VASCEPA. Likewise, if additional data or analyses released from time to time do not meet expectations, the perception of REDUCE-IT results and the perceived and actual</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value of VASCEPA may suffer. In these instances our revenue and business could suffer and our stock price could significantly decline.</w:t>
      </w:r>
    </w:p>
    <w:p>
      <w:pPr>
        <w:spacing w:after="0" w:line="329" w:lineRule="exact"/>
        <w:rPr>
          <w:sz w:val="20"/>
          <w:szCs w:val="20"/>
          <w:color w:val="auto"/>
        </w:rPr>
      </w:pPr>
    </w:p>
    <w:p>
      <w:pPr>
        <w:ind w:left="260" w:right="220" w:firstLine="2"/>
        <w:spacing w:after="0" w:line="286" w:lineRule="auto"/>
        <w:tabs>
          <w:tab w:leader="none" w:pos="395"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5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5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but could be announced sooner or, due to delay related to COVID-19 or otherwise, later.</w:t>
      </w:r>
    </w:p>
    <w:p>
      <w:pPr>
        <w:spacing w:after="0" w:line="7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also completing our assessment of a clinical study of VASCEPA in China similar in design to our MARINE study. We expect to announce results of that study before the end of 2020. There can be no assurance that the results of this trial will be similar to the results of the MARINE study. Even if such results are similar additional clinical development efforts may be necessary in this market to demonstrate the effectiveness of VASCEPA in reducing major adverse cardiovascular events in Chinese patients with persistent cardiovascular risk.</w:t>
      </w:r>
    </w:p>
    <w:p>
      <w:pPr>
        <w:spacing w:after="0" w:line="72"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We have also funded investigational studies on the use of VASCEPA in the setting of COVID-19 infection, results of which are expected over the next year.</w:t>
      </w:r>
    </w:p>
    <w:p>
      <w:pPr>
        <w:spacing w:after="0" w:line="54"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280" w:lineRule="exact"/>
        <w:rPr>
          <w:sz w:val="20"/>
          <w:szCs w:val="20"/>
          <w:color w:val="auto"/>
        </w:rPr>
      </w:pPr>
    </w:p>
    <w:p>
      <w:pPr>
        <w:ind w:left="260" w:right="260" w:firstLine="3"/>
        <w:spacing w:after="0" w:line="286" w:lineRule="auto"/>
        <w:tabs>
          <w:tab w:leader="none" w:pos="395"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current and planned commercialization efforts may not be successful in increasing sales of VASCEPA in the United States and developing sales internationally.</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It is estimated that over 25 million adults in the United States have elevated triglyceride levels ≥200 mg/dL and that more than 50 million adults in the United States have elevated triglyceride levels ≥150 mg/dL. Approximately two to three million adults in the United States have very high (≥500 mg/dL) triglyceride levels, the MARINE patient population. There are approximately five to 15 million people in the United States who meet the specific REDUCE-IT inclusion criteria. Since 1976, mean triglyceride levels have increased in concert with the growing epidemic of obesity, insulin resistance, and type 2 diabetes mellitus. In contrast, mean LDL-C levels have decreased. Prior to the REDUCE-IT results topline announcement in September 2018, our direct sales force consisted of approximately 170 sales professionals, including sales representatives and their managers. Based on the positive REDUCE-IT results, in early 2019, we increased the size of our direct sales force to approximately 440 sales professionals, including approximately 400 sales representatives. As a result of the additional indication and label expansion approved by the FDA in December 2019, for cardiovascular risk reduction, we completed the further expansion of our direct sales force to approximately 900 sales professionals, including approximately 800 sales representatives. This sales team promotes VASCEPA to a limited group of physicians and other healthcare professionals in select geographies in the United States. Even after planned expansion, this sales team is not large enough to call upon all physicians. Thus, despite this significant expansion of our sales team, we may not have sufficient sales personnel and resources to maximize the sales potential of VASCEPA.</w:t>
      </w:r>
    </w:p>
    <w:p>
      <w:pPr>
        <w:spacing w:after="0" w:line="19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addition to the sales force expansion in the United States, we plan to work internally and with partners to support regulatory efforts toward approvals and commercialization outside the United States based primarily on REDUCE-IT results. For example, assuming regulatory approval, we plan to launch VASCEPA on our own in the most commercially significant markets in Europe. The commercial launch of a new pharmaceutical product is a complex undertaking for a company to manage, and we have no prior experience as a company operating a commercial-stage pharmaceutical business in Europe.</w:t>
      </w:r>
    </w:p>
    <w:p>
      <w:pPr>
        <w:spacing w:after="0" w:line="183"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Factors related to building and managing a sales and marketing organization in Europe and different territories world-wide that could inhibit our efforts to successfully commercialize VASCEPA, include the following:</w:t>
      </w:r>
    </w:p>
    <w:p>
      <w:pPr>
        <w:spacing w:after="0" w:line="54" w:lineRule="exact"/>
        <w:rPr>
          <w:sz w:val="20"/>
          <w:szCs w:val="20"/>
          <w:color w:val="auto"/>
        </w:rPr>
      </w:pPr>
    </w:p>
    <w:p>
      <w:pPr>
        <w:ind w:left="1000" w:right="46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the expiration of regulatory exclusivities and entry into the market of one or more generic versions of VASCEPA, as covered above or with respect to the impact such an event may have on the factors below;</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51" w:name="page52"/>
    <w:bookmarkEnd w:id="51"/>
    <w:p>
      <w:pPr>
        <w:ind w:left="1000" w:right="92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these requirements;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new sales personnel to obtain access to or persuade adequate numbers of physicians to prescribe VASCEPA;</w:t>
      </w:r>
    </w:p>
    <w:p>
      <w:pPr>
        <w:spacing w:after="0" w:line="117"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If we are not successful in maintaining a sales force that is rightsized for our efforts to market and sell VASCEPA,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18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To comply with travel restrictions, social distancing, quarantines and other containment measures implemented in various geographies, in March 2020, we suspended field based face-to-face interactions. We resumed sales force, field-based, face-to-face interactions with healthcare providers beginning in June 2020, and now substantially all of our sales force personnel have the ability to resume face-to-face customer interactions, in a manner consistent with state and local guidance. We hope to be able to maintain this substantial resumption of our business efforts, however, given the dynamics related to COVID-19, there can be no assurance that this will be the case. While we have supplemented these face-to-face interactions with virtual outreach, these efforts may not be as successful as traditional, in-person interactions. Specifically, access to healthcare professionals through the internet or other channels, may not be as productive as in-person interactions. In July 2020 we launched our first ever direct to consumer promotional campaign regarding VASCEPA demonstrating results in lowering cardiovascular risk in patients with persistent cardiovascular risk in high risk patients. In September 2020, we launched a new, nationwide television advertisement in connection with Amarin’s expanded promotional campaign which was further complemented by additional digital, point-of-care and other forms of healthcare professional and patient educational outreach. There can be no assurance that such promotion will have the intended positive increase in patients asking their healthcare providers regarding VASCEPA or that prescription rates for VASCEPA will increase in the near future or at all from such promotion. Data on increased product usage from similar promotion of other products suggests that the impact of television-based promotion can be positive and sustained but is rarely immediate in its effect. After assessing the scope, timing and pricing of potential generic competition, we may also decide to contract our VASCEPA promotional efforts.</w:t>
      </w:r>
    </w:p>
    <w:p>
      <w:pPr>
        <w:spacing w:after="0" w:line="3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promotion of VASCEPA is subject to regulatory scrutiny and associated risk generally.</w:t>
      </w:r>
    </w:p>
    <w:p>
      <w:pPr>
        <w:spacing w:after="0" w:line="121"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case law over the last several years has called into question the extent to which government in the United States, including FDA, can, and is willing to seek to, prevent truthful and non-misleading speech related to off-label uses of FDA-approved products such as VASCEPA.</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FDA and was thus not covered by then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87"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92"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87"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w:t>
      </w:r>
    </w:p>
    <w:p>
      <w:pPr>
        <w:spacing w:after="0" w:line="192" w:lineRule="exact"/>
        <w:rPr>
          <w:sz w:val="20"/>
          <w:szCs w:val="20"/>
          <w:color w:val="auto"/>
        </w:rPr>
      </w:pPr>
    </w:p>
    <w:p>
      <w:pPr>
        <w:ind w:right="340" w:firstLine="510"/>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ind w:right="20"/>
        <w:spacing w:after="0" w:line="255" w:lineRule="auto"/>
        <w:rPr>
          <w:sz w:val="20"/>
          <w:szCs w:val="20"/>
          <w:color w:val="auto"/>
        </w:rPr>
      </w:pPr>
      <w:r>
        <w:rPr>
          <w:rFonts w:ascii="Times New Roman" w:cs="Times New Roman" w:eastAsia="Times New Roman" w:hAnsi="Times New Roman"/>
          <w:sz w:val="18"/>
          <w:szCs w:val="18"/>
          <w:color w:val="auto"/>
        </w:rPr>
        <w:t>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Should generic versions of VASCEPA be launched by third parties or us, our ability to afford market education to grow the market and maintain our current promotional efforts and attract favorable commercial terms in several aspects of our business will likely be adversely affected.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89"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92" w:lineRule="exact"/>
        <w:rPr>
          <w:sz w:val="20"/>
          <w:szCs w:val="20"/>
          <w:color w:val="auto"/>
        </w:rPr>
      </w:pPr>
    </w:p>
    <w:p>
      <w:pPr>
        <w:ind w:right="340" w:firstLine="510"/>
        <w:spacing w:after="0" w:line="277" w:lineRule="auto"/>
        <w:rPr>
          <w:sz w:val="20"/>
          <w:szCs w:val="20"/>
          <w:color w:val="auto"/>
        </w:rPr>
      </w:pPr>
      <w:r>
        <w:rPr>
          <w:rFonts w:ascii="Times New Roman" w:cs="Times New Roman" w:eastAsia="Times New Roman" w:hAnsi="Times New Roman"/>
          <w:sz w:val="17"/>
          <w:szCs w:val="17"/>
          <w:color w:val="auto"/>
        </w:rPr>
        <w:t>In addition, in May 2014, Epanova</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or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6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AstraZeneca had been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AstraZeneca also stated that full data from the STRENGTH trial will be presented at a future medical meeting, which is anticipated to include the American Heart Association’s Scientific Sessions in November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94" w:lineRule="exact"/>
        <w:rPr>
          <w:sz w:val="20"/>
          <w:szCs w:val="20"/>
          <w:color w:val="auto"/>
        </w:rPr>
      </w:pPr>
    </w:p>
    <w:p>
      <w:pPr>
        <w:ind w:right="20" w:firstLine="510"/>
        <w:spacing w:after="0" w:line="273" w:lineRule="auto"/>
        <w:rPr>
          <w:sz w:val="20"/>
          <w:szCs w:val="20"/>
          <w:color w:val="auto"/>
        </w:rPr>
      </w:pPr>
      <w:r>
        <w:rPr>
          <w:rFonts w:ascii="Times New Roman" w:cs="Times New Roman" w:eastAsia="Times New Roman" w:hAnsi="Times New Roman"/>
          <w:sz w:val="17"/>
          <w:szCs w:val="17"/>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7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 An additional Nordic trial known as OMEMI is anticipated to read-out at the American Heart Association’s Scientific Sessions in November 2020.</w:t>
      </w:r>
    </w:p>
    <w:p>
      <w:pPr>
        <w:spacing w:after="0" w:line="18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 pure and stable EPA active ingredient in VASCEPA and its higher dose regimen.</w:t>
      </w:r>
    </w:p>
    <w:p>
      <w:pPr>
        <w:spacing w:after="0" w:line="176" w:lineRule="exact"/>
        <w:rPr>
          <w:sz w:val="20"/>
          <w:szCs w:val="20"/>
          <w:color w:val="auto"/>
        </w:rPr>
      </w:pPr>
    </w:p>
    <w:p>
      <w:pPr>
        <w:jc w:val="both"/>
        <w:ind w:right="200" w:firstLine="510"/>
        <w:spacing w:after="0" w:line="28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w:t>
      </w:r>
    </w:p>
    <w:p>
      <w:pPr>
        <w:spacing w:after="0" w:line="16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3"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Matinas BioPharma, Inc., or Matinas, is developing an omega-3-based therapeutic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Topline data is expected in the first quarter of 2021. In September, Matinas announced that in an end-of-Phase 2 meeting with the FDA, Matinas and the FDA aligned on key next steps for the MAT900 Phase 3 development program and registration pathway for an initial indication to treat severe hypertriglyceridemia, or SHTG. Matinas anticipates initiating the Phase 3 program in the first half of 2021, with topline results in the fourth quarter of 2022.</w:t>
      </w:r>
    </w:p>
    <w:p>
      <w:pPr>
        <w:spacing w:after="0" w:line="197"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In June 2018, Gemphire Therapeutics (renamed NeuroBo Pharmaceuticals, Inc. following completion of a merger on December 31, 2019)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hypercholesterolemia (HoFH), heterozygous familial hypercholesterolemia (HeFH) and non-familial hypercholesterolemia in ASCVD patients are planned. 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fourth quarter of 2021.</w:t>
      </w:r>
    </w:p>
    <w:p>
      <w:pPr>
        <w:spacing w:after="0" w:line="19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cardiovascular outcomes study data, with the exception of therapies which lower LDL-cholesterol, depending on the circumstances. In particular, it is our understanding that the FDA is not prepared to approve any therapy based primarily on data demonstrating lowering of triglyceride levels. In our view, this position from the FDA did not change based</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ind w:right="40"/>
        <w:spacing w:after="0" w:line="261" w:lineRule="auto"/>
        <w:rPr>
          <w:sz w:val="20"/>
          <w:szCs w:val="20"/>
          <w:color w:val="auto"/>
        </w:rPr>
      </w:pPr>
      <w:r>
        <w:rPr>
          <w:rFonts w:ascii="Times New Roman" w:cs="Times New Roman" w:eastAsia="Times New Roman" w:hAnsi="Times New Roman"/>
          <w:sz w:val="18"/>
          <w:szCs w:val="18"/>
          <w:color w:val="auto"/>
        </w:rPr>
        <w:t>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284" w:lineRule="exact"/>
        <w:rPr>
          <w:sz w:val="20"/>
          <w:szCs w:val="20"/>
          <w:color w:val="auto"/>
        </w:rPr>
      </w:pPr>
    </w:p>
    <w:p>
      <w:pPr>
        <w:ind w:left="260" w:firstLine="3"/>
        <w:spacing w:after="0" w:line="286" w:lineRule="auto"/>
        <w:tabs>
          <w:tab w:leader="none" w:pos="395"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87"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8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72" w:lineRule="exact"/>
        <w:rPr>
          <w:sz w:val="20"/>
          <w:szCs w:val="20"/>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17"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17" w:lineRule="exact"/>
        <w:rPr>
          <w:sz w:val="20"/>
          <w:szCs w:val="20"/>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sz w:val="20"/>
          <w:szCs w:val="20"/>
          <w:color w:val="auto"/>
        </w:rPr>
      </w:pPr>
    </w:p>
    <w:p>
      <w:pPr>
        <w:ind w:left="1000" w:right="260" w:hanging="499"/>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62" w:lineRule="exact"/>
        <w:rPr>
          <w:sz w:val="20"/>
          <w:szCs w:val="20"/>
          <w:color w:val="auto"/>
        </w:rPr>
      </w:pPr>
    </w:p>
    <w:p>
      <w:pPr>
        <w:ind w:right="40" w:firstLine="510"/>
        <w:spacing w:after="0" w:line="281" w:lineRule="auto"/>
        <w:rPr>
          <w:sz w:val="20"/>
          <w:szCs w:val="20"/>
          <w:color w:val="auto"/>
        </w:rPr>
      </w:pPr>
      <w:r>
        <w:rPr>
          <w:rFonts w:ascii="Times New Roman" w:cs="Times New Roman" w:eastAsia="Times New Roman" w:hAnsi="Times New Roman"/>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6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w:t>
      </w:r>
    </w:p>
    <w:p>
      <w:pPr>
        <w:spacing w:after="0" w:line="1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6" w:name="page57"/>
    <w:bookmarkEnd w:id="56"/>
    <w:p>
      <w:pPr>
        <w:ind w:right="80"/>
        <w:spacing w:after="0" w:line="282" w:lineRule="auto"/>
        <w:rPr>
          <w:sz w:val="20"/>
          <w:szCs w:val="20"/>
          <w:color w:val="auto"/>
        </w:rPr>
      </w:pPr>
      <w:r>
        <w:rPr>
          <w:rFonts w:ascii="Times New Roman" w:cs="Times New Roman" w:eastAsia="Times New Roman" w:hAnsi="Times New Roman"/>
          <w:sz w:val="18"/>
          <w:szCs w:val="18"/>
          <w:color w:val="auto"/>
        </w:rPr>
        <w:t>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62"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until December 13, 2022, three years from the date of FDA approval of the REDUCE-IT sNDA. While this three-year exclusivity would generally prevent such an approval based on our REDUCE-IT indication during such time, it does not preclude tentative or final approval of an ANDA based on our MARINE indication. The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FDA from approving an NDA that relies only on its own data to support the change or innovation. Regulatory exclusivity is in addition to exclusivity afforded by issued patents related to VASCEPA.</w:t>
      </w:r>
    </w:p>
    <w:p>
      <w:pPr>
        <w:spacing w:after="0" w:line="18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We may also face challenges to the validity of our patents through a procedure known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5"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 xml:space="preserve">We intend to vigorously enforce our intellectual property rights relating to VASCEPA, but we cannot predict the outcome of the pending lawsuits, any appeals, or any subsequently filed lawsuits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6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FDA under its ANDA,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8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Once a generic version of VASCEPA is available in the market, whether based on a generic product with a MARINE indication label or REDUCE-IT indication label, it is often used to fill a prescription for any intended use of the drug. If final approval of a generic ANDA (like that from Hikma, Dr. Reddy’s and/or Teva) is granted and an ANDA filer is able to supply the product in significant commercial quantities, generic companies could introduce generic versions of VASCEPA in the market.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8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reputation of VASCEPA or the perceived value of our company and our stock price. For example, our stock price suffered a significant decline following our announcement of the Nevada Court’s ruling in favor of the Defendants and the Federal Circuit ruling upholding the Nevada Court’s ruling.</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2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51" w:lineRule="exact"/>
        <w:rPr>
          <w:sz w:val="20"/>
          <w:szCs w:val="20"/>
          <w:color w:val="auto"/>
        </w:rPr>
      </w:pPr>
    </w:p>
    <w:p>
      <w:pPr>
        <w:ind w:right="300" w:firstLine="510"/>
        <w:spacing w:after="0" w:line="273" w:lineRule="auto"/>
        <w:rPr>
          <w:sz w:val="20"/>
          <w:szCs w:val="20"/>
          <w:color w:val="auto"/>
        </w:rPr>
      </w:pPr>
      <w:r>
        <w:rPr>
          <w:rFonts w:ascii="Times New Roman" w:cs="Times New Roman" w:eastAsia="Times New Roman" w:hAnsi="Times New Roman"/>
          <w:sz w:val="17"/>
          <w:szCs w:val="17"/>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71"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Also, for over a decade,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FDA enforcement activity, to make claims that suggest or imply treatment of cardiovascular disease.</w:t>
      </w:r>
    </w:p>
    <w:p>
      <w:pPr>
        <w:spacing w:after="0" w:line="180"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6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9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FDA on the topic of synthetically produced omega-3 products through the citizen’s petition process and otherwise.</w:t>
      </w:r>
    </w:p>
    <w:p>
      <w:pPr>
        <w:spacing w:after="0" w:line="19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of VASCEPA’s market acceptance may be less than expected, which would have a negative impact on our revenues and results of operations.</w:t>
      </w:r>
    </w:p>
    <w:p>
      <w:pPr>
        <w:spacing w:after="0" w:line="292" w:lineRule="exact"/>
        <w:rPr>
          <w:sz w:val="20"/>
          <w:szCs w:val="20"/>
          <w:color w:val="auto"/>
        </w:rPr>
      </w:pPr>
    </w:p>
    <w:p>
      <w:pPr>
        <w:ind w:left="260" w:right="360" w:firstLine="3"/>
        <w:spacing w:after="0" w:line="286" w:lineRule="auto"/>
        <w:tabs>
          <w:tab w:leader="none" w:pos="395"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spacing w:after="0" w:line="51"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VASCEPA outside the United States. For example, even if we obtain approval to commercialize VASCEPA in Europe or we and Eddingpharm obtain marketing approval in Mainland China, Hong Kong, Macau and Taiwan, or the China Territory, applicable regulatory agencies may impose restrictions on the</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8" w:name="page59"/>
    <w:bookmarkEnd w:id="58"/>
    <w:p>
      <w:pPr>
        <w:ind w:right="280"/>
        <w:spacing w:after="0" w:line="282" w:lineRule="auto"/>
        <w:rPr>
          <w:sz w:val="20"/>
          <w:szCs w:val="20"/>
          <w:color w:val="auto"/>
        </w:rPr>
      </w:pPr>
      <w:r>
        <w:rPr>
          <w:rFonts w:ascii="Times New Roman" w:cs="Times New Roman" w:eastAsia="Times New Roman" w:hAnsi="Times New Roman"/>
          <w:sz w:val="18"/>
          <w:szCs w:val="18"/>
          <w:color w:val="auto"/>
        </w:rPr>
        <w:t>product’s conditions for use, distribution or marketing and in some cases may impose ongoing requirements for post-market surveillance, post-approval studies or clinical trials.</w:t>
      </w:r>
    </w:p>
    <w:p>
      <w:pPr>
        <w:spacing w:after="0" w:line="5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Also, there is a degree of unpredictability with regard to the eventual pricing and reimbursement levels of medications in markets outside the United States.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launching. In all countries securing adequate reimbursement is a requisite for commercial success of any therapeutic.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86"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a regulatory approval, due to negative commercial dynamics. Furthermore, with regard to any indications for which we may gain approval in territories outside the United States, the number of actual patients with the condition included in such approved indication may be smaller than we anticipate. Further,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8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8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9" w:name="page60"/>
    <w:bookmarkEnd w:id="59"/>
    <w:p>
      <w:pPr>
        <w:ind w:firstLine="510"/>
        <w:spacing w:after="0" w:line="252"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For example, in June 2020, we received a civil investigative demand, or CID, from the U.S. Department of Justice, or the DOJ, informing us that the DOJ is investigating whether aspects of our promotional speaker programs and copayment waiver programs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investigations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in certain territories we may need to rely on third parties, such as our partners in Canada, China and the Middle East, to assist us in dealing with any such issues.</w:t>
      </w:r>
    </w:p>
    <w:p>
      <w:pPr>
        <w:spacing w:after="0" w:line="295" w:lineRule="exact"/>
        <w:rPr>
          <w:sz w:val="20"/>
          <w:szCs w:val="20"/>
          <w:color w:val="auto"/>
        </w:rPr>
      </w:pPr>
    </w:p>
    <w:p>
      <w:pPr>
        <w:ind w:left="2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51"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3" w:lineRule="exact"/>
        <w:rPr>
          <w:sz w:val="20"/>
          <w:szCs w:val="20"/>
          <w:color w:val="auto"/>
        </w:rPr>
      </w:pPr>
    </w:p>
    <w:p>
      <w:pPr>
        <w:jc w:val="both"/>
        <w:ind w:right="140" w:firstLine="510"/>
        <w:spacing w:after="0" w:line="272" w:lineRule="auto"/>
        <w:rPr>
          <w:sz w:val="20"/>
          <w:szCs w:val="20"/>
          <w:color w:val="auto"/>
        </w:rPr>
      </w:pPr>
      <w:r>
        <w:rPr>
          <w:rFonts w:ascii="Times New Roman" w:cs="Times New Roman" w:eastAsia="Times New Roman" w:hAnsi="Times New Roman"/>
          <w:sz w:val="17"/>
          <w:szCs w:val="17"/>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These cuts reduce reimbursement payments related to our products, which could potentially negatively impact our revenue. However, these Medicare sequester reductions will be suspended from May 1, 2020 through December 31, 2020 due to the COVID-19 pandemic.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82" w:lineRule="exact"/>
        <w:rPr>
          <w:sz w:val="20"/>
          <w:szCs w:val="20"/>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1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6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it will continue to seek new legislative and/or administrative measures to control drug costs. At the state level, legislatures have increasingly passed</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right="40"/>
        <w:spacing w:after="0" w:line="261" w:lineRule="auto"/>
        <w:rPr>
          <w:sz w:val="20"/>
          <w:szCs w:val="20"/>
          <w:color w:val="auto"/>
        </w:rPr>
      </w:pPr>
      <w:r>
        <w:rPr>
          <w:rFonts w:ascii="Times New Roman" w:cs="Times New Roman" w:eastAsia="Times New Roman" w:hAnsi="Times New Roman"/>
          <w:sz w:val="18"/>
          <w:szCs w:val="18"/>
          <w:color w:val="auto"/>
        </w:rPr>
        <w:t>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8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92" w:lineRule="exact"/>
        <w:rPr>
          <w:sz w:val="20"/>
          <w:szCs w:val="20"/>
          <w:color w:val="auto"/>
        </w:rPr>
      </w:pPr>
    </w:p>
    <w:p>
      <w:pPr>
        <w:ind w:right="1040" w:firstLine="510"/>
        <w:spacing w:after="0" w:line="282"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a generic version of VASCEPA into the market, can affect our ability to commercialize VASCEPA on commercially reasonable terms and limit the commercial value of VASCEPA.</w:t>
      </w:r>
    </w:p>
    <w:p>
      <w:pPr>
        <w:spacing w:after="0" w:line="266"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9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1" w:name="page62"/>
    <w:bookmarkEnd w:id="61"/>
    <w:p>
      <w:pPr>
        <w:ind w:firstLine="510"/>
        <w:spacing w:after="0" w:line="255"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83"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7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9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80"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jc w:val="both"/>
        <w:ind w:right="20" w:firstLine="510"/>
        <w:spacing w:after="0" w:line="269" w:lineRule="auto"/>
        <w:rPr>
          <w:sz w:val="20"/>
          <w:szCs w:val="20"/>
          <w:color w:val="auto"/>
        </w:rPr>
      </w:pPr>
      <w:r>
        <w:rPr>
          <w:rFonts w:ascii="Times New Roman" w:cs="Times New Roman" w:eastAsia="Times New Roman" w:hAnsi="Times New Roman"/>
          <w:sz w:val="17"/>
          <w:szCs w:val="17"/>
          <w:color w:val="auto"/>
        </w:rPr>
        <w:t>Certain provisions of the ACA have been subject to judicial challenges, as well as efforts to repeal or replace them or to alter their interpretation or implementation. Since January 2017, the Trump administration has signed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 xml:space="preserve">The second Executive Order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or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w:t>
      </w:r>
    </w:p>
    <w:p>
      <w:pPr>
        <w:spacing w:after="0" w:line="19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(increase from 50%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13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Under the Trump Administration, CMS has issued regulations that give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which is now pending before the U.S. Supreme Court, or other efforts to repeal, replace, or invalidate the ACA or its implementing regulations, or portions thereof, will impact our business. We will continue to evaluate the effect that the ACA and its possible repeal, replacement, or invalidation, in whole or in part, has on our business.</w:t>
      </w:r>
    </w:p>
    <w:p>
      <w:pPr>
        <w:spacing w:after="0" w:line="134"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the Budget Control Act of 2011, among other things, created the Joint Select Committee on Deficit Reduction to recommend to Congress proposals for spending reductions. The Joint Select Committee on Deficit Reduction did not reach required goals, thereby triggering the legislation’s automatic reductions. This has resulted in aggregate reductions to Medicare payments to providers of, on average, 2% per fiscal year through 2030 unless Congress takes additional action. However, these Medicare sequester reductions will be suspended from May 1, 2020 through December 31, 2020 due to the COVID-19 pandemic.</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87" w:lineRule="exact"/>
        <w:rPr>
          <w:sz w:val="20"/>
          <w:szCs w:val="20"/>
          <w:color w:val="auto"/>
        </w:rPr>
      </w:pPr>
    </w:p>
    <w:p>
      <w:pPr>
        <w:ind w:left="2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9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 to the United States. Failure to comply with the requirements of the GDPR, and the related national data protection laws of the EU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26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75"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Even though we received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or our commercialization partners outside the United States or other third-parties that we retain to help us implement our business plan.</w:t>
      </w:r>
    </w:p>
    <w:p>
      <w:pPr>
        <w:spacing w:after="0" w:line="19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87"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w:t>
      </w:r>
    </w:p>
    <w:p>
      <w:pPr>
        <w:spacing w:after="0" w:line="296" w:lineRule="exact"/>
        <w:rPr>
          <w:sz w:val="20"/>
          <w:szCs w:val="20"/>
          <w:color w:val="auto"/>
        </w:rPr>
      </w:pPr>
    </w:p>
    <w:p>
      <w:pPr>
        <w:ind w:left="2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5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65" w:name="page66"/>
    <w:bookmarkEnd w:id="65"/>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225"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w:t>
      </w:r>
    </w:p>
    <w:p>
      <w:pPr>
        <w:spacing w:after="0" w:line="19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For example, in connection with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FDA’s exploratory analysis indicated that the effect of LDL cholesterol values on the time to the primary endpoint was numerically small and unlikely to change the overall conclusion of treatment benefit.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8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96" w:lineRule="exact"/>
        <w:rPr>
          <w:sz w:val="20"/>
          <w:szCs w:val="20"/>
          <w:color w:val="auto"/>
        </w:rPr>
      </w:pPr>
    </w:p>
    <w:p>
      <w:pPr>
        <w:ind w:left="26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28" w:lineRule="exact"/>
        <w:rPr>
          <w:sz w:val="20"/>
          <w:szCs w:val="20"/>
          <w:color w:val="auto"/>
        </w:rPr>
      </w:pPr>
    </w:p>
    <w:p>
      <w:pPr>
        <w:ind w:right="500" w:firstLine="510"/>
        <w:spacing w:after="0" w:line="261" w:lineRule="auto"/>
        <w:rPr>
          <w:sz w:val="20"/>
          <w:szCs w:val="20"/>
          <w:color w:val="auto"/>
        </w:rPr>
      </w:pPr>
      <w:r>
        <w:rPr>
          <w:rFonts w:ascii="Times New Roman" w:cs="Times New Roman" w:eastAsia="Times New Roman" w:hAnsi="Times New Roman"/>
          <w:sz w:val="18"/>
          <w:szCs w:val="18"/>
          <w:color w:val="auto"/>
        </w:rPr>
        <w:t>The process of establishing a commercial infrastructure is difficult, expensive and time-consuming. Prior to the REDUCE-IT results topline announcement in September 2018, our direct sales force consisted of approximately 170 sales professionals, including sales representatives and their managers. Based on the positive REDUCE-IT results, in early 2019, we increased the size of our direct sales force to approximately 440 sales professionals, including approximately 400 sales representatives in the United States. As a</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ind w:right="100"/>
        <w:spacing w:after="0" w:line="258" w:lineRule="auto"/>
        <w:rPr>
          <w:sz w:val="20"/>
          <w:szCs w:val="20"/>
          <w:color w:val="auto"/>
        </w:rPr>
      </w:pPr>
      <w:r>
        <w:rPr>
          <w:rFonts w:ascii="Times New Roman" w:cs="Times New Roman" w:eastAsia="Times New Roman" w:hAnsi="Times New Roman"/>
          <w:sz w:val="18"/>
          <w:szCs w:val="18"/>
          <w:color w:val="auto"/>
        </w:rPr>
        <w:t>result of the additional indication and label expansion approved by the FDA in December 2019, in cardiovascular risk reduction, we completed the further expansion of our direct sales force to approximately 900 sales professionals, including approximately 800 sales representatives. This sales team promotes VASCEPA to a limited group of physicians and other healthcare professionals in select geographies in the United States. The impact of COVID-19, including the suspension of field based face-to-face interactions for an uncertain period of time may negatively affect promotional efforts. Even after planned expansion, this sales team is not large enough to call upon all physicians.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to sales force expansion in the United States, Amarin continues to work on its own and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and such efforts may be disrupted by the COVID-19 protocols. To that end, we must be able to manage our development efforts effectively, and hire, train, integrate and retain additional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18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8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80"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9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7" w:name="page68"/>
    <w:bookmarkEnd w:id="67"/>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193" w:lineRule="exact"/>
        <w:rPr>
          <w:sz w:val="20"/>
          <w:szCs w:val="20"/>
          <w:color w:val="auto"/>
        </w:rPr>
      </w:pPr>
    </w:p>
    <w:p>
      <w:pPr>
        <w:ind w:left="2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94"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94" w:lineRule="exact"/>
        <w:rPr>
          <w:sz w:val="20"/>
          <w:szCs w:val="20"/>
          <w:color w:val="auto"/>
        </w:rPr>
      </w:pPr>
    </w:p>
    <w:p>
      <w:pPr>
        <w:jc w:val="both"/>
        <w:ind w:right="200" w:firstLine="510"/>
        <w:spacing w:after="0" w:line="272" w:lineRule="auto"/>
        <w:rPr>
          <w:sz w:val="20"/>
          <w:szCs w:val="20"/>
          <w:color w:val="auto"/>
        </w:rPr>
      </w:pPr>
      <w:r>
        <w:rPr>
          <w:rFonts w:ascii="Times New Roman" w:cs="Times New Roman" w:eastAsia="Times New Roman" w:hAnsi="Times New Roman"/>
          <w:sz w:val="17"/>
          <w:szCs w:val="17"/>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This review may be costly and time consuming and could delay or prevent the launch of a product.</w:t>
      </w:r>
    </w:p>
    <w:p>
      <w:pPr>
        <w:spacing w:after="0" w:line="181"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83"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8" w:name="page69"/>
    <w:bookmarkEnd w:id="68"/>
    <w:p>
      <w:pPr>
        <w:ind w:left="260" w:right="300" w:firstLine="3"/>
        <w:spacing w:after="0" w:line="286" w:lineRule="auto"/>
        <w:tabs>
          <w:tab w:leader="none" w:pos="395"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 and other circumstances outside our control.</w:t>
      </w:r>
    </w:p>
    <w:p>
      <w:pPr>
        <w:spacing w:after="0" w:line="51"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76"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demonstrate that VASCEPA lowers triglyceride levels and otherwise has beneficial effects in Chinese patients with severe hypertriglyceridemia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as we previously demonstrated with VASEPA in the more diverse population studied in the MARINE study. There can be no assurance that the results of this trial will be similar to the results of the MARINE study. Even if such results are similar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by the spread of the coronavirus and the unexpected diversion of resources by regulators and industry professionals to address the coronavirus outbreak. Any development and regulatory efforts in the China Territory may be negatively impacted by heightened political tension between China and the United States pursuant to COVID-19 and to overall issues expressed between the countries regarding trade practices, tariffs and honoring intellectual property rights. If Eddingpharm is not able to effectively develop and commercialize VASCEPA in the China Territory, we may not be able to generate revenue from the DCS Agreement resulting from the sale of VASCEPA in the China Territory.</w:t>
      </w:r>
    </w:p>
    <w:p>
      <w:pPr>
        <w:spacing w:after="0" w:line="19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and in Qatar in January 2020. VASCEPA was launched in Lebanon and the United Arab Emirates in June 2018 and February 2019, respectively. VASCEPA is under registration in additional countries in the MENA region. Commercialization across the Middle East and North Africa is subject to similar risks as in the China Territory, and has been negatively impacted by COVID-19 and the destabilized local economy in Saudi Arabia in the second quarter of 2020.</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PMPRB confirmed VASCEPA price is compliant with current guidelines, and CADTH recommended reimbursement for VASCEPA in Canada in secondary prevention population. However, if HLS Therapeutics is not able to effectively commercialize VASCEPA in Canada through effective pricing (initially and over time) or otherwise we may not be able to generate revenue from the sale of VASCEPA in Canada.</w:t>
      </w:r>
    </w:p>
    <w:p>
      <w:pPr>
        <w:spacing w:after="0" w:line="194"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Our efforts to launch VASCEPA on our own in Europe, assuming a regulatory approval, is a complex undertaking for a company that has not launched a product in Europe and could be subject to significant risks of execution to our successful development of VASCEPA in Europe.</w:t>
      </w:r>
    </w:p>
    <w:p>
      <w:pPr>
        <w:spacing w:after="0" w:line="16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69" w:name="page70"/>
    <w:bookmarkEnd w:id="69"/>
    <w:p>
      <w:pPr>
        <w:ind w:left="2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6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81" w:lineRule="exact"/>
        <w:rPr>
          <w:sz w:val="20"/>
          <w:szCs w:val="20"/>
          <w:color w:val="auto"/>
        </w:rPr>
      </w:pPr>
    </w:p>
    <w:p>
      <w:pPr>
        <w:ind w:left="1000" w:right="40" w:hanging="493"/>
        <w:spacing w:after="0" w:line="253"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81" w:lineRule="exact"/>
        <w:rPr>
          <w:rFonts w:ascii="Times New Roman" w:cs="Times New Roman" w:eastAsia="Times New Roman" w:hAnsi="Times New Roman"/>
          <w:sz w:val="18"/>
          <w:szCs w:val="18"/>
          <w:color w:val="auto"/>
        </w:rPr>
      </w:pPr>
    </w:p>
    <w:p>
      <w:pPr>
        <w:ind w:left="1000" w:right="60" w:hanging="493"/>
        <w:spacing w:after="0" w:line="25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federal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85" w:lineRule="exact"/>
        <w:rPr>
          <w:rFonts w:ascii="Times New Roman" w:cs="Times New Roman" w:eastAsia="Times New Roman" w:hAnsi="Times New Roman"/>
          <w:sz w:val="18"/>
          <w:szCs w:val="18"/>
          <w:color w:val="auto"/>
        </w:rPr>
      </w:pPr>
    </w:p>
    <w:p>
      <w:pPr>
        <w:ind w:left="1000" w:right="160" w:hanging="493"/>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0" w:name="page71"/>
    <w:bookmarkEnd w:id="70"/>
    <w:p>
      <w:pPr>
        <w:ind w:left="1000" w:right="40" w:hanging="493"/>
        <w:spacing w:after="0" w:line="255"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1000" w:right="40" w:hanging="493"/>
        <w:spacing w:after="0" w:line="255"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80"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00" w:right="60" w:hanging="493"/>
        <w:spacing w:after="0" w:line="254"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civil investigative demand, or CID, from the U.S. Department of Justice, or the DOJ, informing us that the DOJ is investigating allegations that false claims were submitted to federal healthcare programs in violation of the U.S. False Claims Act in relation to VASCEPA as marketed by our previous co-marketing partner, Kowa Pharmaceuticals, Inc. and us in connection with speaker programs and copayment waivers. The investigation also covers information that would be relevant to determining whether violations of the U.S. Anti-Kickback Statute occurred. The CID requires the production of documents and information from January 1, 2015 to the present. We are cooperating with the DOJ.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Fake Claims Act, we could be subject to significant civil and criminal fines and penalties.</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w:t>
      </w:r>
    </w:p>
    <w:p>
      <w:pPr>
        <w:spacing w:after="0" w:line="1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ind w:right="220"/>
        <w:spacing w:after="0" w:line="282" w:lineRule="auto"/>
        <w:rPr>
          <w:sz w:val="20"/>
          <w:szCs w:val="20"/>
          <w:color w:val="auto"/>
        </w:rPr>
      </w:pPr>
      <w:r>
        <w:rPr>
          <w:rFonts w:ascii="Times New Roman" w:cs="Times New Roman" w:eastAsia="Times New Roman" w:hAnsi="Times New Roman"/>
          <w:sz w:val="18"/>
          <w:szCs w:val="18"/>
          <w:color w:val="auto"/>
        </w:rPr>
        <w:t>including exclusions from government funded healthcare programs. Prohibitions or restrictions on sales or withdrawal of future marketed products could materially affect business in an adverse way.</w:t>
      </w:r>
    </w:p>
    <w:p>
      <w:pPr>
        <w:spacing w:after="0" w:line="162"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0"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266" w:lineRule="exact"/>
        <w:rPr>
          <w:sz w:val="20"/>
          <w:szCs w:val="20"/>
          <w:color w:val="auto"/>
        </w:rPr>
      </w:pPr>
    </w:p>
    <w:p>
      <w:pPr>
        <w:ind w:left="2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We are dependent on patents, proprietary rights and confidentiality to protect the commercial potential of VASCEPA.</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72" w:lineRule="exact"/>
        <w:rPr>
          <w:sz w:val="20"/>
          <w:szCs w:val="20"/>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225"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103 patent applications in the United States that have been either issued or allowed and more than 30 additional patent applications are pending in the United States. Such 103 allowed and issued applications include the following:</w:t>
      </w:r>
    </w:p>
    <w:p>
      <w:pPr>
        <w:spacing w:after="0" w:line="68" w:lineRule="exact"/>
        <w:rPr>
          <w:sz w:val="20"/>
          <w:szCs w:val="20"/>
          <w:color w:val="auto"/>
        </w:rPr>
      </w:pPr>
    </w:p>
    <w:p>
      <w:pPr>
        <w:ind w:left="1000" w:right="320" w:hanging="493"/>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issued U.S. patents directed to a pharmaceutical composition of VASCEPA in a capsule that have terms that expire in 2020 and 2030, respectively;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issued U.S. patent covering a composition containing highly pure EPA that expires in 2021;</w:t>
      </w:r>
    </w:p>
    <w:p>
      <w:pPr>
        <w:spacing w:after="0" w:line="117"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U.S. patents covering or related to the use of VASCEPA in either the MARINE or ANCHOR populations that have terms that expire in 2030 or later;</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U.S. patents covering or related to the use of VASCEPA in the REDUCE-IT population with terms expiring in 2033 or later;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US patent directed to a pharmaceutical composition comprised of free fatty acids with a term that expires in 2030;</w:t>
      </w:r>
    </w:p>
    <w:p>
      <w:pPr>
        <w:spacing w:after="0" w:line="117" w:lineRule="exact"/>
        <w:rPr>
          <w:rFonts w:ascii="Times New Roman" w:cs="Times New Roman" w:eastAsia="Times New Roman" w:hAnsi="Times New Roman"/>
          <w:sz w:val="18"/>
          <w:szCs w:val="18"/>
          <w:color w:val="auto"/>
        </w:rPr>
      </w:pPr>
    </w:p>
    <w:p>
      <w:pPr>
        <w:ind w:left="1000" w:right="680" w:hanging="493"/>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the use of a pharmaceutical composition comprised of free fatty acids to treat the ANCHOR patient population with a term that expires in 2030 or later;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1000" w:right="760" w:hanging="493"/>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a pharmaceutical composition comprised of free fatty acids to treat the MARINE patient population with a term that expires in 2030;</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the use of a pharmaceutical composition comprised of free fatty acids to treat the REDUCE-IT population expiring 2033;</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a pharmaceutical composition comprised of free fatty acids and uses thereof to treat both the MARINE and ANCHOR patient populations with a term that expires in 2030;</w:t>
      </w:r>
    </w:p>
    <w:p>
      <w:pPr>
        <w:spacing w:after="0" w:line="53"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a pharmaceutical composition comprised of re-esterified EPA triglyceride to treat the REDUCE-IT population expiring 2033;</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a formulation of EPA/DHA and uses thereof with a term that expires in 2030;</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VASCEPA to treat obesity with a term that expires in 2034;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VASCEPA to treat prostate cancer with a term that expires in 2037;</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covering a pharmaceutical composition comprised of EPA and a hydroxyl compound with a term that expires in 2034;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covering a new combination therapy comprised of EPA and another drug.</w:t>
      </w:r>
    </w:p>
    <w:p>
      <w:pPr>
        <w:spacing w:after="0" w:line="22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3"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and products in development. To secure our debt under our outstanding royalty-like instrument, we have granted the holders of such instrument a security interest in our VASCEPA-related patents.</w:t>
      </w:r>
    </w:p>
    <w:p>
      <w:pPr>
        <w:spacing w:after="0" w:line="176"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Ten to 11 years of market protection is anticipated due to regulatory exclusivity in the European Union subject to an approval recommendation by the European Medicines Agency, or EMA, anticipated in early 2021 and associated European Community, or EC, approval expected promptly thereafter. Furthermore, patent protection in Europe includes:</w:t>
      </w:r>
    </w:p>
    <w:p>
      <w:pPr>
        <w:spacing w:after="0" w:line="80" w:lineRule="exact"/>
        <w:rPr>
          <w:sz w:val="20"/>
          <w:szCs w:val="20"/>
          <w:color w:val="auto"/>
        </w:rPr>
      </w:pPr>
    </w:p>
    <w:p>
      <w:pPr>
        <w:ind w:left="1000" w:right="420" w:hanging="493"/>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allowed patent related to the use of a pharmaceutical composition comprised of 4g of 96% EPA ethyl ester to treat the REDUCE-IT population expiring 2033.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pending patent applications in Europe have the potential to extend exclusivity into 2039.</w:t>
      </w:r>
    </w:p>
    <w:p>
      <w:pPr>
        <w:spacing w:after="0" w:line="22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83"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87"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then expected launch of Epanova, a product that, in 2014, was expected to compete with VASCEPA in the United States. In November 2014, based on a representation from AstraZeneca Pharmaceuticals LP in the court proceedings that the commercial launch of Epanova was not imminent, the court dismissed our complaint, without prejudice (i.e., preserving our ability to later re-file the suit). The court required the defendant to notify us before any product launch. While we no longer expect a launch of Epanova due to the clinical failure of the STRENGTH cardiovascular outcomes trial announced in January 2020, we intend to pursue this litigation vigorously and aggressively protect our intellectual property rights should the product be launched. We likewise plan to engage in similar patent litigation should other competitors arise with products that infringe our intellectual property rights.</w:t>
      </w:r>
    </w:p>
    <w:p>
      <w:pPr>
        <w:spacing w:after="0" w:line="80"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6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80"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121" w:lineRule="exact"/>
        <w:rPr>
          <w:sz w:val="20"/>
          <w:szCs w:val="20"/>
          <w:color w:val="auto"/>
        </w:rPr>
      </w:pPr>
    </w:p>
    <w:p>
      <w:pPr>
        <w:ind w:right="20" w:firstLine="510"/>
        <w:spacing w:after="0" w:line="274" w:lineRule="auto"/>
        <w:rPr>
          <w:sz w:val="20"/>
          <w:szCs w:val="20"/>
          <w:color w:val="auto"/>
        </w:rPr>
      </w:pPr>
      <w:r>
        <w:rPr>
          <w:rFonts w:ascii="Times New Roman" w:cs="Times New Roman" w:eastAsia="Times New Roman" w:hAnsi="Times New Roman"/>
          <w:sz w:val="17"/>
          <w:szCs w:val="17"/>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ANCHOR and REDUCE-IT trials. If granted, many of the resulting granted patents would expire in 2030 or beyond. However, no assurance can be given that these additional patents or any of our pending patent applications intended to cover the indication based on results from the REDUCE-IT clinical trial will be granted or, if they grant, that they will prevent competitors from competing with VASCEPA.</w:t>
      </w:r>
    </w:p>
    <w:p>
      <w:pPr>
        <w:spacing w:after="0" w:line="17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80" w:lineRule="exact"/>
        <w:rPr>
          <w:sz w:val="20"/>
          <w:szCs w:val="20"/>
          <w:color w:val="auto"/>
        </w:rPr>
      </w:pPr>
    </w:p>
    <w:p>
      <w:pPr>
        <w:ind w:left="2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In January 2020, we issued financial and business guidance, including expected fiscal year 2020 total net revenue and expectations regarding inventory build, and 2020 operating expenses. We have since updated certain aspects of that guidance. All such guidance and updates are based on estimates and the judgment of management. Because of the inherent nature of estimates,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263" w:lineRule="exact"/>
        <w:rPr>
          <w:sz w:val="20"/>
          <w:szCs w:val="20"/>
          <w:color w:val="auto"/>
        </w:rPr>
      </w:pPr>
    </w:p>
    <w:p>
      <w:pPr>
        <w:ind w:left="260" w:right="30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-210820</wp:posOffset>
            </wp:positionV>
            <wp:extent cx="3873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7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87"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96"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ind w:right="80"/>
        <w:spacing w:after="0" w:line="266" w:lineRule="auto"/>
        <w:rPr>
          <w:sz w:val="20"/>
          <w:szCs w:val="20"/>
          <w:color w:val="auto"/>
        </w:rPr>
      </w:pPr>
      <w:r>
        <w:rPr>
          <w:rFonts w:ascii="Times New Roman" w:cs="Times New Roman" w:eastAsia="Times New Roman" w:hAnsi="Times New Roman"/>
          <w:sz w:val="18"/>
          <w:szCs w:val="18"/>
          <w:color w:val="auto"/>
        </w:rPr>
        <w:t>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62"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could have a negative effect on our future profitability.</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8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87"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states. We recently completed the audits by the IRS for the years 2013 to 2014, with no material changes to the filed income tax returns. In addition, the IRS began an examination of our 2018 US income tax return in the first quarter of 2020. Although the outcome of tax audits is always uncertain and could result in significant cash tax payments, we do not believe the outcome of any future audits will have a material adverse effect on our consolidated financial position or results of operations.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product sales. Customers A, B, and C accounted for 25%, 37%, and 30%, respectively, of gross product sales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represented 37%, 32%, and 25%, respectively, of the gross accounts receivable balance as of September 30, 2020. Customers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and C accounted for 25%, 36%, and 29%, respectively, of gross product sales for the nine months ended September 30, 2019, and represented 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and 28%, respectively, of the gross accounts receivable balance as of September 30, 2019. There can be no guarantee that we will be able to sustain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accounts receivable or gross sales levels from our key customers. If, for any reason, we were to lose, or experience a decrease in the amount of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largest customers, whether directly or through our distributor relationships, our financial condition and results of operations could be negatively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2019, 2018, and 2017, we reported losses of approximately $22.6 million, $116.4 million and $67.9 million, respectively, and we had an accumulated deficit as of December 31, 2019 of $1.4 billion. For the nine months ended September 30, 2020 and 2019, we reported losses of approximately $22.9 million and $29.7 million, respectively, and we had an accumulated deficit as of September 30, 2020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profitable for a full year.</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FDA for marketing in the United States for two important indications,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291" w:lineRule="exact"/>
        <w:rPr>
          <w:sz w:val="20"/>
          <w:szCs w:val="20"/>
          <w:color w:val="auto"/>
        </w:rPr>
      </w:pPr>
    </w:p>
    <w:p>
      <w:pP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75" w:lineRule="exact"/>
        <w:rPr>
          <w:sz w:val="20"/>
          <w:szCs w:val="20"/>
          <w:color w:val="auto"/>
        </w:rPr>
      </w:pPr>
    </w:p>
    <w:p>
      <w:pPr>
        <w:ind w:left="1000" w:hanging="493"/>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launch of a generic version of VASCEPA;</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disruption to our business from the COVID-19 pandemic;</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1000" w:right="220" w:hanging="493"/>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the resulting effectiveness of those efforts;</w:t>
      </w:r>
    </w:p>
    <w:p>
      <w:pPr>
        <w:spacing w:after="0" w:line="53"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53"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7" w:name="page78"/>
    <w:bookmarkEnd w:id="77"/>
    <w:p>
      <w:pPr>
        <w:ind w:left="1000" w:hanging="493"/>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329" w:lineRule="exact"/>
        <w:rPr>
          <w:sz w:val="20"/>
          <w:szCs w:val="20"/>
          <w:color w:val="auto"/>
        </w:rPr>
      </w:pPr>
    </w:p>
    <w:p>
      <w:pPr>
        <w:ind w:left="2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$207.2 million and short-term investment balance of $354.7 million as of September 30, 2020 will be sufficient to fund our projected operations for at least 12 months. We have based this estimate on assumptions that may prove to be wrong, and we could use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VASCEPA in Europe. If additional capital is required and we are unable to obtain additional capital,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FDA for the new indication and expanded label and the impact from COVID-19 on our operations and those of our customers and any potential generic competition as a result of our ANDA litigation.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ind w:left="1000" w:right="100" w:hanging="493"/>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including expenditures such as potential direct-to-consumer advertising and increased sales force sizing, and for commercializing VASCEPA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66"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8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104" w:lineRule="exact"/>
        <w:rPr>
          <w:sz w:val="20"/>
          <w:szCs w:val="20"/>
          <w:color w:val="auto"/>
        </w:rPr>
      </w:pPr>
    </w:p>
    <w:p>
      <w:pPr>
        <w:ind w:left="520" w:right="20" w:firstLine="21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our ordinary shares, or ADSs representing such ordinary shares, outstanding may increase substantially as a result of our 2015 private placements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are generally available for resale in the public market upon consolidation and redesignation.</w:t>
      </w:r>
    </w:p>
    <w:p>
      <w:pPr>
        <w:spacing w:after="0" w:line="7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2015, 62,833,330 Series A Preference Shares were converted, resulting in the issuance of 6,283,333 ordinary shares and during 2018, the entire tranche completed in July 2015 of 38,867,180 Series A Preference Shares was converted, resulting in the issuance of 3,886,718 ordinary shares. In addition, in April and July 2020, 237,713,680 and 27,753,000 preferred shares, respectively, were converted, resulting in the issuance of 23,771,368 and 2,775,300 ordinary shares, respectively. The consolidation and redesignation of the Series A Preference Shares currently outstanding would result in an additional 2,385,078 ordinary shares outstanding, resulting in additional dilution to shareholders. Although the Series A Preference Shares do not have voting rights, in general, upon consolidation and redesignation into ordinary shares, including as a result of the April and July 2020 conversions described above, some of the investors in the private placement could then have significant influence over the outcome of any shareholder vote, including the election of directors and the approval of mergers or other business combination transactions.</w:t>
      </w:r>
    </w:p>
    <w:p>
      <w:pPr>
        <w:spacing w:after="0" w:line="194"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Moreover, such securities are or will be generally available for immediate resale in the public market, which could cause the market price of our ordinary shares to fall as a result of an increase in the number of shares available for sale in the public market.</w:t>
      </w:r>
    </w:p>
    <w:p>
      <w:pPr>
        <w:spacing w:after="0" w:line="266" w:lineRule="exact"/>
        <w:rPr>
          <w:sz w:val="20"/>
          <w:szCs w:val="20"/>
          <w:color w:val="auto"/>
        </w:rPr>
      </w:pPr>
    </w:p>
    <w:p>
      <w:pPr>
        <w:ind w:left="2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5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Under the terms of the March 2015 securities subscription agreements effecting the private placements described above, we are subject to various obligations, failure to comply with which could result in our becoming liable to certain investors under these agreement for damages, which could be material in amount.</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9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addition, under the March 2015 securities subscription agreement,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79" w:name="page80"/>
    <w:bookmarkEnd w:id="79"/>
    <w:p>
      <w:pPr>
        <w:ind w:left="2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6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7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shares, we believe that we will not be classified as a PFIC for the taxable year ended December 31, 2019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our obligations under our December 2012 Purchase and Sale Agreement could adversely affect our financial results and liquidity.</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76"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3"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w:t>
      </w:r>
    </w:p>
    <w:p>
      <w:pPr>
        <w:ind w:right="40" w:firstLine="8"/>
        <w:spacing w:after="0" w:line="253" w:lineRule="auto"/>
        <w:tabs>
          <w:tab w:leader="none" w:pos="2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80" w:name="page81"/>
    <w:bookmarkEnd w:id="80"/>
    <w:p>
      <w:pPr>
        <w:ind w:right="100" w:firstLine="510"/>
        <w:spacing w:after="0" w:line="257" w:lineRule="auto"/>
        <w:rPr>
          <w:sz w:val="20"/>
          <w:szCs w:val="20"/>
          <w:color w:val="auto"/>
        </w:rPr>
      </w:pPr>
      <w:r>
        <w:rPr>
          <w:rFonts w:ascii="Times New Roman" w:cs="Times New Roman" w:eastAsia="Times New Roman" w:hAnsi="Times New Roman"/>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w:t>
      </w:r>
    </w:p>
    <w:p>
      <w:pPr>
        <w:spacing w:after="0" w:line="1" w:lineRule="exact"/>
        <w:rPr>
          <w:sz w:val="20"/>
          <w:szCs w:val="20"/>
          <w:color w:val="auto"/>
        </w:rPr>
      </w:pPr>
    </w:p>
    <w:p>
      <w:pPr>
        <w:ind w:left="280" w:hanging="272"/>
        <w:spacing w:after="0"/>
        <w:tabs>
          <w:tab w:leader="none" w:pos="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 first-priority perfected security interest in the collateral in the United States and do not remedy that failure after receiving notice of</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failure or (iii) become subject to an event of bankruptcy, then CPPIB may attempt to collect the maximum amount payable by us under this agreement (after deducting any payments we have already made).</w:t>
      </w:r>
    </w:p>
    <w:p>
      <w:pPr>
        <w:spacing w:after="0" w:line="181" w:lineRule="exact"/>
        <w:rPr>
          <w:sz w:val="20"/>
          <w:szCs w:val="20"/>
          <w:color w:val="auto"/>
        </w:rPr>
      </w:pPr>
    </w:p>
    <w:p>
      <w:pPr>
        <w:jc w:val="both"/>
        <w:ind w:right="180" w:firstLine="510"/>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1000" w:hanging="493"/>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1000" w:right="120" w:hanging="493"/>
        <w:spacing w:after="0" w:line="289" w:lineRule="auto"/>
        <w:tabs>
          <w:tab w:leader="none" w:pos="10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9" w:lineRule="exact"/>
        <w:rPr>
          <w:rFonts w:ascii="Times New Roman" w:cs="Times New Roman" w:eastAsia="Times New Roman" w:hAnsi="Times New Roman"/>
          <w:sz w:val="17"/>
          <w:szCs w:val="17"/>
          <w:color w:val="auto"/>
        </w:rPr>
      </w:pPr>
    </w:p>
    <w:p>
      <w:pPr>
        <w:ind w:left="1000" w:right="20" w:hanging="493"/>
        <w:spacing w:after="0" w:line="25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1" w:name="page82"/>
    <w:bookmarkEnd w:id="81"/>
    <w:p>
      <w:pPr>
        <w:ind w:left="1000" w:right="40" w:hanging="493"/>
        <w:spacing w:after="0" w:line="255"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0" w:lineRule="exact"/>
        <w:rPr>
          <w:rFonts w:ascii="Times New Roman" w:cs="Times New Roman" w:eastAsia="Times New Roman" w:hAnsi="Times New Roman"/>
          <w:sz w:val="18"/>
          <w:szCs w:val="18"/>
          <w:color w:val="auto"/>
        </w:rPr>
      </w:pPr>
    </w:p>
    <w:p>
      <w:pPr>
        <w:ind w:left="1000" w:right="40" w:hanging="493"/>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5" w:lineRule="exact"/>
        <w:rPr>
          <w:rFonts w:ascii="Times New Roman" w:cs="Times New Roman" w:eastAsia="Times New Roman" w:hAnsi="Times New Roman"/>
          <w:sz w:val="18"/>
          <w:szCs w:val="18"/>
          <w:color w:val="auto"/>
        </w:rPr>
      </w:pPr>
    </w:p>
    <w:p>
      <w:pPr>
        <w:ind w:left="1000" w:right="20" w:hanging="493"/>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1000" w:right="220" w:hanging="493"/>
        <w:spacing w:after="0" w:line="289"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49" w:lineRule="exact"/>
        <w:rPr>
          <w:rFonts w:ascii="Times New Roman" w:cs="Times New Roman" w:eastAsia="Times New Roman" w:hAnsi="Times New Roman"/>
          <w:sz w:val="17"/>
          <w:szCs w:val="17"/>
          <w:color w:val="auto"/>
        </w:rPr>
      </w:pPr>
    </w:p>
    <w:p>
      <w:pPr>
        <w:ind w:left="1000" w:right="80" w:hanging="493"/>
        <w:spacing w:after="0" w:line="281"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56" w:lineRule="exact"/>
        <w:rPr>
          <w:rFonts w:ascii="Times New Roman" w:cs="Times New Roman" w:eastAsia="Times New Roman" w:hAnsi="Times New Roman"/>
          <w:sz w:val="17"/>
          <w:szCs w:val="17"/>
          <w:color w:val="auto"/>
        </w:rPr>
      </w:pPr>
    </w:p>
    <w:p>
      <w:pPr>
        <w:ind w:left="1000" w:right="60" w:hanging="493"/>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79"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53"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ind w:left="1000" w:right="60" w:hanging="493"/>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7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1000" w:right="60" w:hanging="493"/>
        <w:spacing w:after="0" w:line="289"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7"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The effect on us of comprehensive U.S. tax reform legislation whether adverse or favorable, is uncertain.</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The loss of key personnel could have an adverse effect on our business.</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evolve from a development stage company to a commercial stage company we may experience turnover among members of our senior management team. We may have difficulty identifying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increased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7" w:lineRule="exact"/>
        <w:rPr>
          <w:sz w:val="20"/>
          <w:szCs w:val="20"/>
          <w:color w:val="auto"/>
        </w:rPr>
      </w:pPr>
    </w:p>
    <w:p>
      <w:pPr>
        <w:jc w:val="both"/>
        <w:ind w:left="26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2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June 23, 2016, the UK held a referendum in which a majority of the eligible members of the electorate voted to leave the EU, commonly referred to as Brexit. Pursuant to Article 50 of the Lisbon Treaty, the UK ceased being a Member State of the EU on January 31, 2020. However, the terms of the withdrawal have yet to be fully negotiated and the UK is currently in an implementation period which began on January 31, 2020 and will continue until December 31, 2020. During this 11-month period, the UK remains subject to the majority of the EU’s rules, including the EU’s pharmaceutical law, and the UK’s trading relationship will remain the same. A trade deal is currently being negotiated between the UK and the EU but it is unclear whether an agreement on the terms of future trade will be reached by December 31, 2020 and, even if a deal is reached, what such a deal will look like. In addition, the UK is negotiating deals in a number of other areas where cooperation with the EU is required, and there is uncertainty as to which EU regulations and directives will be replicated into UK domestic law, or replaced, going forward. This lack of clarity on future UK laws and regulations and their divergence from, or consistency with, the EU laws and regulations may negatively impact foreign direct investment in the UK, increase costs, depress economic activity and restrict access to capital.</w:t>
      </w:r>
    </w:p>
    <w:p>
      <w:pPr>
        <w:spacing w:after="0" w:line="14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both during and (depending on the terms of any trade deal that is reached) after the implementation period.</w:t>
      </w:r>
    </w:p>
    <w:p>
      <w:pPr>
        <w:spacing w:after="0" w:line="12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2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the UK and the EU are unable to negotiate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 and, in particular, any arrangements for the UK to retain access to EU markets either during the transitional period or more permanently.</w:t>
      </w:r>
    </w:p>
    <w:p>
      <w:pPr>
        <w:spacing w:after="0" w:line="126"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p>
      <w:pPr>
        <w:ind w:right="420"/>
        <w:spacing w:after="0" w:line="282" w:lineRule="auto"/>
        <w:rPr>
          <w:sz w:val="20"/>
          <w:szCs w:val="20"/>
          <w:color w:val="auto"/>
        </w:rPr>
      </w:pPr>
      <w:r>
        <w:rPr>
          <w:rFonts w:ascii="Times New Roman" w:cs="Times New Roman" w:eastAsia="Times New Roman" w:hAnsi="Times New Roman"/>
          <w:sz w:val="18"/>
          <w:szCs w:val="18"/>
          <w:color w:val="auto"/>
        </w:rPr>
        <w:t>clinical activities in other countries in the EU and EEA and these operations and clinical activities could be disrupted by the ongoing effects of Brexit, particularly in regards to the specific terms of any trade deal that is reached between the UK and the EU.</w:t>
      </w:r>
    </w:p>
    <w:p>
      <w:pPr>
        <w:spacing w:after="0" w:line="108"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Depending on the terms of any trade deal between the UK and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for medicines,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particularly after the end of the implementation period.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recent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3"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1000" w:hanging="493"/>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22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required to reevaluate our business only after we have incurred substantial expenses and devoted significant management time and resources.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76"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As of October 30, 2020, we had 388,829,403 common shares outstanding including 388,629,254 shares held as ADSs and 200,149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00" w:lineRule="exact"/>
        <w:rPr>
          <w:sz w:val="20"/>
          <w:szCs w:val="20"/>
          <w:color w:val="auto"/>
        </w:rPr>
      </w:pPr>
    </w:p>
    <w:p>
      <w:pPr>
        <w:spacing w:after="0" w:line="20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Further, the United Kingdom ceased to be a member of the European Union on January 31, 2020, commonly referred to as Brexit, and is currently in an 11-month implementation period which will end on December 31, 2020. The effects of Brexit remain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particularly in regards to whether there will be a trade deal between the UK and the EU.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Our indebtedness and the related annual debt service requirements, if any, may adversely impact our business, operations and financial condition in the future. For example, they could:</w:t>
      </w:r>
    </w:p>
    <w:p>
      <w:pPr>
        <w:spacing w:after="0" w:line="54" w:lineRule="exact"/>
        <w:rPr>
          <w:sz w:val="20"/>
          <w:szCs w:val="20"/>
          <w:color w:val="auto"/>
        </w:rPr>
      </w:pPr>
    </w:p>
    <w:p>
      <w:pPr>
        <w:ind w:left="1000" w:hanging="493"/>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00" w:right="920" w:hanging="493"/>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to service payments on our debt or to restructure our debt; or</w:t>
      </w:r>
    </w:p>
    <w:p>
      <w:pPr>
        <w:spacing w:after="0" w:line="11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 or to pursue certain strategic opportunities that may present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1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Shares purchased in the third quarter of 2020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 xml:space="preserve">Shares Purchased </w:t>
            </w: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31, 2020</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31, 2020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30, 2020</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hanging="492"/>
        <w:spacing w:after="0" w:line="282" w:lineRule="auto"/>
        <w:tabs>
          <w:tab w:leader="none" w:pos="5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80" w:type="dxa"/>
            <w:vAlign w:val="bottom"/>
            <w:gridSpan w:val="7"/>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70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10.1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Amarin Corporation plc 2020 Stock Incentive Plan (incorporated by reference to Exhibit 10.1 to the Registrant’s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(File No.: 000-21392) filed with the Securities and Exchange Commission on July 14,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10.2</w:t>
              </w:r>
            </w:hyperlink>
          </w:p>
        </w:tc>
        <w:tc>
          <w:tcPr>
            <w:tcW w:w="220" w:type="dxa"/>
            <w:vAlign w:val="bottom"/>
          </w:tcPr>
          <w:p>
            <w:pPr>
              <w:spacing w:after="0"/>
              <w:rPr>
                <w:sz w:val="24"/>
                <w:szCs w:val="24"/>
                <w:color w:val="auto"/>
              </w:rPr>
            </w:pPr>
          </w:p>
        </w:tc>
        <w:tc>
          <w:tcPr>
            <w:tcW w:w="666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Form of Incentive Stock Option Award Agreement</w:t>
              </w:r>
            </w:hyperlink>
          </w:p>
        </w:tc>
        <w:tc>
          <w:tcPr>
            <w:tcW w:w="3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10.3</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Form of Non-Qualified Stock Option Award Agreement</w:t>
              </w:r>
            </w:hyperlink>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10.4</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Form of Restricted Stock Unit Award Agreement</w:t>
              </w:r>
            </w:hyperlink>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10.5</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Form of Non-Qualified Stock Option for Non-Employee Director Award Agreement</w:t>
              </w:r>
            </w:hyperlink>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10.6</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Form of Deferred Restricted Stock Unit for Non-Employee Director Award Agreement</w:t>
              </w:r>
            </w:hyperlink>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10.7</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Online Office Renewal Agreement dated as of October 1, 2020, by and between Amarin Pharmaceuticals Ireland Limited and Regus CME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Ireland Limited</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10.8</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Online Office Renewal Agreement dated as of September 14, 2020, by and between Amarin Pharmaceuticals Ireland Limited and Regus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99">
              <w:r>
                <w:rPr>
                  <w:rFonts w:ascii="Times New Roman" w:cs="Times New Roman" w:eastAsia="Times New Roman" w:hAnsi="Times New Roman"/>
                  <w:sz w:val="18"/>
                  <w:szCs w:val="18"/>
                  <w:color w:val="0000EE"/>
                  <w:w w:val="98"/>
                </w:rPr>
                <w:t>CME Ireland Limited</w:t>
              </w:r>
            </w:hyperlink>
          </w:p>
        </w:tc>
        <w:tc>
          <w:tcPr>
            <w:tcW w:w="8260" w:type="dxa"/>
            <w:vAlign w:val="bottom"/>
            <w:tcBorders>
              <w:top w:val="single" w:sz="8" w:color="0000EE"/>
            </w:tcBorders>
            <w:gridSpan w:val="3"/>
          </w:tcPr>
          <w:p>
            <w:pPr>
              <w:spacing w:after="0"/>
              <w:rPr>
                <w:sz w:val="17"/>
                <w:szCs w:val="17"/>
                <w:color w:val="auto"/>
              </w:rPr>
            </w:pPr>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31.1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Certification of President and Chief Executive Officer (Principal Executive Officer) pursuant to Section 302 of Sarbanes-Oxley Act of 2002</w:t>
              </w:r>
            </w:hyperlink>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31.2</w:t>
              </w:r>
            </w:hyperlink>
          </w:p>
        </w:tc>
        <w:tc>
          <w:tcPr>
            <w:tcW w:w="220" w:type="dxa"/>
            <w:vAlign w:val="bottom"/>
          </w:tcPr>
          <w:p>
            <w:pPr>
              <w:spacing w:after="0"/>
              <w:rPr>
                <w:sz w:val="24"/>
                <w:szCs w:val="24"/>
                <w:color w:val="auto"/>
              </w:rPr>
            </w:pPr>
          </w:p>
        </w:tc>
        <w:tc>
          <w:tcPr>
            <w:tcW w:w="101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Certification of Senior Vice President and Chief Financial Officer (Principal Financial Officer and Principal Accounting Officer) pursuant 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Section 302 of Sarbanes-Oxley Act of 2002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cente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32.1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Certification of President and Chief Executive Officer (Principal Executive Officer) and Senior Vice President and Chief Financial Officer</w:t>
              </w:r>
            </w:hyperlink>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(Principal Financial Officer and Principal Accounting Officer) pursuant to Section 906 of Sarbanes-Oxley Act of 2002</w:t>
              </w:r>
            </w:hyperlink>
          </w:p>
        </w:tc>
        <w:tc>
          <w:tcPr>
            <w:tcW w:w="26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20" w:hanging="1012"/>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54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F. Thero</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60"/>
          </w:cols>
          <w:pgMar w:left="320" w:top="117" w:right="519" w:bottom="1440" w:gutter="0" w:footer="0" w:header="0"/>
        </w:sectPr>
      </w:pPr>
    </w:p>
    <w:bookmarkStart w:id="89" w:name="page90"/>
    <w:bookmarkEnd w:id="89"/>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13970</wp:posOffset>
            </wp:positionV>
            <wp:extent cx="1843405" cy="3771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60" w:type="dxa"/>
            <w:vAlign w:val="bottom"/>
          </w:tcPr>
          <w:p>
            <w:pPr>
              <w:spacing w:after="0"/>
              <w:rPr>
                <w:sz w:val="24"/>
                <w:szCs w:val="24"/>
                <w:color w:val="auto"/>
              </w:rPr>
            </w:pPr>
          </w:p>
        </w:tc>
        <w:tc>
          <w:tcPr>
            <w:tcW w:w="10720" w:type="dxa"/>
            <w:vAlign w:val="bottom"/>
          </w:tcPr>
          <w:p>
            <w:pPr>
              <w:ind w:left="1580"/>
              <w:spacing w:after="0"/>
              <w:rPr>
                <w:sz w:val="20"/>
                <w:szCs w:val="20"/>
                <w:color w:val="auto"/>
              </w:rPr>
            </w:pPr>
            <w:r>
              <w:rPr>
                <w:rFonts w:ascii="Times New Roman" w:cs="Times New Roman" w:eastAsia="Times New Roman" w:hAnsi="Times New Roman"/>
                <w:sz w:val="25"/>
                <w:szCs w:val="25"/>
                <w:b w:val="1"/>
                <w:bCs w:val="1"/>
                <w:color w:val="auto"/>
              </w:rPr>
              <w:t>AMARIN CORPORATION plc 2020 STOCK INCENTIVE PLAN</w:t>
            </w:r>
          </w:p>
        </w:tc>
      </w:tr>
      <w:tr>
        <w:trPr>
          <w:trHeight w:val="334"/>
        </w:trPr>
        <w:tc>
          <w:tcPr>
            <w:tcW w:w="460" w:type="dxa"/>
            <w:vAlign w:val="bottom"/>
          </w:tcPr>
          <w:p>
            <w:pPr>
              <w:spacing w:after="0"/>
              <w:rPr>
                <w:sz w:val="24"/>
                <w:szCs w:val="24"/>
                <w:color w:val="auto"/>
              </w:rPr>
            </w:pPr>
          </w:p>
        </w:tc>
        <w:tc>
          <w:tcPr>
            <w:tcW w:w="10720" w:type="dxa"/>
            <w:vAlign w:val="bottom"/>
          </w:tcPr>
          <w:p>
            <w:pPr>
              <w:ind w:left="3840"/>
              <w:spacing w:after="0"/>
              <w:rPr>
                <w:sz w:val="20"/>
                <w:szCs w:val="20"/>
                <w:color w:val="auto"/>
              </w:rPr>
            </w:pPr>
            <w:r>
              <w:rPr>
                <w:rFonts w:ascii="Times New Roman" w:cs="Times New Roman" w:eastAsia="Times New Roman" w:hAnsi="Times New Roman"/>
                <w:sz w:val="25"/>
                <w:szCs w:val="25"/>
                <w:b w:val="1"/>
                <w:bCs w:val="1"/>
                <w:color w:val="auto"/>
              </w:rPr>
              <w:t>AWARD AGREEMENT</w:t>
            </w:r>
          </w:p>
        </w:tc>
      </w:tr>
      <w:tr>
        <w:trPr>
          <w:trHeight w:val="334"/>
        </w:trPr>
        <w:tc>
          <w:tcPr>
            <w:tcW w:w="460" w:type="dxa"/>
            <w:vAlign w:val="bottom"/>
          </w:tcPr>
          <w:p>
            <w:pPr>
              <w:spacing w:after="0"/>
              <w:rPr>
                <w:sz w:val="24"/>
                <w:szCs w:val="24"/>
                <w:color w:val="auto"/>
              </w:rPr>
            </w:pPr>
          </w:p>
        </w:tc>
        <w:tc>
          <w:tcPr>
            <w:tcW w:w="10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 20[ ] between Amarin Corporation plc (the</w:t>
            </w:r>
          </w:p>
        </w:tc>
      </w:tr>
      <w:tr>
        <w:trPr>
          <w:trHeight w:val="220"/>
        </w:trPr>
        <w:tc>
          <w:tcPr>
            <w:tcW w:w="460" w:type="dxa"/>
            <w:vAlign w:val="bottom"/>
          </w:tcPr>
          <w:p>
            <w:pPr>
              <w:spacing w:after="0"/>
              <w:rPr>
                <w:sz w:val="19"/>
                <w:szCs w:val="19"/>
                <w:color w:val="auto"/>
              </w:rPr>
            </w:pPr>
          </w:p>
        </w:tc>
        <w:tc>
          <w:tcPr>
            <w:tcW w:w="10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 (the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The Company hereby grants to the Optionee Incentive Stock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as set forth</w:t>
            </w:r>
          </w:p>
        </w:tc>
      </w:tr>
      <w:tr>
        <w:trPr>
          <w:trHeight w:val="212"/>
        </w:trPr>
        <w:tc>
          <w:tcPr>
            <w:tcW w:w="460" w:type="dxa"/>
            <w:vAlign w:val="bottom"/>
          </w:tcPr>
          <w:p>
            <w:pPr>
              <w:spacing w:after="0"/>
              <w:rPr>
                <w:sz w:val="18"/>
                <w:szCs w:val="18"/>
                <w:color w:val="auto"/>
              </w:rPr>
            </w:pPr>
          </w:p>
        </w:tc>
        <w:tc>
          <w:tcPr>
            <w:tcW w:w="10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below. Capitalized terms used and not defined herein shall have the meanings set forth in the Amarin Corporation plc 2020 Stock Incentive Plan</w:t>
            </w:r>
          </w:p>
        </w:tc>
      </w:tr>
      <w:tr>
        <w:trPr>
          <w:trHeight w:val="238"/>
        </w:trPr>
        <w:tc>
          <w:tcPr>
            <w:tcW w:w="46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w:t>
            </w:r>
          </w:p>
        </w:tc>
      </w:tr>
      <w:tr>
        <w:trPr>
          <w:trHeight w:val="384"/>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1.</w:t>
            </w:r>
          </w:p>
        </w:tc>
        <w:tc>
          <w:tcPr>
            <w:tcW w:w="10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 xml:space="preserve">Number of Incentive Stock Options: </w:t>
            </w:r>
            <w:r>
              <w:rPr>
                <w:rFonts w:ascii="Times New Roman" w:cs="Times New Roman" w:eastAsia="Times New Roman" w:hAnsi="Times New Roman"/>
                <w:sz w:val="18"/>
                <w:szCs w:val="18"/>
                <w:color w:val="auto"/>
                <w:w w:val="99"/>
              </w:rPr>
              <w:t>[]</w:t>
            </w:r>
          </w:p>
        </w:tc>
      </w:tr>
    </w:tbl>
    <w:p>
      <w:pPr>
        <w:spacing w:after="0" w:line="120"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Per Share Purchase Price: </w:t>
      </w:r>
      <w:r>
        <w:rPr>
          <w:rFonts w:ascii="Times New Roman" w:cs="Times New Roman" w:eastAsia="Times New Roman" w:hAnsi="Times New Roman"/>
          <w:sz w:val="18"/>
          <w:szCs w:val="18"/>
          <w:color w:val="auto"/>
        </w:rPr>
        <w:t>$[   ](provided that such Per Share Purchase Price shall not be less than the par</w:t>
      </w:r>
    </w:p>
    <w:p>
      <w:pPr>
        <w:spacing w:after="0" w:line="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value of the Share at any time, currently £0.50)</w:t>
      </w:r>
    </w:p>
    <w:p>
      <w:pPr>
        <w:spacing w:after="0"/>
        <w:tabs>
          <w:tab w:leader="none" w:pos="740" w:val="left"/>
          <w:tab w:leader="none" w:pos="226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760" w:right="460" w:hanging="752"/>
        <w:spacing w:after="0" w:line="260" w:lineRule="auto"/>
        <w:tabs>
          <w:tab w:leader="none" w:pos="76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Date Options Become Exercisable (Vesting): </w:t>
      </w:r>
      <w:r>
        <w:rPr>
          <w:rFonts w:ascii="Times New Roman" w:cs="Times New Roman" w:eastAsia="Times New Roman" w:hAnsi="Times New Roman"/>
          <w:sz w:val="18"/>
          <w:szCs w:val="18"/>
          <w:color w:val="auto"/>
        </w:rPr>
        <w:t>The Options shall vest pursuant to the following table, subject to the Optionee’s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as an Employee or Consultant on each such date.</w:t>
      </w:r>
    </w:p>
    <w:p>
      <w:pPr>
        <w:spacing w:after="0" w:line="177" w:lineRule="exact"/>
        <w:rPr>
          <w:sz w:val="20"/>
          <w:szCs w:val="20"/>
          <w:color w:val="auto"/>
        </w:rPr>
      </w:pPr>
    </w:p>
    <w:tbl>
      <w:tblPr>
        <w:tblLayout w:type="fixed"/>
        <w:tblInd w:w="3150" w:type="dxa"/>
        <w:tblCellMar>
          <w:top w:w="0" w:type="dxa"/>
          <w:left w:w="0" w:type="dxa"/>
          <w:bottom w:w="0" w:type="dxa"/>
          <w:right w:w="0" w:type="dxa"/>
        </w:tblCellMar>
      </w:tblPr>
      <w:tr>
        <w:trPr>
          <w:trHeight w:val="216"/>
        </w:trPr>
        <w:tc>
          <w:tcPr>
            <w:tcW w:w="600" w:type="dxa"/>
            <w:vAlign w:val="bottom"/>
            <w:tcBorders>
              <w:top w:val="single" w:sz="8" w:color="A6A6A6"/>
              <w:left w:val="single" w:sz="8" w:color="A6A6A6"/>
            </w:tcBorders>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780" w:type="dxa"/>
            <w:vAlign w:val="bottom"/>
            <w:tcBorders>
              <w:top w:val="single" w:sz="8" w:color="A6A6A6"/>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Number of</w:t>
            </w:r>
          </w:p>
        </w:tc>
        <w:tc>
          <w:tcPr>
            <w:tcW w:w="780" w:type="dxa"/>
            <w:vAlign w:val="bottom"/>
            <w:tcBorders>
              <w:top w:val="single" w:sz="8" w:color="A6A6A6"/>
              <w:right w:val="single" w:sz="8" w:color="D9D9D9"/>
            </w:tcBorders>
            <w:gridSpan w:val="2"/>
          </w:tcPr>
          <w:p>
            <w:pPr>
              <w:spacing w:after="0"/>
              <w:rPr>
                <w:sz w:val="18"/>
                <w:szCs w:val="18"/>
                <w:color w:val="auto"/>
              </w:rPr>
            </w:pPr>
          </w:p>
        </w:tc>
        <w:tc>
          <w:tcPr>
            <w:tcW w:w="2640" w:type="dxa"/>
            <w:vAlign w:val="bottom"/>
            <w:tcBorders>
              <w:top w:val="single" w:sz="8" w:color="A6A6A6"/>
              <w:bottom w:val="single" w:sz="8" w:color="A6A6A6"/>
              <w:right w:val="single" w:sz="8" w:color="A6A6A6"/>
            </w:tcBorders>
            <w:gridSpan w:val="4"/>
            <w:vMerge w:val="restart"/>
          </w:tcPr>
          <w:p>
            <w:pPr>
              <w:ind w:left="760"/>
              <w:spacing w:after="0"/>
              <w:rPr>
                <w:sz w:val="20"/>
                <w:szCs w:val="20"/>
                <w:color w:val="auto"/>
              </w:rPr>
            </w:pPr>
            <w:r>
              <w:rPr>
                <w:rFonts w:ascii="Times New Roman" w:cs="Times New Roman" w:eastAsia="Times New Roman" w:hAnsi="Times New Roman"/>
                <w:sz w:val="18"/>
                <w:szCs w:val="18"/>
                <w:i w:val="1"/>
                <w:iCs w:val="1"/>
                <w:color w:val="auto"/>
              </w:rPr>
              <w:t>Exercise Dates</w:t>
            </w:r>
          </w:p>
        </w:tc>
        <w:tc>
          <w:tcPr>
            <w:tcW w:w="0" w:type="dxa"/>
            <w:vAlign w:val="bottom"/>
          </w:tcPr>
          <w:p>
            <w:pPr>
              <w:spacing w:after="0"/>
              <w:rPr>
                <w:sz w:val="1"/>
                <w:szCs w:val="1"/>
                <w:color w:val="auto"/>
              </w:rPr>
            </w:pPr>
          </w:p>
        </w:tc>
      </w:tr>
      <w:tr>
        <w:trPr>
          <w:trHeight w:val="196"/>
        </w:trPr>
        <w:tc>
          <w:tcPr>
            <w:tcW w:w="600" w:type="dxa"/>
            <w:vAlign w:val="bottom"/>
            <w:tcBorders>
              <w:left w:val="single" w:sz="8" w:color="A6A6A6"/>
            </w:tcBorders>
          </w:tcPr>
          <w:p>
            <w:pPr>
              <w:spacing w:after="0"/>
              <w:rPr>
                <w:sz w:val="17"/>
                <w:szCs w:val="17"/>
                <w:color w:val="auto"/>
              </w:rPr>
            </w:pPr>
          </w:p>
        </w:tc>
        <w:tc>
          <w:tcPr>
            <w:tcW w:w="1760" w:type="dxa"/>
            <w:vAlign w:val="bottom"/>
            <w:tcBorders>
              <w:right w:val="single" w:sz="8" w:color="D9D9D9"/>
            </w:tcBorders>
            <w:gridSpan w:val="5"/>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Ordinary Shares</w:t>
            </w:r>
          </w:p>
        </w:tc>
        <w:tc>
          <w:tcPr>
            <w:tcW w:w="2640" w:type="dxa"/>
            <w:vAlign w:val="bottom"/>
            <w:tcBorders>
              <w:right w:val="single" w:sz="8" w:color="A6A6A6"/>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6A6A6"/>
              <w:bottom w:val="single" w:sz="8" w:color="D9D9D9"/>
            </w:tcBorders>
          </w:tcPr>
          <w:p>
            <w:pPr>
              <w:spacing w:after="0" w:line="20" w:lineRule="exact"/>
              <w:rPr>
                <w:sz w:val="1"/>
                <w:szCs w:val="1"/>
                <w:color w:val="auto"/>
              </w:rPr>
            </w:pPr>
          </w:p>
        </w:tc>
        <w:tc>
          <w:tcPr>
            <w:tcW w:w="200" w:type="dxa"/>
            <w:vAlign w:val="bottom"/>
            <w:tcBorders>
              <w:top w:val="single" w:sz="8" w:color="auto"/>
              <w:bottom w:val="single" w:sz="8" w:color="D9D9D9"/>
            </w:tcBorders>
          </w:tcPr>
          <w:p>
            <w:pPr>
              <w:spacing w:after="0" w:line="20" w:lineRule="exact"/>
              <w:rPr>
                <w:sz w:val="1"/>
                <w:szCs w:val="1"/>
                <w:color w:val="auto"/>
              </w:rPr>
            </w:pPr>
          </w:p>
        </w:tc>
        <w:tc>
          <w:tcPr>
            <w:tcW w:w="380" w:type="dxa"/>
            <w:vAlign w:val="bottom"/>
            <w:tcBorders>
              <w:top w:val="single" w:sz="8" w:color="auto"/>
              <w:bottom w:val="single" w:sz="8" w:color="D9D9D9"/>
            </w:tcBorders>
          </w:tcPr>
          <w:p>
            <w:pPr>
              <w:spacing w:after="0" w:line="20" w:lineRule="exact"/>
              <w:rPr>
                <w:sz w:val="1"/>
                <w:szCs w:val="1"/>
                <w:color w:val="auto"/>
              </w:rPr>
            </w:pPr>
          </w:p>
        </w:tc>
        <w:tc>
          <w:tcPr>
            <w:tcW w:w="400" w:type="dxa"/>
            <w:vAlign w:val="bottom"/>
            <w:tcBorders>
              <w:top w:val="single" w:sz="8" w:color="auto"/>
              <w:bottom w:val="single" w:sz="8" w:color="D9D9D9"/>
            </w:tcBorders>
          </w:tcPr>
          <w:p>
            <w:pPr>
              <w:spacing w:after="0" w:line="20" w:lineRule="exact"/>
              <w:rPr>
                <w:sz w:val="1"/>
                <w:szCs w:val="1"/>
                <w:color w:val="auto"/>
              </w:rPr>
            </w:pPr>
          </w:p>
        </w:tc>
        <w:tc>
          <w:tcPr>
            <w:tcW w:w="200" w:type="dxa"/>
            <w:vAlign w:val="bottom"/>
            <w:tcBorders>
              <w:top w:val="single" w:sz="8" w:color="auto"/>
              <w:bottom w:val="single" w:sz="8" w:color="D9D9D9"/>
            </w:tcBorders>
          </w:tcPr>
          <w:p>
            <w:pPr>
              <w:spacing w:after="0" w:line="20" w:lineRule="exact"/>
              <w:rPr>
                <w:sz w:val="1"/>
                <w:szCs w:val="1"/>
                <w:color w:val="auto"/>
              </w:rPr>
            </w:pPr>
          </w:p>
        </w:tc>
        <w:tc>
          <w:tcPr>
            <w:tcW w:w="580" w:type="dxa"/>
            <w:vAlign w:val="bottom"/>
            <w:tcBorders>
              <w:bottom w:val="single" w:sz="8" w:color="D9D9D9"/>
              <w:right w:val="single" w:sz="8" w:color="D9D9D9"/>
            </w:tcBorders>
          </w:tcPr>
          <w:p>
            <w:pPr>
              <w:spacing w:after="0" w:line="20" w:lineRule="exact"/>
              <w:rPr>
                <w:sz w:val="1"/>
                <w:szCs w:val="1"/>
                <w:color w:val="auto"/>
              </w:rPr>
            </w:pPr>
          </w:p>
        </w:tc>
        <w:tc>
          <w:tcPr>
            <w:tcW w:w="760" w:type="dxa"/>
            <w:vAlign w:val="bottom"/>
            <w:tcBorders>
              <w:bottom w:val="single" w:sz="8" w:color="D9D9D9"/>
            </w:tcBorders>
          </w:tcPr>
          <w:p>
            <w:pPr>
              <w:spacing w:after="0" w:line="20" w:lineRule="exact"/>
              <w:rPr>
                <w:sz w:val="1"/>
                <w:szCs w:val="1"/>
                <w:color w:val="auto"/>
              </w:rPr>
            </w:pPr>
          </w:p>
        </w:tc>
        <w:tc>
          <w:tcPr>
            <w:tcW w:w="540" w:type="dxa"/>
            <w:vAlign w:val="bottom"/>
            <w:tcBorders>
              <w:top w:val="single" w:sz="8" w:color="auto"/>
              <w:bottom w:val="single" w:sz="8" w:color="D9D9D9"/>
            </w:tcBorders>
          </w:tcPr>
          <w:p>
            <w:pPr>
              <w:spacing w:after="0" w:line="20" w:lineRule="exact"/>
              <w:rPr>
                <w:sz w:val="1"/>
                <w:szCs w:val="1"/>
                <w:color w:val="auto"/>
              </w:rPr>
            </w:pPr>
          </w:p>
        </w:tc>
        <w:tc>
          <w:tcPr>
            <w:tcW w:w="540" w:type="dxa"/>
            <w:vAlign w:val="bottom"/>
            <w:tcBorders>
              <w:top w:val="single" w:sz="8" w:color="auto"/>
              <w:bottom w:val="single" w:sz="8" w:color="D9D9D9"/>
            </w:tcBorders>
          </w:tcPr>
          <w:p>
            <w:pPr>
              <w:spacing w:after="0" w:line="20" w:lineRule="exact"/>
              <w:rPr>
                <w:sz w:val="1"/>
                <w:szCs w:val="1"/>
                <w:color w:val="auto"/>
              </w:rPr>
            </w:pPr>
          </w:p>
        </w:tc>
        <w:tc>
          <w:tcPr>
            <w:tcW w:w="800" w:type="dxa"/>
            <w:vAlign w:val="bottom"/>
            <w:tcBorders>
              <w:bottom w:val="single" w:sz="8" w:color="D9D9D9"/>
              <w:right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6A6A6"/>
              <w:bottom w:val="single" w:sz="8" w:color="A6A6A6"/>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6A6A6"/>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right w:val="single" w:sz="8" w:color="D9D9D9"/>
            </w:tcBorders>
          </w:tcPr>
          <w:p>
            <w:pPr>
              <w:spacing w:after="0"/>
              <w:rPr>
                <w:sz w:val="20"/>
                <w:szCs w:val="20"/>
                <w:color w:val="auto"/>
              </w:rPr>
            </w:pPr>
          </w:p>
        </w:tc>
        <w:tc>
          <w:tcPr>
            <w:tcW w:w="1300" w:type="dxa"/>
            <w:vAlign w:val="bottom"/>
            <w:tcBorders>
              <w:bottom w:val="single" w:sz="8" w:color="A6A6A6"/>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6A6A6"/>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6A6A6"/>
              <w:right w:val="single" w:sz="8" w:color="A6A6A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tabs>
          <w:tab w:leader="none" w:pos="740" w:val="left"/>
          <w:tab w:leader="none" w:pos="26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760" w:right="20" w:hanging="752"/>
        <w:spacing w:after="0" w:line="237" w:lineRule="auto"/>
        <w:tabs>
          <w:tab w:leader="none" w:pos="7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Terms of this Award Agreement: </w:t>
      </w:r>
      <w:r>
        <w:rPr>
          <w:rFonts w:ascii="Times New Roman" w:cs="Times New Roman" w:eastAsia="Times New Roman" w:hAnsi="Times New Roman"/>
          <w:sz w:val="18"/>
          <w:szCs w:val="18"/>
          <w:color w:val="auto"/>
        </w:rPr>
        <w:t>In the event of a conflict between the provisions of this Agreement and the Plan, except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7 below, the provisions of the Plan shall prevail. A copy of the Plan is provided herewith.</w:t>
      </w:r>
    </w:p>
    <w:p>
      <w:pPr>
        <w:spacing w:after="0" w:line="127" w:lineRule="exact"/>
        <w:rPr>
          <w:rFonts w:ascii="Times New Roman" w:cs="Times New Roman" w:eastAsia="Times New Roman" w:hAnsi="Times New Roman"/>
          <w:sz w:val="20"/>
          <w:szCs w:val="20"/>
          <w:b w:val="1"/>
          <w:bCs w:val="1"/>
          <w:color w:val="auto"/>
        </w:rPr>
      </w:pPr>
    </w:p>
    <w:p>
      <w:pPr>
        <w:ind w:left="760" w:right="20" w:hanging="752"/>
        <w:spacing w:after="0" w:line="260" w:lineRule="auto"/>
        <w:tabs>
          <w:tab w:leader="none" w:pos="7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Non-transferable: </w:t>
      </w:r>
      <w:r>
        <w:rPr>
          <w:rFonts w:ascii="Times New Roman" w:cs="Times New Roman" w:eastAsia="Times New Roman" w:hAnsi="Times New Roman"/>
          <w:sz w:val="18"/>
          <w:szCs w:val="18"/>
          <w:color w:val="auto"/>
        </w:rPr>
        <w:t>These Options shall not be transferable by the Optionee other than by will or the laws of descent and distribution,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shall be exercisable, during the Optionee’s lifetime, only by the Optionee.</w:t>
      </w:r>
    </w:p>
    <w:p>
      <w:pPr>
        <w:spacing w:after="0" w:line="134" w:lineRule="exact"/>
        <w:rPr>
          <w:rFonts w:ascii="Times New Roman" w:cs="Times New Roman" w:eastAsia="Times New Roman" w:hAnsi="Times New Roman"/>
          <w:sz w:val="20"/>
          <w:szCs w:val="20"/>
          <w:b w:val="1"/>
          <w:bCs w:val="1"/>
          <w:color w:val="auto"/>
        </w:rPr>
      </w:pPr>
    </w:p>
    <w:p>
      <w:pPr>
        <w:ind w:left="760" w:right="20" w:hanging="752"/>
        <w:spacing w:after="0" w:line="286" w:lineRule="auto"/>
        <w:tabs>
          <w:tab w:leader="none" w:pos="7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Status of Options: </w:t>
      </w:r>
      <w:r>
        <w:rPr>
          <w:rFonts w:ascii="Times New Roman" w:cs="Times New Roman" w:eastAsia="Times New Roman" w:hAnsi="Times New Roman"/>
          <w:sz w:val="18"/>
          <w:szCs w:val="18"/>
          <w:color w:val="auto"/>
        </w:rPr>
        <w:t>To the extent any portion of these Options does not qualify as an incentive stock option under Section 422 of the Code,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a non-qualified stock option.</w:t>
      </w:r>
    </w:p>
    <w:p>
      <w:pPr>
        <w:spacing w:after="0" w:line="158"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signing this Agreement, you agree to all of the terms and conditions described herein and in the Plan.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AMARIN CORPORATION plc</w:t>
            </w: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Pr>
          <w:p>
            <w:pPr>
              <w:spacing w:after="0"/>
              <w:rPr>
                <w:sz w:val="24"/>
                <w:szCs w:val="24"/>
                <w:color w:val="auto"/>
              </w:rPr>
            </w:pPr>
          </w:p>
        </w:tc>
        <w:tc>
          <w:tcPr>
            <w:tcW w:w="37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Name:</w:t>
            </w:r>
          </w:p>
        </w:tc>
        <w:tc>
          <w:tcPr>
            <w:tcW w:w="50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Signature:</w:t>
            </w:r>
          </w:p>
        </w:tc>
        <w:tc>
          <w:tcPr>
            <w:tcW w:w="498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0" w:type="dxa"/>
            <w:vAlign w:val="bottom"/>
          </w:tcPr>
          <w:p>
            <w:pPr>
              <w:spacing w:after="0"/>
              <w:rPr>
                <w:sz w:val="1"/>
                <w:szCs w:val="1"/>
                <w:color w:val="auto"/>
              </w:rPr>
            </w:pPr>
          </w:p>
        </w:tc>
      </w:tr>
      <w:tr>
        <w:trPr>
          <w:trHeight w:val="198"/>
        </w:trPr>
        <w:tc>
          <w:tcPr>
            <w:tcW w:w="45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7"/>
        </w:trPr>
        <w:tc>
          <w:tcPr>
            <w:tcW w:w="4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13970</wp:posOffset>
            </wp:positionV>
            <wp:extent cx="1843405" cy="3771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tabs>
          <w:tab w:leader="none" w:pos="4620" w:val="left"/>
          <w:tab w:leader="none" w:pos="5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480"/>
          </w:cols>
          <w:pgMar w:left="1080" w:top="10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13970</wp:posOffset>
            </wp:positionV>
            <wp:extent cx="1843405"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AMARIN CORPORATION plc 2020 STOCK INCENTIVE PLAN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AWARD AGREEMENT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20[ ] between Amarin Corporation plc (the</w:t>
            </w:r>
          </w:p>
        </w:tc>
      </w:tr>
      <w:tr>
        <w:trPr>
          <w:trHeight w:val="220"/>
        </w:trPr>
        <w:tc>
          <w:tcPr>
            <w:tcW w:w="460" w:type="dxa"/>
            <w:vAlign w:val="bottom"/>
          </w:tcPr>
          <w:p>
            <w:pPr>
              <w:spacing w:after="0"/>
              <w:rPr>
                <w:sz w:val="19"/>
                <w:szCs w:val="19"/>
                <w:color w:val="auto"/>
              </w:rPr>
            </w:pPr>
          </w:p>
        </w:tc>
        <w:tc>
          <w:tcPr>
            <w:tcW w:w="1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p>
        </w:tc>
        <w:tc>
          <w:tcPr>
            <w:tcW w:w="8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The Company hereby grants to the Optionee Non-Qualified Stock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as set</w:t>
            </w:r>
          </w:p>
        </w:tc>
      </w:tr>
      <w:tr>
        <w:trPr>
          <w:trHeight w:val="212"/>
        </w:trPr>
        <w:tc>
          <w:tcPr>
            <w:tcW w:w="460" w:type="dxa"/>
            <w:vAlign w:val="bottom"/>
          </w:tcPr>
          <w:p>
            <w:pPr>
              <w:spacing w:after="0"/>
              <w:rPr>
                <w:sz w:val="18"/>
                <w:szCs w:val="18"/>
                <w:color w:val="auto"/>
              </w:rPr>
            </w:pPr>
          </w:p>
        </w:tc>
        <w:tc>
          <w:tcPr>
            <w:tcW w:w="107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forth below. Capitalized terms used and not defined herein shall have the meanings set forth in the Amarin Corporation plc 2020 Stock Incentive</w:t>
            </w:r>
          </w:p>
        </w:tc>
      </w:tr>
      <w:tr>
        <w:trPr>
          <w:trHeight w:val="238"/>
        </w:trPr>
        <w:tc>
          <w:tcPr>
            <w:tcW w:w="460" w:type="dxa"/>
            <w:vAlign w:val="bottom"/>
          </w:tcPr>
          <w:p>
            <w:pPr>
              <w:spacing w:after="0"/>
              <w:rPr>
                <w:sz w:val="20"/>
                <w:szCs w:val="20"/>
                <w:color w:val="auto"/>
              </w:rPr>
            </w:pPr>
          </w:p>
        </w:tc>
        <w:tc>
          <w:tcPr>
            <w:tcW w:w="7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xml:space="preserve">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w:t>
            </w:r>
          </w:p>
        </w:tc>
        <w:tc>
          <w:tcPr>
            <w:tcW w:w="3560" w:type="dxa"/>
            <w:vAlign w:val="bottom"/>
          </w:tcPr>
          <w:p>
            <w:pPr>
              <w:spacing w:after="0"/>
              <w:rPr>
                <w:sz w:val="20"/>
                <w:szCs w:val="20"/>
                <w:color w:val="auto"/>
              </w:rPr>
            </w:pPr>
          </w:p>
        </w:tc>
      </w:tr>
      <w:tr>
        <w:trPr>
          <w:trHeight w:val="452"/>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1.</w:t>
            </w:r>
          </w:p>
        </w:tc>
        <w:tc>
          <w:tcPr>
            <w:tcW w:w="3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Number of Non-Qualified Stock Options: </w:t>
            </w:r>
            <w:r>
              <w:rPr>
                <w:rFonts w:ascii="Times New Roman" w:cs="Times New Roman" w:eastAsia="Times New Roman" w:hAnsi="Times New Roman"/>
                <w:sz w:val="18"/>
                <w:szCs w:val="18"/>
                <w:color w:val="auto"/>
              </w:rPr>
              <w:t>[</w:t>
            </w:r>
          </w:p>
        </w:tc>
        <w:tc>
          <w:tcPr>
            <w:tcW w:w="342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spacing w:after="0"/>
              <w:rPr>
                <w:sz w:val="24"/>
                <w:szCs w:val="24"/>
                <w:color w:val="auto"/>
              </w:rPr>
            </w:pPr>
          </w:p>
        </w:tc>
      </w:tr>
    </w:tbl>
    <w:p>
      <w:pPr>
        <w:spacing w:after="0" w:line="188"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Per Share Purchase Price: </w:t>
      </w:r>
      <w:r>
        <w:rPr>
          <w:rFonts w:ascii="Times New Roman" w:cs="Times New Roman" w:eastAsia="Times New Roman" w:hAnsi="Times New Roman"/>
          <w:sz w:val="18"/>
          <w:szCs w:val="18"/>
          <w:color w:val="auto"/>
        </w:rPr>
        <w:t>$[   ](provided that such Per Share Purchase Price shall not be less than the par</w:t>
      </w:r>
    </w:p>
    <w:p>
      <w:pPr>
        <w:spacing w:after="0" w:line="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value of the Share at any time, currently £0.50)</w:t>
      </w:r>
    </w:p>
    <w:p>
      <w:pPr>
        <w:spacing w:after="0"/>
        <w:tabs>
          <w:tab w:leader="none" w:pos="740" w:val="left"/>
          <w:tab w:leader="none" w:pos="22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60" w:right="440" w:hanging="752"/>
        <w:spacing w:after="0" w:line="260" w:lineRule="auto"/>
        <w:tabs>
          <w:tab w:leader="none" w:pos="7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Date Options Become Exercisable (Vesting): </w:t>
      </w:r>
      <w:r>
        <w:rPr>
          <w:rFonts w:ascii="Times New Roman" w:cs="Times New Roman" w:eastAsia="Times New Roman" w:hAnsi="Times New Roman"/>
          <w:sz w:val="18"/>
          <w:szCs w:val="18"/>
          <w:color w:val="auto"/>
        </w:rPr>
        <w:t>The Options shall vest pursuant to the following table, subject to the Optionee’s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as an Employee or Consultant on each such date.</w:t>
      </w:r>
    </w:p>
    <w:p>
      <w:pPr>
        <w:spacing w:after="0" w:line="177" w:lineRule="exact"/>
        <w:rPr>
          <w:sz w:val="20"/>
          <w:szCs w:val="20"/>
          <w:color w:val="auto"/>
        </w:rPr>
      </w:pPr>
    </w:p>
    <w:tbl>
      <w:tblPr>
        <w:tblLayout w:type="fixed"/>
        <w:tblInd w:w="3150" w:type="dxa"/>
        <w:tblCellMar>
          <w:top w:w="0" w:type="dxa"/>
          <w:left w:w="0" w:type="dxa"/>
          <w:bottom w:w="0" w:type="dxa"/>
          <w:right w:w="0" w:type="dxa"/>
        </w:tblCellMar>
      </w:tblPr>
      <w:tr>
        <w:trPr>
          <w:trHeight w:val="216"/>
        </w:trPr>
        <w:tc>
          <w:tcPr>
            <w:tcW w:w="600" w:type="dxa"/>
            <w:vAlign w:val="bottom"/>
            <w:tcBorders>
              <w:top w:val="single" w:sz="8" w:color="A6A6A6"/>
              <w:left w:val="single" w:sz="8" w:color="A6A6A6"/>
            </w:tcBorders>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780" w:type="dxa"/>
            <w:vAlign w:val="bottom"/>
            <w:tcBorders>
              <w:top w:val="single" w:sz="8" w:color="A6A6A6"/>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Number of</w:t>
            </w:r>
          </w:p>
        </w:tc>
        <w:tc>
          <w:tcPr>
            <w:tcW w:w="780" w:type="dxa"/>
            <w:vAlign w:val="bottom"/>
            <w:tcBorders>
              <w:top w:val="single" w:sz="8" w:color="A6A6A6"/>
              <w:right w:val="single" w:sz="8" w:color="D9D9D9"/>
            </w:tcBorders>
            <w:gridSpan w:val="2"/>
          </w:tcPr>
          <w:p>
            <w:pPr>
              <w:spacing w:after="0"/>
              <w:rPr>
                <w:sz w:val="18"/>
                <w:szCs w:val="18"/>
                <w:color w:val="auto"/>
              </w:rPr>
            </w:pPr>
          </w:p>
        </w:tc>
        <w:tc>
          <w:tcPr>
            <w:tcW w:w="2640" w:type="dxa"/>
            <w:vAlign w:val="bottom"/>
            <w:tcBorders>
              <w:top w:val="single" w:sz="8" w:color="A6A6A6"/>
              <w:bottom w:val="single" w:sz="8" w:color="A6A6A6"/>
              <w:right w:val="single" w:sz="8" w:color="A6A6A6"/>
            </w:tcBorders>
            <w:gridSpan w:val="4"/>
            <w:vMerge w:val="restart"/>
          </w:tcPr>
          <w:p>
            <w:pPr>
              <w:ind w:left="760"/>
              <w:spacing w:after="0"/>
              <w:rPr>
                <w:sz w:val="20"/>
                <w:szCs w:val="20"/>
                <w:color w:val="auto"/>
              </w:rPr>
            </w:pPr>
            <w:r>
              <w:rPr>
                <w:rFonts w:ascii="Times New Roman" w:cs="Times New Roman" w:eastAsia="Times New Roman" w:hAnsi="Times New Roman"/>
                <w:sz w:val="18"/>
                <w:szCs w:val="18"/>
                <w:i w:val="1"/>
                <w:iCs w:val="1"/>
                <w:color w:val="auto"/>
              </w:rPr>
              <w:t>Exercise Dates</w:t>
            </w:r>
          </w:p>
        </w:tc>
        <w:tc>
          <w:tcPr>
            <w:tcW w:w="0" w:type="dxa"/>
            <w:vAlign w:val="bottom"/>
          </w:tcPr>
          <w:p>
            <w:pPr>
              <w:spacing w:after="0"/>
              <w:rPr>
                <w:sz w:val="1"/>
                <w:szCs w:val="1"/>
                <w:color w:val="auto"/>
              </w:rPr>
            </w:pPr>
          </w:p>
        </w:tc>
      </w:tr>
      <w:tr>
        <w:trPr>
          <w:trHeight w:val="196"/>
        </w:trPr>
        <w:tc>
          <w:tcPr>
            <w:tcW w:w="600" w:type="dxa"/>
            <w:vAlign w:val="bottom"/>
            <w:tcBorders>
              <w:left w:val="single" w:sz="8" w:color="A6A6A6"/>
            </w:tcBorders>
          </w:tcPr>
          <w:p>
            <w:pPr>
              <w:spacing w:after="0"/>
              <w:rPr>
                <w:sz w:val="17"/>
                <w:szCs w:val="17"/>
                <w:color w:val="auto"/>
              </w:rPr>
            </w:pPr>
          </w:p>
        </w:tc>
        <w:tc>
          <w:tcPr>
            <w:tcW w:w="1760" w:type="dxa"/>
            <w:vAlign w:val="bottom"/>
            <w:tcBorders>
              <w:right w:val="single" w:sz="8" w:color="D9D9D9"/>
            </w:tcBorders>
            <w:gridSpan w:val="5"/>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Ordinary Shares</w:t>
            </w:r>
          </w:p>
        </w:tc>
        <w:tc>
          <w:tcPr>
            <w:tcW w:w="2640" w:type="dxa"/>
            <w:vAlign w:val="bottom"/>
            <w:tcBorders>
              <w:right w:val="single" w:sz="8" w:color="A6A6A6"/>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6A6A6"/>
              <w:bottom w:val="single" w:sz="8" w:color="D9D9D9"/>
            </w:tcBorders>
          </w:tcPr>
          <w:p>
            <w:pPr>
              <w:spacing w:after="0" w:line="20" w:lineRule="exact"/>
              <w:rPr>
                <w:sz w:val="1"/>
                <w:szCs w:val="1"/>
                <w:color w:val="auto"/>
              </w:rPr>
            </w:pPr>
          </w:p>
        </w:tc>
        <w:tc>
          <w:tcPr>
            <w:tcW w:w="200" w:type="dxa"/>
            <w:vAlign w:val="bottom"/>
            <w:tcBorders>
              <w:top w:val="single" w:sz="8" w:color="auto"/>
              <w:bottom w:val="single" w:sz="8" w:color="D9D9D9"/>
            </w:tcBorders>
          </w:tcPr>
          <w:p>
            <w:pPr>
              <w:spacing w:after="0" w:line="20" w:lineRule="exact"/>
              <w:rPr>
                <w:sz w:val="1"/>
                <w:szCs w:val="1"/>
                <w:color w:val="auto"/>
              </w:rPr>
            </w:pPr>
          </w:p>
        </w:tc>
        <w:tc>
          <w:tcPr>
            <w:tcW w:w="380" w:type="dxa"/>
            <w:vAlign w:val="bottom"/>
            <w:tcBorders>
              <w:top w:val="single" w:sz="8" w:color="auto"/>
              <w:bottom w:val="single" w:sz="8" w:color="D9D9D9"/>
            </w:tcBorders>
          </w:tcPr>
          <w:p>
            <w:pPr>
              <w:spacing w:after="0" w:line="20" w:lineRule="exact"/>
              <w:rPr>
                <w:sz w:val="1"/>
                <w:szCs w:val="1"/>
                <w:color w:val="auto"/>
              </w:rPr>
            </w:pPr>
          </w:p>
        </w:tc>
        <w:tc>
          <w:tcPr>
            <w:tcW w:w="400" w:type="dxa"/>
            <w:vAlign w:val="bottom"/>
            <w:tcBorders>
              <w:top w:val="single" w:sz="8" w:color="auto"/>
              <w:bottom w:val="single" w:sz="8" w:color="D9D9D9"/>
            </w:tcBorders>
          </w:tcPr>
          <w:p>
            <w:pPr>
              <w:spacing w:after="0" w:line="20" w:lineRule="exact"/>
              <w:rPr>
                <w:sz w:val="1"/>
                <w:szCs w:val="1"/>
                <w:color w:val="auto"/>
              </w:rPr>
            </w:pPr>
          </w:p>
        </w:tc>
        <w:tc>
          <w:tcPr>
            <w:tcW w:w="200" w:type="dxa"/>
            <w:vAlign w:val="bottom"/>
            <w:tcBorders>
              <w:top w:val="single" w:sz="8" w:color="auto"/>
              <w:bottom w:val="single" w:sz="8" w:color="D9D9D9"/>
            </w:tcBorders>
          </w:tcPr>
          <w:p>
            <w:pPr>
              <w:spacing w:after="0" w:line="20" w:lineRule="exact"/>
              <w:rPr>
                <w:sz w:val="1"/>
                <w:szCs w:val="1"/>
                <w:color w:val="auto"/>
              </w:rPr>
            </w:pPr>
          </w:p>
        </w:tc>
        <w:tc>
          <w:tcPr>
            <w:tcW w:w="580" w:type="dxa"/>
            <w:vAlign w:val="bottom"/>
            <w:tcBorders>
              <w:bottom w:val="single" w:sz="8" w:color="D9D9D9"/>
              <w:right w:val="single" w:sz="8" w:color="D9D9D9"/>
            </w:tcBorders>
          </w:tcPr>
          <w:p>
            <w:pPr>
              <w:spacing w:after="0" w:line="20" w:lineRule="exact"/>
              <w:rPr>
                <w:sz w:val="1"/>
                <w:szCs w:val="1"/>
                <w:color w:val="auto"/>
              </w:rPr>
            </w:pPr>
          </w:p>
        </w:tc>
        <w:tc>
          <w:tcPr>
            <w:tcW w:w="760" w:type="dxa"/>
            <w:vAlign w:val="bottom"/>
            <w:tcBorders>
              <w:bottom w:val="single" w:sz="8" w:color="D9D9D9"/>
            </w:tcBorders>
          </w:tcPr>
          <w:p>
            <w:pPr>
              <w:spacing w:after="0" w:line="20" w:lineRule="exact"/>
              <w:rPr>
                <w:sz w:val="1"/>
                <w:szCs w:val="1"/>
                <w:color w:val="auto"/>
              </w:rPr>
            </w:pPr>
          </w:p>
        </w:tc>
        <w:tc>
          <w:tcPr>
            <w:tcW w:w="540" w:type="dxa"/>
            <w:vAlign w:val="bottom"/>
            <w:tcBorders>
              <w:top w:val="single" w:sz="8" w:color="auto"/>
              <w:bottom w:val="single" w:sz="8" w:color="D9D9D9"/>
            </w:tcBorders>
          </w:tcPr>
          <w:p>
            <w:pPr>
              <w:spacing w:after="0" w:line="20" w:lineRule="exact"/>
              <w:rPr>
                <w:sz w:val="1"/>
                <w:szCs w:val="1"/>
                <w:color w:val="auto"/>
              </w:rPr>
            </w:pPr>
          </w:p>
        </w:tc>
        <w:tc>
          <w:tcPr>
            <w:tcW w:w="540" w:type="dxa"/>
            <w:vAlign w:val="bottom"/>
            <w:tcBorders>
              <w:top w:val="single" w:sz="8" w:color="auto"/>
              <w:bottom w:val="single" w:sz="8" w:color="D9D9D9"/>
            </w:tcBorders>
          </w:tcPr>
          <w:p>
            <w:pPr>
              <w:spacing w:after="0" w:line="20" w:lineRule="exact"/>
              <w:rPr>
                <w:sz w:val="1"/>
                <w:szCs w:val="1"/>
                <w:color w:val="auto"/>
              </w:rPr>
            </w:pPr>
          </w:p>
        </w:tc>
        <w:tc>
          <w:tcPr>
            <w:tcW w:w="800" w:type="dxa"/>
            <w:vAlign w:val="bottom"/>
            <w:tcBorders>
              <w:bottom w:val="single" w:sz="8" w:color="D9D9D9"/>
              <w:right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6A6A6"/>
              <w:bottom w:val="single" w:sz="8" w:color="D9D9D9"/>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D9D9D9"/>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right w:val="single" w:sz="8" w:color="D9D9D9"/>
            </w:tcBorders>
          </w:tcPr>
          <w:p>
            <w:pPr>
              <w:spacing w:after="0"/>
              <w:rPr>
                <w:sz w:val="18"/>
                <w:szCs w:val="18"/>
                <w:color w:val="auto"/>
              </w:rPr>
            </w:pPr>
          </w:p>
        </w:tc>
        <w:tc>
          <w:tcPr>
            <w:tcW w:w="1300" w:type="dxa"/>
            <w:vAlign w:val="bottom"/>
            <w:tcBorders>
              <w:bottom w:val="single" w:sz="8" w:color="D9D9D9"/>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D9D9D9"/>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D9D9D9"/>
              <w:right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6A6A6"/>
              <w:bottom w:val="single" w:sz="8" w:color="A6A6A6"/>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6A6A6"/>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right w:val="single" w:sz="8" w:color="D9D9D9"/>
            </w:tcBorders>
          </w:tcPr>
          <w:p>
            <w:pPr>
              <w:spacing w:after="0"/>
              <w:rPr>
                <w:sz w:val="20"/>
                <w:szCs w:val="20"/>
                <w:color w:val="auto"/>
              </w:rPr>
            </w:pPr>
          </w:p>
        </w:tc>
        <w:tc>
          <w:tcPr>
            <w:tcW w:w="1300" w:type="dxa"/>
            <w:vAlign w:val="bottom"/>
            <w:tcBorders>
              <w:bottom w:val="single" w:sz="8" w:color="A6A6A6"/>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6A6A6"/>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6A6A6"/>
              <w:right w:val="single" w:sz="8" w:color="A6A6A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tabs>
          <w:tab w:leader="none" w:pos="740" w:val="left"/>
          <w:tab w:leader="none" w:pos="258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760" w:hanging="752"/>
        <w:spacing w:after="0" w:line="237" w:lineRule="auto"/>
        <w:tabs>
          <w:tab w:leader="none" w:pos="7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Terms of this Award Agreement: </w:t>
      </w:r>
      <w:r>
        <w:rPr>
          <w:rFonts w:ascii="Times New Roman" w:cs="Times New Roman" w:eastAsia="Times New Roman" w:hAnsi="Times New Roman"/>
          <w:sz w:val="18"/>
          <w:szCs w:val="18"/>
          <w:color w:val="auto"/>
        </w:rPr>
        <w:t>In the event of a conflict between the provisions of this Agreement and the Plan, except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7 below, the provisions of the Plan shall prevail. A copy of the Plan is provided herewith.</w:t>
      </w:r>
    </w:p>
    <w:p>
      <w:pPr>
        <w:spacing w:after="0" w:line="194" w:lineRule="exact"/>
        <w:rPr>
          <w:rFonts w:ascii="Times New Roman" w:cs="Times New Roman" w:eastAsia="Times New Roman" w:hAnsi="Times New Roman"/>
          <w:sz w:val="20"/>
          <w:szCs w:val="20"/>
          <w:b w:val="1"/>
          <w:bCs w:val="1"/>
          <w:color w:val="auto"/>
        </w:rPr>
      </w:pPr>
    </w:p>
    <w:p>
      <w:pPr>
        <w:ind w:left="760" w:hanging="752"/>
        <w:spacing w:after="0" w:line="260" w:lineRule="auto"/>
        <w:tabs>
          <w:tab w:leader="none" w:pos="7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Non-transferable: </w:t>
      </w:r>
      <w:r>
        <w:rPr>
          <w:rFonts w:ascii="Times New Roman" w:cs="Times New Roman" w:eastAsia="Times New Roman" w:hAnsi="Times New Roman"/>
          <w:sz w:val="18"/>
          <w:szCs w:val="18"/>
          <w:color w:val="auto"/>
        </w:rPr>
        <w:t>These Options shall not be transferable by the Optionee other than by will or the laws of descent and distribution,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shall be exercisable, during the Optionee’s lifetime, only by the Optionee.</w:t>
      </w:r>
    </w:p>
    <w:p>
      <w:pPr>
        <w:spacing w:after="0" w:line="178"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By signing this Agreement, you agree to all of the terms and conditions described herein and in the Plan.</w:t>
      </w:r>
    </w:p>
    <w:p>
      <w:pPr>
        <w:sectPr>
          <w:pgSz w:w="11900" w:h="16838" w:orient="portrait"/>
          <w:cols w:equalWidth="0" w:num="1">
            <w:col w:w="11240"/>
          </w:cols>
          <w:pgMar w:left="320" w:top="108" w:right="339" w:bottom="1440" w:gutter="0" w:footer="0" w:header="0"/>
        </w:sectPr>
      </w:pP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AMARIN CORPORATION plc</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200" w:lineRule="exact"/>
        <w:rPr>
          <w:sz w:val="20"/>
          <w:szCs w:val="20"/>
          <w:color w:val="auto"/>
        </w:rPr>
      </w:pPr>
    </w:p>
    <w:p>
      <w:pPr>
        <w:sectPr>
          <w:pgSz w:w="11900" w:h="16838" w:orient="portrait"/>
          <w:cols w:equalWidth="0" w:num="2">
            <w:col w:w="6720" w:space="720"/>
            <w:col w:w="3800"/>
          </w:cols>
          <w:pgMar w:left="320" w:top="108" w:right="339" w:bottom="1440" w:gutter="0" w:footer="0" w:header="0"/>
          <w:type w:val="continuous"/>
        </w:sectPr>
      </w:pP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300"/>
        <w:spacing w:after="0"/>
        <w:tabs>
          <w:tab w:leader="none" w:pos="780" w:val="left"/>
          <w:tab w:leader="none" w:pos="1500" w:val="left"/>
          <w:tab w:leader="none" w:pos="3260" w:val="left"/>
          <w:tab w:leader="none" w:pos="3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4480" w:space="720"/>
            <w:col w:w="6040"/>
          </w:cols>
          <w:pgMar w:left="320" w:top="10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4680" w:space="720"/>
            <w:col w:w="60" w:space="440"/>
            <w:col w:w="5340"/>
          </w:cols>
          <w:pgMar w:left="320" w:top="108"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AMARIN CORPORATION PLC 2020 STOCK INCENTIVE PLAN</w:t>
      </w:r>
    </w:p>
    <w:p>
      <w:pPr>
        <w:jc w:val="center"/>
        <w:spacing w:after="0"/>
        <w:rPr>
          <w:sz w:val="20"/>
          <w:szCs w:val="20"/>
          <w:color w:val="auto"/>
        </w:rPr>
      </w:pPr>
      <w:r>
        <w:rPr>
          <w:rFonts w:ascii="Times New Roman" w:cs="Times New Roman" w:eastAsia="Times New Roman" w:hAnsi="Times New Roman"/>
          <w:sz w:val="27"/>
          <w:szCs w:val="27"/>
          <w:b w:val="1"/>
          <w:bCs w:val="1"/>
          <w:color w:val="auto"/>
        </w:rPr>
        <w:t>RESTRICTED STOCK UNIT AWARD AGREEMENT</w:t>
      </w:r>
    </w:p>
    <w:p>
      <w:pPr>
        <w:spacing w:after="0" w:line="191" w:lineRule="exact"/>
        <w:rPr>
          <w:sz w:val="20"/>
          <w:szCs w:val="20"/>
          <w:color w:val="auto"/>
        </w:rPr>
      </w:pPr>
    </w:p>
    <w:p>
      <w:pPr>
        <w:spacing w:after="0"/>
        <w:tabs>
          <w:tab w:leader="none" w:pos="7000" w:val="left"/>
        </w:tabs>
        <w:rPr>
          <w:sz w:val="20"/>
          <w:szCs w:val="20"/>
          <w:color w:val="auto"/>
        </w:rPr>
      </w:pPr>
      <w:r>
        <w:rPr>
          <w:rFonts w:ascii="Times New Roman" w:cs="Times New Roman" w:eastAsia="Times New Roman" w:hAnsi="Times New Roman"/>
          <w:sz w:val="18"/>
          <w:szCs w:val="18"/>
          <w:color w:val="auto"/>
        </w:rPr>
        <w:t>This AWARD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w:t>
      </w:r>
      <w:r>
        <w:rPr>
          <w:sz w:val="20"/>
          <w:szCs w:val="20"/>
          <w:color w:val="auto"/>
        </w:rPr>
        <w:tab/>
      </w:r>
      <w:r>
        <w:rPr>
          <w:rFonts w:ascii="Times New Roman" w:cs="Times New Roman" w:eastAsia="Times New Roman" w:hAnsi="Times New Roman"/>
          <w:sz w:val="18"/>
          <w:szCs w:val="18"/>
          <w:color w:val="auto"/>
        </w:rPr>
        <w:t>], 20[ ], by and between Amarin Corporation plc (the</w:t>
      </w:r>
    </w:p>
    <w:p>
      <w:pPr>
        <w:spacing w:after="0" w:line="3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Capitalized terms used and not otherwise defined herein shall have the meanings ascribed to such terms in the</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Amarin Corporation plc 2020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 The Company hereby grants to the Participant an award (this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as set forth below. This Agreement shall be interpreted in such a manner that all provisions relating to the settlement of the Award are exempt from the requirements of Section 409A of the Code as “short-term deferrals” as described in Section 409A of the Code. Further, the Company may modify this Agreement and this Award to the extent necessary to fulfill this intent.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RSUs</w:t>
            </w: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05"/>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73"/>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Award Vests</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4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w w:val="99"/>
              </w:rPr>
              <w:t>The RSUs shall vest pursuant to the following table, subject to the Participant’s Continuous Status as an Employee or</w:t>
            </w:r>
          </w:p>
        </w:tc>
      </w:tr>
      <w:tr>
        <w:trPr>
          <w:trHeight w:val="234"/>
        </w:trPr>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Consultant through each such date:</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91"/>
        </w:trPr>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Number of RSUs</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Vesting Date</w:t>
            </w:r>
          </w:p>
        </w:tc>
        <w:tc>
          <w:tcPr>
            <w:tcW w:w="4000" w:type="dxa"/>
            <w:vAlign w:val="bottom"/>
          </w:tcPr>
          <w:p>
            <w:pPr>
              <w:spacing w:after="0"/>
              <w:rPr>
                <w:sz w:val="24"/>
                <w:szCs w:val="24"/>
                <w:color w:val="auto"/>
              </w:rPr>
            </w:pPr>
          </w:p>
        </w:tc>
      </w:tr>
      <w:tr>
        <w:trPr>
          <w:trHeight w:val="218"/>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0"/>
                <w:szCs w:val="20"/>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rPr>
                <w:sz w:val="20"/>
                <w:szCs w:val="20"/>
                <w:color w:val="auto"/>
              </w:rPr>
            </w:pPr>
          </w:p>
        </w:tc>
      </w:tr>
    </w:tbl>
    <w:p>
      <w:pPr>
        <w:spacing w:after="0" w:line="1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Upon vesting of each RSU, the Participant shall be entitled to a payment equal to the Fair Market Value of one Share. The payment shall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Participant in Shares, such that the requirements of Section 580 of the Companies Act 2006 are satisfied (being that no Shares are issued for a consideration of less than their nominal value).</w:t>
      </w:r>
    </w:p>
    <w:p>
      <w:pPr>
        <w:spacing w:after="0" w:line="12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Notwithstanding anything in Section 8 of the Plan to the contrary, in the event of termination of the Participant’s Continuous Status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Consultant, any RSUs that have not vested will lapse immediately.</w:t>
      </w:r>
    </w:p>
    <w:p>
      <w:pPr>
        <w:spacing w:after="0" w:line="12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Dilution Protection</w:t>
      </w:r>
      <w:r>
        <w:rPr>
          <w:rFonts w:ascii="Times New Roman" w:cs="Times New Roman" w:eastAsia="Times New Roman" w:hAnsi="Times New Roman"/>
          <w:sz w:val="18"/>
          <w:szCs w:val="18"/>
          <w:color w:val="auto"/>
        </w:rPr>
        <w:t>: The Plan contains detailed provisions for adjustments in the number and price of Shares for various corporate events, such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capitalization, or a corporate transaction.</w:t>
      </w:r>
    </w:p>
    <w:p>
      <w:pPr>
        <w:spacing w:after="0" w:line="11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has the right to reduce the amount of Shares to be delivered to the Participant upon vesting by the number of Shares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fair market value equal to the up to the maximum amount of withholding taxes that the Company is required to withhold.</w:t>
      </w:r>
    </w:p>
    <w:p>
      <w:pPr>
        <w:spacing w:after="0" w:line="11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The Award itself does not confer the rights of the underlying Shares which are the subject of the Award. Shareholder rights derive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from Share ownership.</w:t>
      </w:r>
    </w:p>
    <w:p>
      <w:pPr>
        <w:spacing w:after="0" w:line="1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This Agreement and the Plan constitute the entire agreement between you and the Company with regard to the Award described herein,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modified or amended except in a writing duly executed by the Participant and an executive officer of the Company.</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ACTIVE/104902505.2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ind w:left="1012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3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The Plan is not subject to the Employee Retirement Income Security Act of 1974, as amended, and is not qualified under Section 401(a)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The laws of the State of New York govern the terms and conditions of the RSUs, the Plan, and any construction or interpretation of the same.</w:t>
      </w:r>
    </w:p>
    <w:p>
      <w:pPr>
        <w:spacing w:after="0" w:line="13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Conflict</w:t>
      </w:r>
      <w:r>
        <w:rPr>
          <w:rFonts w:ascii="Times New Roman" w:cs="Times New Roman" w:eastAsia="Times New Roman" w:hAnsi="Times New Roman"/>
          <w:sz w:val="18"/>
          <w:szCs w:val="18"/>
          <w:color w:val="auto"/>
        </w:rPr>
        <w:t>: In the event of a conflict between the provisions of this Agreement and the Plan, the Plan shall control. A copy of the Plan is available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Secretary at the Company’s U.S. headquarters.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Committee will administer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Agreement as of the day and year first written above.</w:t>
      </w:r>
    </w:p>
    <w:p>
      <w:pPr>
        <w:sectPr>
          <w:pgSz w:w="11900" w:h="16838" w:orient="portrait"/>
          <w:cols w:equalWidth="0" w:num="1">
            <w:col w:w="11240"/>
          </w:cols>
          <w:pgMar w:left="320" w:top="108" w:right="33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AMARIN CORPORATION plc</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0" w:lineRule="exact"/>
        <w:rPr>
          <w:sz w:val="20"/>
          <w:szCs w:val="20"/>
          <w:color w:val="auto"/>
        </w:rPr>
      </w:pPr>
    </w:p>
    <w:p>
      <w:pPr>
        <w:sectPr>
          <w:pgSz w:w="11900" w:h="16838" w:orient="portrait"/>
          <w:cols w:equalWidth="0" w:num="2">
            <w:col w:w="2440" w:space="660"/>
            <w:col w:w="8140"/>
          </w:cols>
          <w:pgMar w:left="320" w:top="108" w:right="33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w:t>
      </w:r>
    </w:p>
    <w:p>
      <w:pPr>
        <w:spacing w:after="0" w:line="27" w:lineRule="exact"/>
        <w:rPr>
          <w:sz w:val="20"/>
          <w:szCs w:val="20"/>
          <w:color w:val="auto"/>
        </w:rPr>
      </w:pPr>
    </w:p>
    <w:p>
      <w:pPr>
        <w:spacing w:after="0"/>
        <w:tabs>
          <w:tab w:leader="none" w:pos="1020" w:val="left"/>
          <w:tab w:leader="none" w:pos="1740" w:val="left"/>
          <w:tab w:leader="none" w:pos="276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w:t>
      </w:r>
    </w:p>
    <w:p>
      <w:pPr>
        <w:spacing w:after="0" w:line="650" w:lineRule="exact"/>
        <w:rPr>
          <w:sz w:val="20"/>
          <w:szCs w:val="20"/>
          <w:color w:val="auto"/>
        </w:rPr>
      </w:pPr>
    </w:p>
    <w:p>
      <w:pPr>
        <w:sectPr>
          <w:pgSz w:w="11900" w:h="16838" w:orient="portrait"/>
          <w:cols w:equalWidth="0" w:num="2">
            <w:col w:w="3280" w:space="640"/>
            <w:col w:w="732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ACTIVE/104902505.2</w:t>
      </w:r>
    </w:p>
    <w:p>
      <w:pPr>
        <w:sectPr>
          <w:pgSz w:w="11900" w:h="16838" w:orient="portrait"/>
          <w:cols w:equalWidth="0" w:num="1">
            <w:col w:w="11240"/>
          </w:cols>
          <w:pgMar w:left="320" w:top="108" w:right="33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13970</wp:posOffset>
            </wp:positionV>
            <wp:extent cx="1843405"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AMARIN CORPORATION plc 2020 STOCK INCENTIVE PLAN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AWARD AGREEMENT</w:t>
      </w:r>
    </w:p>
    <w:p>
      <w:pPr>
        <w:spacing w:after="0" w:line="239" w:lineRule="exact"/>
        <w:rPr>
          <w:sz w:val="20"/>
          <w:szCs w:val="20"/>
          <w:color w:val="auto"/>
        </w:rPr>
      </w:pPr>
    </w:p>
    <w:p>
      <w:pPr>
        <w:jc w:val="both"/>
        <w:ind w:right="520"/>
        <w:spacing w:after="0" w:line="26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and made effective as of [ ], 20[ ] between Amarin Corporation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 (the</w:t>
      </w:r>
      <w:r>
        <w:rPr>
          <w:rFonts w:ascii="Times New Roman" w:cs="Times New Roman" w:eastAsia="Times New Roman" w:hAnsi="Times New Roman"/>
          <w:sz w:val="18"/>
          <w:szCs w:val="18"/>
          <w:b w:val="1"/>
          <w:bCs w:val="1"/>
          <w:color w:val="auto"/>
        </w:rPr>
        <w:t xml:space="preserve"> “Optionee”</w:t>
      </w:r>
      <w:r>
        <w:rPr>
          <w:rFonts w:ascii="Times New Roman" w:cs="Times New Roman" w:eastAsia="Times New Roman" w:hAnsi="Times New Roman"/>
          <w:sz w:val="18"/>
          <w:szCs w:val="18"/>
          <w:color w:val="auto"/>
        </w:rPr>
        <w:t>). The Company hereby grants to the Optionee Non-Qualified Stock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as set forth</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 xml:space="preserve">below. Capitalized terms used and not defined herein shall have the meanings set forth in the Amarin Corporation plc 2020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1.</w:t>
            </w:r>
          </w:p>
        </w:tc>
        <w:tc>
          <w:tcPr>
            <w:tcW w:w="3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Number of Non-Qualified Stock Options: </w:t>
            </w:r>
            <w:r>
              <w:rPr>
                <w:rFonts w:ascii="Times New Roman" w:cs="Times New Roman" w:eastAsia="Times New Roman" w:hAnsi="Times New Roman"/>
                <w:sz w:val="18"/>
                <w:szCs w:val="18"/>
                <w:color w:val="auto"/>
              </w:rPr>
              <w:t>[</w:t>
            </w:r>
          </w:p>
        </w:tc>
        <w:tc>
          <w:tcPr>
            <w:tcW w:w="22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2"/>
                <w:szCs w:val="22"/>
                <w:color w:val="auto"/>
              </w:rPr>
            </w:pPr>
          </w:p>
        </w:tc>
      </w:tr>
      <w:tr>
        <w:trPr>
          <w:trHeight w:val="340"/>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2.</w:t>
            </w:r>
          </w:p>
        </w:tc>
        <w:tc>
          <w:tcPr>
            <w:tcW w:w="60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Per Share Purchase Price: </w:t>
            </w:r>
            <w:r>
              <w:rPr>
                <w:rFonts w:ascii="Times New Roman" w:cs="Times New Roman" w:eastAsia="Times New Roman" w:hAnsi="Times New Roman"/>
                <w:sz w:val="18"/>
                <w:szCs w:val="18"/>
                <w:color w:val="auto"/>
              </w:rPr>
              <w:t>$[   ] (closing market price per NASDAQ on [</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20[ ] (provided that such Per Share Purchase Price shall not</w:t>
            </w:r>
          </w:p>
        </w:tc>
      </w:tr>
      <w:tr>
        <w:trPr>
          <w:trHeight w:val="234"/>
        </w:trPr>
        <w:tc>
          <w:tcPr>
            <w:tcW w:w="460" w:type="dxa"/>
            <w:vAlign w:val="bottom"/>
          </w:tcPr>
          <w:p>
            <w:pPr>
              <w:spacing w:after="0"/>
              <w:rPr>
                <w:sz w:val="20"/>
                <w:szCs w:val="20"/>
                <w:color w:val="auto"/>
              </w:rPr>
            </w:pPr>
          </w:p>
        </w:tc>
        <w:tc>
          <w:tcPr>
            <w:tcW w:w="6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be less than the par value of the Share at any time, currently £0.50))</w:t>
            </w:r>
          </w:p>
        </w:tc>
        <w:tc>
          <w:tcPr>
            <w:tcW w:w="4720" w:type="dxa"/>
            <w:vAlign w:val="bottom"/>
          </w:tcPr>
          <w:p>
            <w:pPr>
              <w:spacing w:after="0"/>
              <w:rPr>
                <w:sz w:val="20"/>
                <w:szCs w:val="20"/>
                <w:color w:val="auto"/>
              </w:rPr>
            </w:pPr>
          </w:p>
        </w:tc>
      </w:tr>
      <w:tr>
        <w:trPr>
          <w:trHeight w:val="451"/>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3.</w:t>
            </w:r>
          </w:p>
        </w:tc>
        <w:tc>
          <w:tcPr>
            <w:tcW w:w="1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w:t>
            </w:r>
          </w:p>
        </w:tc>
        <w:tc>
          <w:tcPr>
            <w:tcW w:w="22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pacing w:after="0" w:line="188" w:lineRule="exact"/>
        <w:rPr>
          <w:sz w:val="20"/>
          <w:szCs w:val="20"/>
          <w:color w:val="auto"/>
        </w:rPr>
      </w:pPr>
    </w:p>
    <w:p>
      <w:pPr>
        <w:ind w:left="760" w:right="60" w:hanging="752"/>
        <w:spacing w:after="0" w:line="253" w:lineRule="auto"/>
        <w:tabs>
          <w:tab w:leader="none" w:pos="76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Date Options Become Exercisable (Vesting): </w:t>
      </w:r>
      <w:r>
        <w:rPr>
          <w:rFonts w:ascii="Times New Roman" w:cs="Times New Roman" w:eastAsia="Times New Roman" w:hAnsi="Times New Roman"/>
          <w:sz w:val="18"/>
          <w:szCs w:val="18"/>
          <w:color w:val="auto"/>
        </w:rPr>
        <w:t>The Options shall vest in full upon the earlier of the one-year anniversary of the Grant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General Meeting of Shareholders in such anniversary year, subject to the Optionee’s continued service to the Company through such vesting date. Notwithstanding the above vesting schedule, the Options shall be fully vested in the event of a Change of Control (as defined in the Plan).</w:t>
      </w:r>
    </w:p>
    <w:p>
      <w:pPr>
        <w:spacing w:after="0" w:line="178" w:lineRule="exact"/>
        <w:rPr>
          <w:sz w:val="20"/>
          <w:szCs w:val="20"/>
          <w:color w:val="auto"/>
        </w:rPr>
      </w:pPr>
    </w:p>
    <w:p>
      <w:pPr>
        <w:spacing w:after="0"/>
        <w:tabs>
          <w:tab w:leader="none" w:pos="740" w:val="left"/>
          <w:tab w:leader="none" w:pos="258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760" w:hanging="752"/>
        <w:spacing w:after="0" w:line="237" w:lineRule="auto"/>
        <w:tabs>
          <w:tab w:leader="none" w:pos="7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Terms of this Award Agreement: </w:t>
      </w:r>
      <w:r>
        <w:rPr>
          <w:rFonts w:ascii="Times New Roman" w:cs="Times New Roman" w:eastAsia="Times New Roman" w:hAnsi="Times New Roman"/>
          <w:sz w:val="18"/>
          <w:szCs w:val="18"/>
          <w:color w:val="auto"/>
        </w:rPr>
        <w:t>In the event of a conflict between the provisions of this Agreement and the Plan, except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7 below, the provisions of the Plan shall prevail. A copy of the Plan is provided herewith.</w:t>
      </w:r>
    </w:p>
    <w:p>
      <w:pPr>
        <w:spacing w:after="0" w:line="194" w:lineRule="exact"/>
        <w:rPr>
          <w:rFonts w:ascii="Times New Roman" w:cs="Times New Roman" w:eastAsia="Times New Roman" w:hAnsi="Times New Roman"/>
          <w:sz w:val="20"/>
          <w:szCs w:val="20"/>
          <w:b w:val="1"/>
          <w:bCs w:val="1"/>
          <w:color w:val="auto"/>
        </w:rPr>
      </w:pPr>
    </w:p>
    <w:p>
      <w:pPr>
        <w:ind w:left="760" w:hanging="752"/>
        <w:spacing w:after="0" w:line="260" w:lineRule="auto"/>
        <w:tabs>
          <w:tab w:leader="none" w:pos="7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Non-transferable: </w:t>
      </w:r>
      <w:r>
        <w:rPr>
          <w:rFonts w:ascii="Times New Roman" w:cs="Times New Roman" w:eastAsia="Times New Roman" w:hAnsi="Times New Roman"/>
          <w:sz w:val="18"/>
          <w:szCs w:val="18"/>
          <w:color w:val="auto"/>
        </w:rPr>
        <w:t>These Options shall not be transferable by the Optionee other than by will or the laws of descent and distribution,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shall be exercisable, during the Optionee’s lifetime, only by the Optionee.</w:t>
      </w:r>
    </w:p>
    <w:p>
      <w:pPr>
        <w:spacing w:after="0" w:line="178"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By signing this Agreement, you agree to all of the terms and conditions described herein and in the Plan.</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AMARIN CORPORATION plc</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60" w:type="dxa"/>
            <w:vAlign w:val="bottom"/>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0" w:type="dxa"/>
            <w:vAlign w:val="bottom"/>
          </w:tcPr>
          <w:p>
            <w:pPr>
              <w:spacing w:after="0"/>
              <w:rPr>
                <w:sz w:val="1"/>
                <w:szCs w:val="1"/>
                <w:color w:val="auto"/>
              </w:rPr>
            </w:pPr>
          </w:p>
        </w:tc>
      </w:tr>
      <w:tr>
        <w:trPr>
          <w:trHeight w:val="522"/>
        </w:trPr>
        <w:tc>
          <w:tcPr>
            <w:tcW w:w="8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Pr>
          <w:p>
            <w:pPr>
              <w:spacing w:after="0"/>
              <w:rPr>
                <w:sz w:val="24"/>
                <w:szCs w:val="24"/>
                <w:color w:val="auto"/>
              </w:rPr>
            </w:pPr>
          </w:p>
        </w:tc>
        <w:tc>
          <w:tcPr>
            <w:tcW w:w="5460" w:type="dxa"/>
            <w:vAlign w:val="bottom"/>
            <w:gridSpan w:val="3"/>
          </w:tcPr>
          <w:p>
            <w:pPr>
              <w:jc w:val="right"/>
              <w:ind w:right="2570"/>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0" w:type="dxa"/>
            <w:vAlign w:val="bottom"/>
          </w:tcPr>
          <w:p>
            <w:pPr>
              <w:spacing w:after="0"/>
              <w:rPr>
                <w:sz w:val="20"/>
                <w:szCs w:val="20"/>
                <w:color w:val="auto"/>
              </w:rPr>
            </w:pPr>
          </w:p>
        </w:tc>
        <w:tc>
          <w:tcPr>
            <w:tcW w:w="13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Signature:</w:t>
            </w:r>
          </w:p>
        </w:tc>
        <w:tc>
          <w:tcPr>
            <w:tcW w:w="41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76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13970</wp:posOffset>
            </wp:positionV>
            <wp:extent cx="1843405" cy="377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 2020 STOCK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RESTRICTED STOCK UNIT AWARD AGREEMENT</w:t>
      </w:r>
    </w:p>
    <w:p>
      <w:pPr>
        <w:spacing w:after="0" w:line="311" w:lineRule="exact"/>
        <w:rPr>
          <w:sz w:val="20"/>
          <w:szCs w:val="20"/>
          <w:color w:val="auto"/>
        </w:rPr>
      </w:pPr>
    </w:p>
    <w:p>
      <w:pPr>
        <w:ind w:right="60" w:firstLine="775"/>
        <w:spacing w:after="0" w:line="263" w:lineRule="auto"/>
        <w:rPr>
          <w:sz w:val="20"/>
          <w:szCs w:val="20"/>
          <w:color w:val="auto"/>
        </w:rPr>
      </w:pPr>
      <w:r>
        <w:rPr>
          <w:rFonts w:ascii="Times New Roman" w:cs="Times New Roman" w:eastAsia="Times New Roman" w:hAnsi="Times New Roman"/>
          <w:sz w:val="18"/>
          <w:szCs w:val="18"/>
          <w:color w:val="auto"/>
        </w:rPr>
        <w:t>This AWARD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 ], 20[ ] by and between Amarin Corporation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The Company hereby grants to the Participant an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deferred restricted stock</w:t>
      </w:r>
    </w:p>
    <w:p>
      <w:pPr>
        <w:spacing w:after="0" w:line="1"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units (the “</w:t>
      </w:r>
      <w:r>
        <w:rPr>
          <w:rFonts w:ascii="Times New Roman" w:cs="Times New Roman" w:eastAsia="Times New Roman" w:hAnsi="Times New Roman"/>
          <w:sz w:val="18"/>
          <w:szCs w:val="18"/>
          <w:b w:val="1"/>
          <w:bCs w:val="1"/>
          <w:color w:val="auto"/>
        </w:rPr>
        <w:t>DSUs</w:t>
      </w:r>
      <w:r>
        <w:rPr>
          <w:rFonts w:ascii="Times New Roman" w:cs="Times New Roman" w:eastAsia="Times New Roman" w:hAnsi="Times New Roman"/>
          <w:sz w:val="18"/>
          <w:szCs w:val="18"/>
          <w:color w:val="auto"/>
        </w:rPr>
        <w:t>”) as set forth below. Capitalized terms used and not otherwise defined herein shall have the meanings ascribed to such terms in the Amarin Corporation plc 2020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1.</w:t>
            </w: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Maximum Number of DSUs: </w:t>
            </w: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w w:val="93"/>
              </w:rPr>
              <w:t>2.</w:t>
            </w:r>
          </w:p>
        </w:tc>
        <w:tc>
          <w:tcPr>
            <w:tcW w:w="1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w:t>
            </w:r>
          </w:p>
        </w:tc>
        <w:tc>
          <w:tcPr>
            <w:tcW w:w="12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r>
    </w:tbl>
    <w:p>
      <w:pPr>
        <w:spacing w:after="0" w:line="188" w:lineRule="exact"/>
        <w:rPr>
          <w:sz w:val="20"/>
          <w:szCs w:val="20"/>
          <w:color w:val="auto"/>
        </w:rPr>
      </w:pPr>
    </w:p>
    <w:p>
      <w:pPr>
        <w:ind w:left="780" w:right="180" w:hanging="772"/>
        <w:spacing w:after="0" w:line="260" w:lineRule="auto"/>
        <w:tabs>
          <w:tab w:leader="none" w:pos="7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DSUs shall vest pursuant to the following table, subject to the Participant’s continued service to the Company through each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DSUs</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Vesting Date</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12"/>
        </w:trPr>
        <w:tc>
          <w:tcPr>
            <w:tcW w:w="6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Earlier of [</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 the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Annual General Meeting of Shareholders</w:t>
            </w:r>
          </w:p>
        </w:tc>
      </w:tr>
      <w:tr>
        <w:trPr>
          <w:trHeight w:val="392"/>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Earlier of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 the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Annual General Meeting of Shareholders</w:t>
            </w:r>
          </w:p>
        </w:tc>
      </w:tr>
      <w:tr>
        <w:trPr>
          <w:trHeight w:val="392"/>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Earlier of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 the [</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Annual General Meeting of Shareholders</w:t>
            </w:r>
          </w:p>
        </w:tc>
      </w:tr>
    </w:tbl>
    <w:p>
      <w:pPr>
        <w:spacing w:after="0" w:line="1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Notwithstanding the above vesting schedule, the DSUs shall be fully vested in the event of a Change of Control (as defined in the Plan).</w:t>
      </w:r>
    </w:p>
    <w:p>
      <w:pPr>
        <w:spacing w:after="0" w:line="27" w:lineRule="exact"/>
        <w:rPr>
          <w:sz w:val="20"/>
          <w:szCs w:val="20"/>
          <w:color w:val="auto"/>
        </w:rPr>
      </w:pPr>
    </w:p>
    <w:p>
      <w:pPr>
        <w:ind w:left="780"/>
        <w:spacing w:after="0" w:line="254" w:lineRule="auto"/>
        <w:rPr>
          <w:sz w:val="20"/>
          <w:szCs w:val="20"/>
          <w:color w:val="auto"/>
        </w:rPr>
      </w:pPr>
      <w:r>
        <w:rPr>
          <w:rFonts w:ascii="Times New Roman" w:cs="Times New Roman" w:eastAsia="Times New Roman" w:hAnsi="Times New Roman"/>
          <w:sz w:val="18"/>
          <w:szCs w:val="18"/>
          <w:color w:val="auto"/>
        </w:rPr>
        <w:t>Upon vesting of each DSU, the Participant shall be entitled to a payment equal to the Fair Market Value of one Share. The payment shall be paid to the Participant in Shares, or at the sole discretion of the Committee in cash or any combination of cash or Shares, such that the requirements of Section 580 of the Companies Act 2006 are satisfied (being that no Shares are issued for a consideration of less than their nominal value). Any such Shares may be subject to restrictions concerning their transferability and/or forfeiture as the Committee may determine. Settlement of vested DSUs pursuant to this Section 3 shall be made upon the earlier of thirty (30) days after the Participant’s Separation from Service (within the meaning of U.S. Treasury Regulation Section 1.409A-1(h)) or upon a Change of Control that qualifies as a “change in control event” within the meaning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This Agreement is intended to be a compliant deferred compensation plan under Section 409A and shall be administered in accordance with the requirements of Section 409A. If the Participant is a “specified employee” (as defined in Section 409A of the Code) at the time of his or her separation from service and the DSUs are settled on account of such separation from service, then the settlement shall be delayed for six months or until the Participant’s death, if earlier, to the extent required to avoid adverse taxation under Section 409A of the Code.</w:t>
      </w:r>
    </w:p>
    <w:p>
      <w:pPr>
        <w:spacing w:after="0" w:line="187" w:lineRule="exact"/>
        <w:rPr>
          <w:sz w:val="20"/>
          <w:szCs w:val="20"/>
          <w:color w:val="auto"/>
        </w:rPr>
      </w:pPr>
    </w:p>
    <w:p>
      <w:pPr>
        <w:ind w:left="780" w:right="220" w:hanging="772"/>
        <w:spacing w:after="0" w:line="254" w:lineRule="auto"/>
        <w:tabs>
          <w:tab w:leader="none" w:pos="78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Notwithstanding anything in Section 8 of the Plan to the contrary, in the event of termination of the Participant's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the Company, any DSUs that have not vested will lapse immediately. Vested DSUs shall be settled at such time and in such form as provided in Section 3 above.</w:t>
      </w:r>
    </w:p>
    <w:p>
      <w:pPr>
        <w:spacing w:after="0" w:line="182" w:lineRule="exact"/>
        <w:rPr>
          <w:rFonts w:ascii="Times New Roman" w:cs="Times New Roman" w:eastAsia="Times New Roman" w:hAnsi="Times New Roman"/>
          <w:sz w:val="20"/>
          <w:szCs w:val="20"/>
          <w:b w:val="1"/>
          <w:bCs w:val="1"/>
          <w:color w:val="auto"/>
        </w:rPr>
      </w:pPr>
    </w:p>
    <w:p>
      <w:pPr>
        <w:ind w:left="780" w:hanging="772"/>
        <w:spacing w:after="0" w:line="260" w:lineRule="auto"/>
        <w:tabs>
          <w:tab w:leader="none" w:pos="78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Dilution Protection: </w:t>
      </w:r>
      <w:r>
        <w:rPr>
          <w:rFonts w:ascii="Times New Roman" w:cs="Times New Roman" w:eastAsia="Times New Roman" w:hAnsi="Times New Roman"/>
          <w:sz w:val="18"/>
          <w:szCs w:val="18"/>
          <w:color w:val="auto"/>
        </w:rPr>
        <w:t>The Plan contains detailed provisions for adjustments in the number and price of Shares for various corporate events,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change in capitalization, or a corporate transaction.</w:t>
      </w:r>
    </w:p>
    <w:p>
      <w:pPr>
        <w:spacing w:after="0" w:line="174" w:lineRule="exact"/>
        <w:rPr>
          <w:rFonts w:ascii="Times New Roman" w:cs="Times New Roman" w:eastAsia="Times New Roman" w:hAnsi="Times New Roman"/>
          <w:sz w:val="20"/>
          <w:szCs w:val="20"/>
          <w:b w:val="1"/>
          <w:bCs w:val="1"/>
          <w:color w:val="auto"/>
        </w:rPr>
      </w:pPr>
    </w:p>
    <w:p>
      <w:pPr>
        <w:ind w:left="780" w:hanging="772"/>
        <w:spacing w:after="0" w:line="260" w:lineRule="auto"/>
        <w:tabs>
          <w:tab w:leader="none" w:pos="78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The Award itself does not confer the rights of the underlying Shares, which are the subject of the Award.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derive only from Share ownership, which occurs upon settlement pursuant to Section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13970</wp:posOffset>
            </wp:positionV>
            <wp:extent cx="1843405"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left="780" w:hanging="772"/>
        <w:spacing w:after="0" w:line="254" w:lineRule="auto"/>
        <w:tabs>
          <w:tab w:leader="none" w:pos="78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Contract: </w:t>
      </w:r>
      <w:r>
        <w:rPr>
          <w:rFonts w:ascii="Times New Roman" w:cs="Times New Roman" w:eastAsia="Times New Roman" w:hAnsi="Times New Roman"/>
          <w:sz w:val="18"/>
          <w:szCs w:val="18"/>
          <w:color w:val="auto"/>
        </w:rPr>
        <w:t>This Agreement and the Plan constitute the entire agreement between the Participant and the Company with regard to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herein, and may not be modified or amended except in a writing duly executed by the Participant and an executive officer of the Company.</w:t>
      </w:r>
    </w:p>
    <w:p>
      <w:pPr>
        <w:spacing w:after="0" w:line="182" w:lineRule="exact"/>
        <w:rPr>
          <w:rFonts w:ascii="Times New Roman" w:cs="Times New Roman" w:eastAsia="Times New Roman" w:hAnsi="Times New Roman"/>
          <w:sz w:val="20"/>
          <w:szCs w:val="20"/>
          <w:b w:val="1"/>
          <w:bCs w:val="1"/>
          <w:color w:val="auto"/>
        </w:rPr>
      </w:pPr>
    </w:p>
    <w:p>
      <w:pPr>
        <w:jc w:val="both"/>
        <w:ind w:left="780" w:hanging="772"/>
        <w:spacing w:after="0" w:line="254" w:lineRule="auto"/>
        <w:tabs>
          <w:tab w:leader="none" w:pos="78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The Plan is not subject to the Employee Retirement Income Security Act of 1974, as amended, and is not qualified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401(a) of the Code. The laws of the State of New York govern the terms and conditions of the DSUs, the Plan, and any construction or interpretation of the same.</w:t>
      </w:r>
    </w:p>
    <w:p>
      <w:pPr>
        <w:spacing w:after="0" w:line="182" w:lineRule="exact"/>
        <w:rPr>
          <w:rFonts w:ascii="Times New Roman" w:cs="Times New Roman" w:eastAsia="Times New Roman" w:hAnsi="Times New Roman"/>
          <w:sz w:val="20"/>
          <w:szCs w:val="20"/>
          <w:b w:val="1"/>
          <w:bCs w:val="1"/>
          <w:color w:val="auto"/>
        </w:rPr>
      </w:pPr>
    </w:p>
    <w:p>
      <w:pPr>
        <w:ind w:left="780" w:hanging="772"/>
        <w:spacing w:after="0" w:line="260" w:lineRule="auto"/>
        <w:tabs>
          <w:tab w:leader="none" w:pos="78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Conflict: </w:t>
      </w:r>
      <w:r>
        <w:rPr>
          <w:rFonts w:ascii="Times New Roman" w:cs="Times New Roman" w:eastAsia="Times New Roman" w:hAnsi="Times New Roman"/>
          <w:sz w:val="18"/>
          <w:szCs w:val="18"/>
          <w:color w:val="auto"/>
        </w:rPr>
        <w:t>In the event of a conflict between the provisions of this Agreement and the Plan, the Plan shall control. A copy of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from the Company Secretary at the Company’s U.S. headquarters.</w:t>
      </w:r>
    </w:p>
    <w:p>
      <w:pPr>
        <w:spacing w:after="0" w:line="174" w:lineRule="exact"/>
        <w:rPr>
          <w:rFonts w:ascii="Times New Roman" w:cs="Times New Roman" w:eastAsia="Times New Roman" w:hAnsi="Times New Roman"/>
          <w:sz w:val="20"/>
          <w:szCs w:val="20"/>
          <w:b w:val="1"/>
          <w:bCs w:val="1"/>
          <w:color w:val="auto"/>
        </w:rPr>
      </w:pPr>
    </w:p>
    <w:p>
      <w:pPr>
        <w:ind w:left="780" w:hanging="772"/>
        <w:spacing w:after="0"/>
        <w:tabs>
          <w:tab w:leader="none" w:pos="78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Committee will administer the Plan.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Agreement as of the day and year first written above.</w:t>
      </w:r>
    </w:p>
    <w:p>
      <w:pPr>
        <w:sectPr>
          <w:pgSz w:w="11900" w:h="16838" w:orient="portrait"/>
          <w:cols w:equalWidth="0" w:num="1">
            <w:col w:w="11240"/>
          </w:cols>
          <w:pgMar w:left="320" w:top="108" w:right="339" w:bottom="1440" w:gutter="0" w:footer="0" w:header="0"/>
        </w:sectPr>
      </w:pPr>
    </w:p>
    <w:p>
      <w:pPr>
        <w:spacing w:after="0" w:line="3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AMARIN CORPORATION plc</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0" w:lineRule="exact"/>
        <w:rPr>
          <w:sz w:val="20"/>
          <w:szCs w:val="20"/>
          <w:color w:val="auto"/>
        </w:rPr>
      </w:pPr>
    </w:p>
    <w:p>
      <w:pPr>
        <w:sectPr>
          <w:pgSz w:w="11900" w:h="16838" w:orient="portrait"/>
          <w:cols w:equalWidth="0" w:num="2">
            <w:col w:w="6760" w:space="720"/>
            <w:col w:w="3760"/>
          </w:cols>
          <w:pgMar w:left="320" w:top="108" w:right="339" w:bottom="1440" w:gutter="0" w:footer="0" w:header="0"/>
          <w:type w:val="continuous"/>
        </w:sectPr>
      </w:pPr>
    </w:p>
    <w:p>
      <w:pPr>
        <w:spacing w:after="0" w:line="1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320"/>
        <w:spacing w:after="0"/>
        <w:tabs>
          <w:tab w:leader="none" w:pos="800" w:val="left"/>
          <w:tab w:leader="none" w:pos="1520" w:val="left"/>
          <w:tab w:leader="none" w:pos="2640" w:val="left"/>
          <w:tab w:leader="none" w:pos="3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4480" w:space="720"/>
            <w:col w:w="6040"/>
          </w:cols>
          <w:pgMar w:left="320" w:top="108"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4700" w:space="720"/>
            <w:col w:w="60" w:space="460"/>
            <w:col w:w="5300"/>
          </w:cols>
          <w:pgMar w:left="320" w:top="108" w:right="33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90805</wp:posOffset>
            </wp:positionV>
            <wp:extent cx="1285875"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23"/>
          <w:szCs w:val="23"/>
          <w:color w:val="000066"/>
        </w:rPr>
        <w:t>Renewal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105410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200025</wp:posOffset>
            </wp:positionV>
            <wp:extent cx="6926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926580" cy="163195"/>
                    </a:xfrm>
                    <a:prstGeom prst="rect">
                      <a:avLst/>
                    </a:prstGeom>
                    <a:noFill/>
                  </pic:spPr>
                </pic:pic>
              </a:graphicData>
            </a:graphic>
          </wp:anchor>
        </w:drawing>
      </w:r>
    </w:p>
    <w:p>
      <w:pPr>
        <w:spacing w:after="0" w:line="320" w:lineRule="exact"/>
        <w:rPr>
          <w:sz w:val="20"/>
          <w:szCs w:val="20"/>
          <w:color w:val="auto"/>
        </w:rPr>
      </w:pPr>
    </w:p>
    <w:p>
      <w:pPr>
        <w:ind w:left="100"/>
        <w:spacing w:after="0"/>
        <w:tabs>
          <w:tab w:leader="none" w:pos="3460" w:val="left"/>
        </w:tabs>
        <w:rPr>
          <w:sz w:val="20"/>
          <w:szCs w:val="20"/>
          <w:color w:val="auto"/>
        </w:rPr>
      </w:pPr>
      <w:r>
        <w:rPr>
          <w:rFonts w:ascii="Arial" w:cs="Arial" w:eastAsia="Arial" w:hAnsi="Arial"/>
          <w:sz w:val="14"/>
          <w:szCs w:val="14"/>
          <w:b w:val="1"/>
          <w:bCs w:val="1"/>
          <w:color w:val="000066"/>
        </w:rPr>
        <w:t xml:space="preserve">Agreement Date : </w:t>
      </w:r>
      <w:r>
        <w:rPr>
          <w:rFonts w:ascii="Arial" w:cs="Arial" w:eastAsia="Arial" w:hAnsi="Arial"/>
          <w:sz w:val="14"/>
          <w:szCs w:val="14"/>
          <w:b w:val="1"/>
          <w:bCs w:val="1"/>
          <w:color w:val="000000"/>
        </w:rPr>
        <w:t>26 June 2020</w:t>
      </w:r>
      <w:r>
        <w:rPr>
          <w:sz w:val="20"/>
          <w:szCs w:val="20"/>
          <w:color w:val="auto"/>
        </w:rPr>
        <w:tab/>
      </w:r>
      <w:r>
        <w:rPr>
          <w:rFonts w:ascii="Arial" w:cs="Arial" w:eastAsia="Arial" w:hAnsi="Arial"/>
          <w:sz w:val="14"/>
          <w:szCs w:val="14"/>
          <w:b w:val="1"/>
          <w:bCs w:val="1"/>
          <w:color w:val="000066"/>
        </w:rPr>
        <w:t xml:space="preserve">Confirmation No : </w:t>
      </w:r>
      <w:r>
        <w:rPr>
          <w:rFonts w:ascii="Arial" w:cs="Arial" w:eastAsia="Arial" w:hAnsi="Arial"/>
          <w:sz w:val="14"/>
          <w:szCs w:val="14"/>
          <w:b w:val="1"/>
          <w:bCs w:val="1"/>
          <w:color w:val="000000"/>
        </w:rPr>
        <w:t>R-911513</w:t>
      </w:r>
    </w:p>
    <w:p>
      <w:pPr>
        <w:sectPr>
          <w:pgSz w:w="11900" w:h="16838" w:orient="portrait"/>
          <w:cols w:equalWidth="0" w:num="1">
            <w:col w:w="10900"/>
          </w:cols>
          <w:pgMar w:left="660" w:top="108" w:right="339" w:bottom="1440" w:gutter="0" w:footer="0" w:header="0"/>
        </w:sectPr>
      </w:pPr>
    </w:p>
    <w:p>
      <w:pPr>
        <w:spacing w:after="0" w:line="1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0066"/>
        </w:rPr>
        <w:t>Business Centre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-100330</wp:posOffset>
            </wp:positionV>
            <wp:extent cx="320611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2061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0066"/>
        </w:rPr>
        <w:t>Client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-100330</wp:posOffset>
            </wp:positionV>
            <wp:extent cx="347154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471545" cy="12001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4820" w:space="720"/>
            <w:col w:w="5360"/>
          </w:cols>
          <w:pgMar w:left="660" w:top="108" w:right="339" w:bottom="1440" w:gutter="0" w:footer="0" w:header="0"/>
          <w:type w:val="continuous"/>
        </w:sectPr>
      </w:pPr>
    </w:p>
    <w:p>
      <w:pPr>
        <w:ind w:left="80"/>
        <w:spacing w:after="0"/>
        <w:rPr>
          <w:sz w:val="20"/>
          <w:szCs w:val="20"/>
          <w:color w:val="auto"/>
        </w:rPr>
      </w:pPr>
      <w:r>
        <w:rPr>
          <w:rFonts w:ascii="Arial" w:cs="Arial" w:eastAsia="Arial" w:hAnsi="Arial"/>
          <w:sz w:val="10"/>
          <w:szCs w:val="10"/>
          <w:b w:val="1"/>
          <w:bCs w:val="1"/>
          <w:color w:val="auto"/>
        </w:rPr>
        <w:t>DUBLIN, Spaces South Docklands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000066"/>
        </w:rPr>
        <w:t>Company Name</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color w:val="000066"/>
        </w:rPr>
        <w:t>Phone</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000066"/>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187960</wp:posOffset>
            </wp:positionV>
            <wp:extent cx="6917690"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91769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Amarin Pharmaceuticals Ireland Ltd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+353 87 833 5658</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tom.maher@amarincorp.com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-77470</wp:posOffset>
            </wp:positionV>
            <wp:extent cx="2280285"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280285" cy="93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820" w:space="720"/>
            <w:col w:w="1120" w:space="720"/>
            <w:col w:w="3520"/>
          </w:cols>
          <w:pgMar w:left="660" w:top="108" w:right="339" w:bottom="1440" w:gutter="0" w:footer="0" w:header="0"/>
          <w:type w:val="continuous"/>
        </w:sectPr>
      </w:pPr>
    </w:p>
    <w:p>
      <w:pPr>
        <w:spacing w:after="0" w:line="11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000066"/>
        </w:rPr>
        <w:t>Office Payment Details (exc. VAT and exc. services)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9"/>
              </w:rPr>
              <w:t>Office Number</w:t>
            </w:r>
          </w:p>
        </w:tc>
        <w:tc>
          <w:tcPr>
            <w:tcW w:w="156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7"/>
              </w:rPr>
              <w:t>Number of people</w:t>
            </w:r>
          </w:p>
        </w:tc>
        <w:tc>
          <w:tcPr>
            <w:tcW w:w="182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6"/>
              </w:rPr>
              <w:t>Price per Office</w:t>
            </w:r>
          </w:p>
        </w:tc>
        <w:tc>
          <w:tcPr>
            <w:tcW w:w="6380" w:type="dxa"/>
            <w:vAlign w:val="bottom"/>
            <w:tcBorders>
              <w:top w:val="single" w:sz="8" w:color="808080"/>
            </w:tcBorders>
          </w:tcPr>
          <w:p>
            <w:pPr>
              <w:spacing w:after="0"/>
              <w:rPr>
                <w:sz w:val="19"/>
                <w:szCs w:val="19"/>
                <w:color w:val="auto"/>
              </w:rPr>
            </w:pPr>
          </w:p>
        </w:tc>
      </w:tr>
      <w:tr>
        <w:trPr>
          <w:trHeight w:val="149"/>
        </w:trPr>
        <w:tc>
          <w:tcPr>
            <w:tcW w:w="1120" w:type="dxa"/>
            <w:vAlign w:val="bottom"/>
            <w:tcBorders>
              <w:top w:val="single" w:sz="8" w:color="808080"/>
              <w:bottom w:val="single" w:sz="8" w:color="808080"/>
              <w:right w:val="single" w:sz="8" w:color="808080"/>
            </w:tcBorders>
          </w:tcPr>
          <w:p>
            <w:pPr>
              <w:jc w:val="right"/>
              <w:ind w:right="424"/>
              <w:spacing w:after="0"/>
              <w:rPr>
                <w:sz w:val="20"/>
                <w:szCs w:val="20"/>
                <w:color w:val="auto"/>
              </w:rPr>
            </w:pPr>
            <w:r>
              <w:rPr>
                <w:rFonts w:ascii="Arial" w:cs="Arial" w:eastAsia="Arial" w:hAnsi="Arial"/>
                <w:sz w:val="11"/>
                <w:szCs w:val="11"/>
                <w:color w:val="auto"/>
              </w:rPr>
              <w:t>114</w:t>
            </w:r>
          </w:p>
        </w:tc>
        <w:tc>
          <w:tcPr>
            <w:tcW w:w="1560" w:type="dxa"/>
            <w:vAlign w:val="bottom"/>
            <w:tcBorders>
              <w:top w:val="single" w:sz="8" w:color="808080"/>
              <w:bottom w:val="single" w:sz="8" w:color="808080"/>
              <w:right w:val="single" w:sz="8" w:color="808080"/>
            </w:tcBorders>
          </w:tcPr>
          <w:p>
            <w:pPr>
              <w:jc w:val="right"/>
              <w:ind w:right="704"/>
              <w:spacing w:after="0"/>
              <w:rPr>
                <w:sz w:val="20"/>
                <w:szCs w:val="20"/>
                <w:color w:val="auto"/>
              </w:rPr>
            </w:pPr>
            <w:r>
              <w:rPr>
                <w:rFonts w:ascii="Arial" w:cs="Arial" w:eastAsia="Arial" w:hAnsi="Arial"/>
                <w:sz w:val="11"/>
                <w:szCs w:val="11"/>
                <w:color w:val="auto"/>
              </w:rPr>
              <w:t>4</w:t>
            </w:r>
          </w:p>
        </w:tc>
        <w:tc>
          <w:tcPr>
            <w:tcW w:w="1820" w:type="dxa"/>
            <w:vAlign w:val="bottom"/>
            <w:tcBorders>
              <w:top w:val="single" w:sz="8" w:color="808080"/>
              <w:bottom w:val="single" w:sz="8" w:color="808080"/>
              <w:right w:val="single" w:sz="8" w:color="808080"/>
            </w:tcBorders>
          </w:tcPr>
          <w:p>
            <w:pPr>
              <w:jc w:val="center"/>
              <w:spacing w:after="0"/>
              <w:rPr>
                <w:sz w:val="20"/>
                <w:szCs w:val="20"/>
                <w:color w:val="auto"/>
              </w:rPr>
            </w:pPr>
            <w:r>
              <w:rPr>
                <w:rFonts w:ascii="Arial" w:cs="Arial" w:eastAsia="Arial" w:hAnsi="Arial"/>
                <w:sz w:val="11"/>
                <w:szCs w:val="11"/>
                <w:color w:val="auto"/>
                <w:w w:val="96"/>
              </w:rPr>
              <w:t>€ 2,115.60</w:t>
            </w:r>
          </w:p>
        </w:tc>
        <w:tc>
          <w:tcPr>
            <w:tcW w:w="63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154305</wp:posOffset>
            </wp:positionV>
            <wp:extent cx="685800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858000" cy="145415"/>
                    </a:xfrm>
                    <a:prstGeom prst="rect">
                      <a:avLst/>
                    </a:prstGeom>
                    <a:noFill/>
                  </pic:spPr>
                </pic:pic>
              </a:graphicData>
            </a:graphic>
          </wp:anchor>
        </w:drawing>
      </w:r>
    </w:p>
    <w:p>
      <w:pPr>
        <w:sectPr>
          <w:pgSz w:w="11900" w:h="16838" w:orient="portrait"/>
          <w:cols w:equalWidth="0" w:num="1">
            <w:col w:w="10900"/>
          </w:cols>
          <w:pgMar w:left="660" w:top="108" w:right="339" w:bottom="1440" w:gutter="0" w:footer="0" w:header="0"/>
          <w:type w:val="continuous"/>
        </w:sect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Service Provision :</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Start Date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580"/>
        <w:spacing w:after="0"/>
        <w:rPr>
          <w:sz w:val="20"/>
          <w:szCs w:val="20"/>
          <w:color w:val="auto"/>
        </w:rPr>
      </w:pPr>
      <w:r>
        <w:rPr>
          <w:rFonts w:ascii="Arial" w:cs="Arial" w:eastAsia="Arial" w:hAnsi="Arial"/>
          <w:sz w:val="12"/>
          <w:szCs w:val="12"/>
          <w:color w:val="auto"/>
        </w:rPr>
        <w:t>1 October 2020</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 Date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30 April 2021</w:t>
      </w:r>
    </w:p>
    <w:p>
      <w:pPr>
        <w:spacing w:after="0" w:line="200" w:lineRule="exact"/>
        <w:rPr>
          <w:sz w:val="20"/>
          <w:szCs w:val="20"/>
          <w:color w:val="auto"/>
        </w:rPr>
      </w:pPr>
    </w:p>
    <w:p>
      <w:pPr>
        <w:sectPr>
          <w:pgSz w:w="11900" w:h="16838" w:orient="portrait"/>
          <w:cols w:equalWidth="0" w:num="5">
            <w:col w:w="2000" w:space="720"/>
            <w:col w:w="1280" w:space="720"/>
            <w:col w:w="1440" w:space="720"/>
            <w:col w:w="620" w:space="720"/>
            <w:col w:w="2680"/>
          </w:cols>
          <w:pgMar w:left="660" w:top="108" w:right="339" w:bottom="1440" w:gutter="0" w:footer="0" w:header="0"/>
          <w:type w:val="continuous"/>
        </w:sectPr>
      </w:pPr>
    </w:p>
    <w:p>
      <w:pPr>
        <w:spacing w:after="0" w:line="72" w:lineRule="exact"/>
        <w:rPr>
          <w:sz w:val="20"/>
          <w:szCs w:val="20"/>
          <w:color w:val="auto"/>
        </w:rPr>
      </w:pPr>
    </w:p>
    <w:p>
      <w:pPr>
        <w:ind w:left="160"/>
        <w:spacing w:after="0"/>
        <w:rPr>
          <w:sz w:val="20"/>
          <w:szCs w:val="20"/>
          <w:color w:val="auto"/>
        </w:rPr>
      </w:pPr>
      <w:r>
        <w:rPr>
          <w:rFonts w:ascii="Arial" w:cs="Arial" w:eastAsia="Arial" w:hAnsi="Arial"/>
          <w:sz w:val="11"/>
          <w:szCs w:val="11"/>
          <w:color w:val="auto"/>
        </w:rPr>
        <w:t>All agreements end on the last calendar day of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213360</wp:posOffset>
            </wp:positionV>
            <wp:extent cx="686625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66255" cy="154305"/>
                    </a:xfrm>
                    <a:prstGeom prst="rect">
                      <a:avLst/>
                    </a:prstGeom>
                    <a:noFill/>
                  </pic:spPr>
                </pic:pic>
              </a:graphicData>
            </a:graphic>
          </wp:anchor>
        </w:drawing>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00066"/>
        </w:rPr>
        <w:t>Terms and Conditions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0"/>
          <w:szCs w:val="10"/>
          <w:color w:val="auto"/>
        </w:rPr>
        <w:t>We are Regus CME Ireland Limited [the Provider], please click the link below for terms and conditions.</w:t>
      </w:r>
    </w:p>
    <w:p>
      <w:pPr>
        <w:sectPr>
          <w:pgSz w:w="11900" w:h="16838" w:orient="portrait"/>
          <w:cols w:equalWidth="0" w:num="1">
            <w:col w:w="10900"/>
          </w:cols>
          <w:pgMar w:left="660" w:top="108" w:right="339"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3"/>
          <w:szCs w:val="23"/>
          <w:color w:val="000066"/>
        </w:rPr>
        <w:t>Renewal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200025</wp:posOffset>
            </wp:positionV>
            <wp:extent cx="6926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926580" cy="163195"/>
                    </a:xfrm>
                    <a:prstGeom prst="rect">
                      <a:avLst/>
                    </a:prstGeom>
                    <a:noFill/>
                  </pic:spPr>
                </pic:pic>
              </a:graphicData>
            </a:graphic>
          </wp:anchor>
        </w:drawing>
      </w:r>
    </w:p>
    <w:p>
      <w:pPr>
        <w:spacing w:after="0" w:line="320" w:lineRule="exact"/>
        <w:rPr>
          <w:sz w:val="20"/>
          <w:szCs w:val="20"/>
          <w:color w:val="auto"/>
        </w:rPr>
      </w:pPr>
    </w:p>
    <w:p>
      <w:pPr>
        <w:ind w:left="440"/>
        <w:spacing w:after="0"/>
        <w:tabs>
          <w:tab w:leader="none" w:pos="3800" w:val="left"/>
        </w:tabs>
        <w:rPr>
          <w:sz w:val="20"/>
          <w:szCs w:val="20"/>
          <w:color w:val="auto"/>
        </w:rPr>
      </w:pPr>
      <w:r>
        <w:rPr>
          <w:rFonts w:ascii="Arial" w:cs="Arial" w:eastAsia="Arial" w:hAnsi="Arial"/>
          <w:sz w:val="14"/>
          <w:szCs w:val="14"/>
          <w:b w:val="1"/>
          <w:bCs w:val="1"/>
          <w:color w:val="000066"/>
        </w:rPr>
        <w:t xml:space="preserve">Agreement Date : </w:t>
      </w:r>
      <w:r>
        <w:rPr>
          <w:rFonts w:ascii="Arial" w:cs="Arial" w:eastAsia="Arial" w:hAnsi="Arial"/>
          <w:sz w:val="14"/>
          <w:szCs w:val="14"/>
          <w:b w:val="1"/>
          <w:bCs w:val="1"/>
          <w:color w:val="000000"/>
        </w:rPr>
        <w:t>August 31, 2020</w:t>
      </w:r>
      <w:r>
        <w:rPr>
          <w:sz w:val="20"/>
          <w:szCs w:val="20"/>
          <w:color w:val="auto"/>
        </w:rPr>
        <w:tab/>
      </w:r>
      <w:r>
        <w:rPr>
          <w:rFonts w:ascii="Arial" w:cs="Arial" w:eastAsia="Arial" w:hAnsi="Arial"/>
          <w:sz w:val="14"/>
          <w:szCs w:val="14"/>
          <w:b w:val="1"/>
          <w:bCs w:val="1"/>
          <w:color w:val="000066"/>
        </w:rPr>
        <w:t xml:space="preserve">Confirmation No : </w:t>
      </w:r>
      <w:r>
        <w:rPr>
          <w:rFonts w:ascii="Arial" w:cs="Arial" w:eastAsia="Arial" w:hAnsi="Arial"/>
          <w:sz w:val="14"/>
          <w:szCs w:val="14"/>
          <w:b w:val="1"/>
          <w:bCs w:val="1"/>
          <w:color w:val="000000"/>
        </w:rPr>
        <w:t>11033770</w:t>
      </w:r>
    </w:p>
    <w:p>
      <w:pPr>
        <w:sectPr>
          <w:pgSz w:w="11900" w:h="16838" w:orient="portrait"/>
          <w:cols w:equalWidth="0" w:num="1">
            <w:col w:w="11240"/>
          </w:cols>
          <w:pgMar w:left="320" w:top="108" w:right="339" w:bottom="1440" w:gutter="0" w:footer="0" w:header="0"/>
        </w:sectPr>
      </w:pPr>
    </w:p>
    <w:p>
      <w:pPr>
        <w:spacing w:after="0" w:line="190"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000066"/>
        </w:rPr>
        <w:t>Business Centre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-100330</wp:posOffset>
            </wp:positionV>
            <wp:extent cx="3206115"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206115" cy="120015"/>
                    </a:xfrm>
                    <a:prstGeom prst="rect">
                      <a:avLst/>
                    </a:prstGeom>
                    <a:noFill/>
                  </pic:spPr>
                </pic:pic>
              </a:graphicData>
            </a:graphic>
          </wp:anchor>
        </w:drawing>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DUBLIN, Spaces South Docklands</w:t>
      </w:r>
    </w:p>
    <w:p>
      <w:pPr>
        <w:spacing w:after="0" w:line="238"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0"/>
          <w:szCs w:val="10"/>
          <w:b w:val="1"/>
          <w:bCs w:val="1"/>
          <w:color w:val="000066"/>
        </w:rPr>
        <w:t>Address</w:t>
      </w:r>
      <w:r>
        <w:rPr>
          <w:sz w:val="20"/>
          <w:szCs w:val="20"/>
          <w:color w:val="auto"/>
        </w:rPr>
        <w:tab/>
      </w:r>
      <w:r>
        <w:rPr>
          <w:rFonts w:ascii="Arial" w:cs="Arial" w:eastAsia="Arial" w:hAnsi="Arial"/>
          <w:sz w:val="10"/>
          <w:szCs w:val="10"/>
          <w:color w:val="auto"/>
        </w:rPr>
        <w:t>77 Sir John Rogerson’s Quay</w:t>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Block C</w:t>
      </w:r>
    </w:p>
    <w:p>
      <w:pPr>
        <w:ind w:left="1580"/>
        <w:spacing w:after="0" w:line="230" w:lineRule="auto"/>
        <w:rPr>
          <w:sz w:val="20"/>
          <w:szCs w:val="20"/>
          <w:color w:val="auto"/>
        </w:rPr>
      </w:pPr>
      <w:r>
        <w:rPr>
          <w:rFonts w:ascii="Arial" w:cs="Arial" w:eastAsia="Arial" w:hAnsi="Arial"/>
          <w:sz w:val="11"/>
          <w:szCs w:val="11"/>
          <w:color w:val="auto"/>
        </w:rPr>
        <w:t>Grand Canal Docklands</w:t>
      </w:r>
    </w:p>
    <w:p>
      <w:pPr>
        <w:ind w:left="1580"/>
        <w:spacing w:after="0" w:line="231" w:lineRule="auto"/>
        <w:rPr>
          <w:sz w:val="20"/>
          <w:szCs w:val="20"/>
          <w:color w:val="auto"/>
        </w:rPr>
      </w:pPr>
      <w:r>
        <w:rPr>
          <w:rFonts w:ascii="Arial" w:cs="Arial" w:eastAsia="Arial" w:hAnsi="Arial"/>
          <w:sz w:val="11"/>
          <w:szCs w:val="11"/>
          <w:color w:val="auto"/>
        </w:rPr>
        <w:t>Dublin 2</w:t>
      </w:r>
    </w:p>
    <w:p>
      <w:pPr>
        <w:ind w:left="1580"/>
        <w:spacing w:after="0" w:line="230" w:lineRule="auto"/>
        <w:rPr>
          <w:sz w:val="20"/>
          <w:szCs w:val="20"/>
          <w:color w:val="auto"/>
        </w:rPr>
      </w:pPr>
      <w:r>
        <w:rPr>
          <w:rFonts w:ascii="Arial" w:cs="Arial" w:eastAsia="Arial" w:hAnsi="Arial"/>
          <w:sz w:val="11"/>
          <w:szCs w:val="11"/>
          <w:color w:val="auto"/>
        </w:rPr>
        <w:t>D02 VK60</w:t>
      </w:r>
    </w:p>
    <w:p>
      <w:pPr>
        <w:ind w:left="1580"/>
        <w:spacing w:after="0"/>
        <w:rPr>
          <w:sz w:val="20"/>
          <w:szCs w:val="20"/>
          <w:color w:val="auto"/>
        </w:rPr>
      </w:pPr>
      <w:r>
        <w:rPr>
          <w:rFonts w:ascii="Arial" w:cs="Arial" w:eastAsia="Arial" w:hAnsi="Arial"/>
          <w:sz w:val="11"/>
          <w:szCs w:val="11"/>
          <w:color w:val="auto"/>
        </w:rPr>
        <w:t>Republic of Ireland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0066"/>
        </w:rPr>
        <w:t>Client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-100330</wp:posOffset>
            </wp:positionV>
            <wp:extent cx="3471545"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471545" cy="120015"/>
                    </a:xfrm>
                    <a:prstGeom prst="rect">
                      <a:avLst/>
                    </a:prstGeom>
                    <a:noFill/>
                  </pic:spPr>
                </pic:pic>
              </a:graphicData>
            </a:graphic>
          </wp:anchor>
        </w:drawing>
      </w:r>
    </w:p>
    <w:p>
      <w:pPr>
        <w:spacing w:after="0" w:line="114"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1"/>
          <w:szCs w:val="11"/>
          <w:b w:val="1"/>
          <w:bCs w:val="1"/>
          <w:color w:val="000066"/>
        </w:rPr>
        <w:t>Company Name</w:t>
      </w:r>
      <w:r>
        <w:rPr>
          <w:sz w:val="20"/>
          <w:szCs w:val="20"/>
          <w:color w:val="auto"/>
        </w:rPr>
        <w:tab/>
      </w:r>
      <w:r>
        <w:rPr>
          <w:rFonts w:ascii="Arial" w:cs="Arial" w:eastAsia="Arial" w:hAnsi="Arial"/>
          <w:sz w:val="10"/>
          <w:szCs w:val="10"/>
          <w:color w:val="auto"/>
        </w:rPr>
        <w:t>Amarin Pharmaceuticals Ireland Ltd</w:t>
      </w:r>
    </w:p>
    <w:p>
      <w:pPr>
        <w:spacing w:after="0" w:line="11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1"/>
          <w:szCs w:val="11"/>
          <w:b w:val="1"/>
          <w:bCs w:val="1"/>
          <w:color w:val="000066"/>
        </w:rPr>
        <w:t>Contact Name</w:t>
      </w:r>
      <w:r>
        <w:rPr>
          <w:sz w:val="20"/>
          <w:szCs w:val="20"/>
          <w:color w:val="auto"/>
        </w:rPr>
        <w:tab/>
      </w:r>
      <w:r>
        <w:rPr>
          <w:rFonts w:ascii="Arial" w:cs="Arial" w:eastAsia="Arial" w:hAnsi="Arial"/>
          <w:sz w:val="10"/>
          <w:szCs w:val="10"/>
          <w:color w:val="auto"/>
        </w:rPr>
        <w:t>Tom Maher</w:t>
      </w:r>
    </w:p>
    <w:p>
      <w:pPr>
        <w:spacing w:after="0" w:line="11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1"/>
          <w:szCs w:val="11"/>
          <w:b w:val="1"/>
          <w:bCs w:val="1"/>
          <w:color w:val="000066"/>
        </w:rPr>
        <w:t xml:space="preserve">Address </w:t>
      </w:r>
      <w:r>
        <w:rPr>
          <w:rFonts w:ascii="Arial" w:cs="Arial" w:eastAsia="Arial" w:hAnsi="Arial"/>
          <w:sz w:val="11"/>
          <w:szCs w:val="11"/>
          <w:b w:val="1"/>
          <w:bCs w:val="1"/>
          <w:color w:val="FF0000"/>
        </w:rPr>
        <w:t>*</w:t>
      </w:r>
      <w:r>
        <w:rPr>
          <w:sz w:val="20"/>
          <w:szCs w:val="20"/>
          <w:color w:val="auto"/>
        </w:rPr>
        <w:tab/>
      </w:r>
      <w:r>
        <w:rPr>
          <w:rFonts w:ascii="Arial" w:cs="Arial" w:eastAsia="Arial" w:hAnsi="Arial"/>
          <w:sz w:val="10"/>
          <w:szCs w:val="10"/>
          <w:color w:val="auto"/>
        </w:rPr>
        <w:t>88 Harcourt Street</w:t>
      </w:r>
    </w:p>
    <w:p>
      <w:pPr>
        <w:spacing w:after="0" w:line="11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1"/>
          <w:szCs w:val="11"/>
          <w:b w:val="1"/>
          <w:bCs w:val="1"/>
          <w:color w:val="000066"/>
        </w:rPr>
        <w:t xml:space="preserve">Town/City </w:t>
      </w:r>
      <w:r>
        <w:rPr>
          <w:rFonts w:ascii="Arial" w:cs="Arial" w:eastAsia="Arial" w:hAnsi="Arial"/>
          <w:sz w:val="11"/>
          <w:szCs w:val="11"/>
          <w:b w:val="1"/>
          <w:bCs w:val="1"/>
          <w:color w:val="FF0000"/>
        </w:rPr>
        <w:t>*</w:t>
      </w:r>
      <w:r>
        <w:rPr>
          <w:sz w:val="20"/>
          <w:szCs w:val="20"/>
          <w:color w:val="auto"/>
        </w:rPr>
        <w:tab/>
      </w:r>
      <w:r>
        <w:rPr>
          <w:rFonts w:ascii="Arial" w:cs="Arial" w:eastAsia="Arial" w:hAnsi="Arial"/>
          <w:sz w:val="11"/>
          <w:szCs w:val="11"/>
          <w:color w:val="auto"/>
        </w:rPr>
        <w:t>Dublin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000066"/>
        </w:rPr>
        <w:t>County/State/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000066"/>
        </w:rPr>
        <w:t>Province/</w:t>
      </w:r>
    </w:p>
    <w:p>
      <w:pPr>
        <w:ind w:left="20"/>
        <w:spacing w:after="0"/>
        <w:rPr>
          <w:sz w:val="20"/>
          <w:szCs w:val="20"/>
          <w:color w:val="auto"/>
        </w:rPr>
      </w:pPr>
      <w:r>
        <w:rPr>
          <w:rFonts w:ascii="Arial" w:cs="Arial" w:eastAsia="Arial" w:hAnsi="Arial"/>
          <w:sz w:val="11"/>
          <w:szCs w:val="11"/>
          <w:b w:val="1"/>
          <w:bCs w:val="1"/>
          <w:color w:val="000066"/>
        </w:rPr>
        <w:t>Municipality</w:t>
      </w:r>
    </w:p>
    <w:p>
      <w:pPr>
        <w:spacing w:after="0" w:line="103" w:lineRule="exact"/>
        <w:rPr>
          <w:sz w:val="20"/>
          <w:szCs w:val="20"/>
          <w:color w:val="auto"/>
        </w:rPr>
      </w:pPr>
    </w:p>
    <w:p>
      <w:pPr>
        <w:sectPr>
          <w:pgSz w:w="11900" w:h="16838" w:orient="portrait"/>
          <w:cols w:equalWidth="0" w:num="2">
            <w:col w:w="5160" w:space="720"/>
            <w:col w:w="5360"/>
          </w:cols>
          <w:pgMar w:left="320" w:top="108" w:right="339" w:bottom="1440" w:gutter="0" w:footer="0" w:header="0"/>
          <w:type w:val="continuous"/>
        </w:sectPr>
      </w:pPr>
    </w:p>
    <w:tbl>
      <w:tblPr>
        <w:tblLayout w:type="fixed"/>
        <w:tblInd w:w="10" w:type="dxa"/>
        <w:tblCellMar>
          <w:top w:w="0" w:type="dxa"/>
          <w:left w:w="0" w:type="dxa"/>
          <w:bottom w:w="0" w:type="dxa"/>
          <w:right w:w="0" w:type="dxa"/>
        </w:tblCellMar>
      </w:tblPr>
      <w:tr>
        <w:trPr>
          <w:trHeight w:val="152"/>
        </w:trPr>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1"/>
                <w:szCs w:val="11"/>
                <w:b w:val="1"/>
                <w:bCs w:val="1"/>
                <w:color w:val="000066"/>
              </w:rPr>
              <w:t xml:space="preserve">Post Code </w:t>
            </w:r>
            <w:r>
              <w:rPr>
                <w:rFonts w:ascii="Arial" w:cs="Arial" w:eastAsia="Arial" w:hAnsi="Arial"/>
                <w:sz w:val="11"/>
                <w:szCs w:val="11"/>
                <w:b w:val="1"/>
                <w:bCs w:val="1"/>
                <w:color w:val="FF0000"/>
              </w:rPr>
              <w:t>*</w:t>
            </w:r>
          </w:p>
        </w:tc>
        <w:tc>
          <w:tcPr>
            <w:tcW w:w="40" w:type="dxa"/>
            <w:vAlign w:val="bottom"/>
          </w:tcPr>
          <w:p>
            <w:pPr>
              <w:spacing w:after="0"/>
              <w:rPr>
                <w:sz w:val="13"/>
                <w:szCs w:val="13"/>
                <w:color w:val="auto"/>
              </w:rPr>
            </w:pPr>
          </w:p>
        </w:tc>
        <w:tc>
          <w:tcPr>
            <w:tcW w:w="1840" w:type="dxa"/>
            <w:vAlign w:val="bottom"/>
          </w:tcPr>
          <w:p>
            <w:pPr>
              <w:ind w:left="200"/>
              <w:spacing w:after="0"/>
              <w:rPr>
                <w:sz w:val="20"/>
                <w:szCs w:val="20"/>
                <w:color w:val="auto"/>
              </w:rPr>
            </w:pPr>
            <w:r>
              <w:rPr>
                <w:rFonts w:ascii="Arial" w:cs="Arial" w:eastAsia="Arial" w:hAnsi="Arial"/>
                <w:sz w:val="11"/>
                <w:szCs w:val="11"/>
                <w:color w:val="auto"/>
              </w:rPr>
              <w:t>D2</w:t>
            </w:r>
          </w:p>
        </w:tc>
        <w:tc>
          <w:tcPr>
            <w:tcW w:w="1900" w:type="dxa"/>
            <w:vAlign w:val="bottom"/>
          </w:tcPr>
          <w:p>
            <w:pPr>
              <w:spacing w:after="0"/>
              <w:rPr>
                <w:sz w:val="13"/>
                <w:szCs w:val="13"/>
                <w:color w:val="auto"/>
              </w:rPr>
            </w:pPr>
          </w:p>
        </w:tc>
      </w:tr>
      <w:tr>
        <w:trPr>
          <w:trHeight w:val="243"/>
        </w:trPr>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ind w:left="80"/>
              <w:spacing w:after="0"/>
              <w:rPr>
                <w:sz w:val="20"/>
                <w:szCs w:val="20"/>
                <w:color w:val="auto"/>
              </w:rPr>
            </w:pPr>
            <w:r>
              <w:rPr>
                <w:rFonts w:ascii="Arial" w:cs="Arial" w:eastAsia="Arial" w:hAnsi="Arial"/>
                <w:sz w:val="11"/>
                <w:szCs w:val="11"/>
                <w:b w:val="1"/>
                <w:bCs w:val="1"/>
                <w:color w:val="000066"/>
              </w:rPr>
              <w:t xml:space="preserve">Country </w:t>
            </w:r>
            <w:r>
              <w:rPr>
                <w:rFonts w:ascii="Arial" w:cs="Arial" w:eastAsia="Arial" w:hAnsi="Arial"/>
                <w:sz w:val="11"/>
                <w:szCs w:val="11"/>
                <w:b w:val="1"/>
                <w:bCs w:val="1"/>
                <w:color w:val="FF0000"/>
              </w:rPr>
              <w:t>*</w:t>
            </w:r>
          </w:p>
        </w:tc>
        <w:tc>
          <w:tcPr>
            <w:tcW w:w="40" w:type="dxa"/>
            <w:vAlign w:val="bottom"/>
          </w:tcPr>
          <w:p>
            <w:pPr>
              <w:spacing w:after="0"/>
              <w:rPr>
                <w:sz w:val="21"/>
                <w:szCs w:val="21"/>
                <w:color w:val="auto"/>
              </w:rPr>
            </w:pPr>
          </w:p>
        </w:tc>
        <w:tc>
          <w:tcPr>
            <w:tcW w:w="1840" w:type="dxa"/>
            <w:vAlign w:val="bottom"/>
          </w:tcPr>
          <w:p>
            <w:pPr>
              <w:ind w:left="200"/>
              <w:spacing w:after="0"/>
              <w:rPr>
                <w:sz w:val="20"/>
                <w:szCs w:val="20"/>
                <w:color w:val="auto"/>
              </w:rPr>
            </w:pPr>
            <w:r>
              <w:rPr>
                <w:rFonts w:ascii="Arial" w:cs="Arial" w:eastAsia="Arial" w:hAnsi="Arial"/>
                <w:sz w:val="11"/>
                <w:szCs w:val="11"/>
                <w:color w:val="auto"/>
              </w:rPr>
              <w:t>Republic of Ireland</w:t>
            </w:r>
          </w:p>
        </w:tc>
        <w:tc>
          <w:tcPr>
            <w:tcW w:w="1900" w:type="dxa"/>
            <w:vAlign w:val="bottom"/>
          </w:tcPr>
          <w:p>
            <w:pPr>
              <w:spacing w:after="0"/>
              <w:rPr>
                <w:sz w:val="21"/>
                <w:szCs w:val="21"/>
                <w:color w:val="auto"/>
              </w:rPr>
            </w:pPr>
          </w:p>
        </w:tc>
      </w:tr>
      <w:tr>
        <w:trPr>
          <w:trHeight w:val="230"/>
        </w:trPr>
        <w:tc>
          <w:tcPr>
            <w:tcW w:w="32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28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88"/>
        </w:trPr>
        <w:tc>
          <w:tcPr>
            <w:tcW w:w="320" w:type="dxa"/>
            <w:vAlign w:val="bottom"/>
            <w:tcBorders>
              <w:left w:val="single" w:sz="8" w:color="808080"/>
            </w:tcBorders>
          </w:tcPr>
          <w:p>
            <w:pPr>
              <w:spacing w:after="0"/>
              <w:rPr>
                <w:sz w:val="16"/>
                <w:szCs w:val="16"/>
                <w:color w:val="auto"/>
              </w:rPr>
            </w:pPr>
          </w:p>
        </w:tc>
        <w:tc>
          <w:tcPr>
            <w:tcW w:w="3440" w:type="dxa"/>
            <w:vAlign w:val="bottom"/>
            <w:gridSpan w:val="3"/>
          </w:tcPr>
          <w:p>
            <w:pPr>
              <w:ind w:left="20"/>
              <w:spacing w:after="0"/>
              <w:rPr>
                <w:sz w:val="20"/>
                <w:szCs w:val="20"/>
                <w:color w:val="auto"/>
              </w:rPr>
            </w:pPr>
            <w:r>
              <w:rPr>
                <w:rFonts w:ascii="Arial" w:cs="Arial" w:eastAsia="Arial" w:hAnsi="Arial"/>
                <w:sz w:val="13"/>
                <w:szCs w:val="13"/>
                <w:b w:val="1"/>
                <w:bCs w:val="1"/>
                <w:color w:val="000066"/>
              </w:rPr>
              <w:t>Office Payment Details (exc. VAT and exc. services)</w:t>
            </w: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Borders>
              <w:right w:val="single" w:sz="8" w:color="808080"/>
            </w:tcBorders>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2"/>
        </w:trPr>
        <w:tc>
          <w:tcPr>
            <w:tcW w:w="320" w:type="dxa"/>
            <w:vAlign w:val="bottom"/>
            <w:tcBorders>
              <w:left w:val="single" w:sz="8" w:color="808080"/>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right w:val="single" w:sz="8" w:color="808080"/>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98"/>
        </w:trPr>
        <w:tc>
          <w:tcPr>
            <w:tcW w:w="32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b w:val="1"/>
                <w:bCs w:val="1"/>
                <w:color w:val="000066"/>
                <w:w w:val="96"/>
              </w:rPr>
              <w:t>Office</w:t>
            </w:r>
          </w:p>
        </w:tc>
        <w:tc>
          <w:tcPr>
            <w:tcW w:w="1860" w:type="dxa"/>
            <w:vAlign w:val="bottom"/>
            <w:tcBorders>
              <w:right w:val="single" w:sz="8" w:color="auto"/>
            </w:tcBorders>
            <w:gridSpan w:val="2"/>
          </w:tcPr>
          <w:p>
            <w:pPr>
              <w:jc w:val="center"/>
              <w:ind w:right="40"/>
              <w:spacing w:after="0" w:line="98" w:lineRule="exact"/>
              <w:rPr>
                <w:sz w:val="20"/>
                <w:szCs w:val="20"/>
                <w:color w:val="auto"/>
              </w:rPr>
            </w:pPr>
            <w:r>
              <w:rPr>
                <w:rFonts w:ascii="Arial" w:cs="Arial" w:eastAsia="Arial" w:hAnsi="Arial"/>
                <w:sz w:val="11"/>
                <w:szCs w:val="11"/>
                <w:b w:val="1"/>
                <w:bCs w:val="1"/>
                <w:color w:val="000066"/>
                <w:w w:val="98"/>
              </w:rPr>
              <w:t>Price per Person</w:t>
            </w:r>
          </w:p>
        </w:tc>
        <w:tc>
          <w:tcPr>
            <w:tcW w:w="1280" w:type="dxa"/>
            <w:vAlign w:val="bottom"/>
          </w:tcPr>
          <w:p>
            <w:pPr>
              <w:jc w:val="center"/>
              <w:ind w:left="486"/>
              <w:spacing w:after="0" w:line="98" w:lineRule="exact"/>
              <w:rPr>
                <w:sz w:val="20"/>
                <w:szCs w:val="20"/>
                <w:color w:val="auto"/>
              </w:rPr>
            </w:pPr>
            <w:r>
              <w:rPr>
                <w:rFonts w:ascii="Arial" w:cs="Arial" w:eastAsia="Arial" w:hAnsi="Arial"/>
                <w:sz w:val="11"/>
                <w:szCs w:val="11"/>
                <w:b w:val="1"/>
                <w:bCs w:val="1"/>
                <w:color w:val="000066"/>
                <w:w w:val="97"/>
              </w:rPr>
              <w:t>Discount on</w:t>
            </w:r>
          </w:p>
        </w:tc>
        <w:tc>
          <w:tcPr>
            <w:tcW w:w="58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gridSpan w:val="2"/>
          </w:tcPr>
          <w:p>
            <w:pPr>
              <w:jc w:val="center"/>
              <w:spacing w:after="0" w:line="98" w:lineRule="exact"/>
              <w:rPr>
                <w:sz w:val="20"/>
                <w:szCs w:val="20"/>
                <w:color w:val="auto"/>
              </w:rPr>
            </w:pPr>
            <w:r>
              <w:rPr>
                <w:rFonts w:ascii="Arial" w:cs="Arial" w:eastAsia="Arial" w:hAnsi="Arial"/>
                <w:sz w:val="11"/>
                <w:szCs w:val="11"/>
                <w:b w:val="1"/>
                <w:bCs w:val="1"/>
                <w:color w:val="000066"/>
                <w:w w:val="98"/>
              </w:rPr>
              <w:t>Discounted Price per Person per</w:t>
            </w:r>
          </w:p>
        </w:tc>
        <w:tc>
          <w:tcPr>
            <w:tcW w:w="40" w:type="dxa"/>
            <w:vAlign w:val="bottom"/>
          </w:tcPr>
          <w:p>
            <w:pPr>
              <w:spacing w:after="0"/>
              <w:rPr>
                <w:sz w:val="8"/>
                <w:szCs w:val="8"/>
                <w:color w:val="auto"/>
              </w:rPr>
            </w:pPr>
          </w:p>
        </w:tc>
        <w:tc>
          <w:tcPr>
            <w:tcW w:w="1840" w:type="dxa"/>
            <w:vAlign w:val="bottom"/>
            <w:tcBorders>
              <w:right w:val="single" w:sz="8" w:color="auto"/>
            </w:tcBorders>
          </w:tcPr>
          <w:p>
            <w:pPr>
              <w:jc w:val="center"/>
              <w:ind w:right="26"/>
              <w:spacing w:after="0" w:line="98" w:lineRule="exact"/>
              <w:rPr>
                <w:sz w:val="20"/>
                <w:szCs w:val="20"/>
                <w:color w:val="auto"/>
              </w:rPr>
            </w:pPr>
            <w:r>
              <w:rPr>
                <w:rFonts w:ascii="Arial" w:cs="Arial" w:eastAsia="Arial" w:hAnsi="Arial"/>
                <w:sz w:val="11"/>
                <w:szCs w:val="11"/>
                <w:b w:val="1"/>
                <w:bCs w:val="1"/>
                <w:color w:val="000066"/>
                <w:w w:val="97"/>
              </w:rPr>
              <w:t>x People</w:t>
            </w:r>
          </w:p>
        </w:tc>
        <w:tc>
          <w:tcPr>
            <w:tcW w:w="1900" w:type="dxa"/>
            <w:vAlign w:val="bottom"/>
            <w:tcBorders>
              <w:right w:val="single" w:sz="8" w:color="auto"/>
            </w:tcBorders>
          </w:tcPr>
          <w:p>
            <w:pPr>
              <w:jc w:val="center"/>
              <w:ind w:right="6"/>
              <w:spacing w:after="0" w:line="98" w:lineRule="exact"/>
              <w:rPr>
                <w:sz w:val="20"/>
                <w:szCs w:val="20"/>
                <w:color w:val="auto"/>
              </w:rPr>
            </w:pPr>
            <w:r>
              <w:rPr>
                <w:rFonts w:ascii="Arial" w:cs="Arial" w:eastAsia="Arial" w:hAnsi="Arial"/>
                <w:sz w:val="11"/>
                <w:szCs w:val="11"/>
                <w:b w:val="1"/>
                <w:bCs w:val="1"/>
                <w:color w:val="000066"/>
                <w:w w:val="98"/>
              </w:rPr>
              <w:t>Discounted Price per Office per Day</w:t>
            </w:r>
          </w:p>
        </w:tc>
      </w:tr>
      <w:tr>
        <w:trPr>
          <w:trHeight w:val="139"/>
        </w:trPr>
        <w:tc>
          <w:tcPr>
            <w:tcW w:w="320" w:type="dxa"/>
            <w:vAlign w:val="bottom"/>
            <w:tcBorders>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000066"/>
              </w:rPr>
              <w:t>Number</w:t>
            </w:r>
          </w:p>
        </w:tc>
        <w:tc>
          <w:tcPr>
            <w:tcW w:w="186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000066"/>
                <w:w w:val="99"/>
              </w:rPr>
              <w:t>per Day</w:t>
            </w:r>
          </w:p>
        </w:tc>
        <w:tc>
          <w:tcPr>
            <w:tcW w:w="128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000066"/>
                <w:w w:val="98"/>
              </w:rPr>
              <w:t>Initial Term</w:t>
            </w:r>
          </w:p>
        </w:tc>
        <w:tc>
          <w:tcPr>
            <w:tcW w:w="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jc w:val="center"/>
              <w:ind w:right="166"/>
              <w:spacing w:after="0"/>
              <w:rPr>
                <w:sz w:val="20"/>
                <w:szCs w:val="20"/>
                <w:color w:val="auto"/>
              </w:rPr>
            </w:pPr>
            <w:r>
              <w:rPr>
                <w:rFonts w:ascii="Arial" w:cs="Arial" w:eastAsia="Arial" w:hAnsi="Arial"/>
                <w:sz w:val="11"/>
                <w:szCs w:val="11"/>
                <w:b w:val="1"/>
                <w:bCs w:val="1"/>
                <w:color w:val="000066"/>
                <w:w w:val="98"/>
              </w:rPr>
              <w:t>Day</w:t>
            </w:r>
          </w:p>
        </w:tc>
        <w:tc>
          <w:tcPr>
            <w:tcW w:w="40" w:type="dxa"/>
            <w:vAlign w:val="bottom"/>
            <w:tcBorders>
              <w:bottom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r>
      <w:tr>
        <w:trPr>
          <w:trHeight w:val="115"/>
        </w:trPr>
        <w:tc>
          <w:tcPr>
            <w:tcW w:w="320" w:type="dxa"/>
            <w:vAlign w:val="bottom"/>
            <w:tcBorders>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102</w:t>
            </w:r>
          </w:p>
        </w:tc>
        <w:tc>
          <w:tcPr>
            <w:tcW w:w="1860" w:type="dxa"/>
            <w:vAlign w:val="bottom"/>
            <w:tcBorders>
              <w:bottom w:val="single" w:sz="8" w:color="auto"/>
              <w:right w:val="single" w:sz="8" w:color="auto"/>
            </w:tcBorders>
            <w:gridSpan w:val="2"/>
          </w:tcPr>
          <w:p>
            <w:pPr>
              <w:jc w:val="center"/>
              <w:ind w:right="60"/>
              <w:spacing w:after="0" w:line="115" w:lineRule="exact"/>
              <w:rPr>
                <w:sz w:val="20"/>
                <w:szCs w:val="20"/>
                <w:color w:val="auto"/>
              </w:rPr>
            </w:pPr>
            <w:r>
              <w:rPr>
                <w:rFonts w:ascii="Arial" w:cs="Arial" w:eastAsia="Arial" w:hAnsi="Arial"/>
                <w:sz w:val="11"/>
                <w:szCs w:val="11"/>
                <w:color w:val="auto"/>
                <w:w w:val="97"/>
              </w:rPr>
              <w:t>€ 74.90</w:t>
            </w:r>
          </w:p>
        </w:tc>
        <w:tc>
          <w:tcPr>
            <w:tcW w:w="1280" w:type="dxa"/>
            <w:vAlign w:val="bottom"/>
            <w:tcBorders>
              <w:bottom w:val="single" w:sz="8" w:color="auto"/>
            </w:tcBorders>
          </w:tcPr>
          <w:p>
            <w:pPr>
              <w:jc w:val="center"/>
              <w:ind w:left="486"/>
              <w:spacing w:after="0" w:line="115" w:lineRule="exact"/>
              <w:rPr>
                <w:sz w:val="20"/>
                <w:szCs w:val="20"/>
                <w:color w:val="auto"/>
              </w:rPr>
            </w:pPr>
            <w:r>
              <w:rPr>
                <w:rFonts w:ascii="Arial" w:cs="Arial" w:eastAsia="Arial" w:hAnsi="Arial"/>
                <w:sz w:val="11"/>
                <w:szCs w:val="11"/>
                <w:color w:val="auto"/>
                <w:w w:val="96"/>
              </w:rPr>
              <w:t>19.465%</w:t>
            </w:r>
          </w:p>
        </w:tc>
        <w:tc>
          <w:tcPr>
            <w:tcW w:w="58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jc w:val="center"/>
              <w:ind w:right="166"/>
              <w:spacing w:after="0" w:line="115" w:lineRule="exact"/>
              <w:rPr>
                <w:sz w:val="20"/>
                <w:szCs w:val="20"/>
                <w:color w:val="auto"/>
              </w:rPr>
            </w:pPr>
            <w:r>
              <w:rPr>
                <w:rFonts w:ascii="Arial" w:cs="Arial" w:eastAsia="Arial" w:hAnsi="Arial"/>
                <w:sz w:val="11"/>
                <w:szCs w:val="11"/>
                <w:color w:val="auto"/>
                <w:w w:val="97"/>
              </w:rPr>
              <w:t>€ 60.32</w:t>
            </w:r>
          </w:p>
        </w:tc>
        <w:tc>
          <w:tcPr>
            <w:tcW w:w="1880" w:type="dxa"/>
            <w:vAlign w:val="bottom"/>
            <w:tcBorders>
              <w:bottom w:val="single" w:sz="8" w:color="auto"/>
              <w:right w:val="single" w:sz="8" w:color="auto"/>
            </w:tcBorders>
            <w:gridSpan w:val="2"/>
          </w:tcPr>
          <w:p>
            <w:pPr>
              <w:jc w:val="center"/>
              <w:spacing w:after="0" w:line="115" w:lineRule="exact"/>
              <w:rPr>
                <w:sz w:val="20"/>
                <w:szCs w:val="20"/>
                <w:color w:val="auto"/>
              </w:rPr>
            </w:pPr>
            <w:r>
              <w:rPr>
                <w:rFonts w:ascii="Arial" w:cs="Arial" w:eastAsia="Arial" w:hAnsi="Arial"/>
                <w:sz w:val="11"/>
                <w:szCs w:val="11"/>
                <w:color w:val="auto"/>
                <w:w w:val="97"/>
              </w:rPr>
              <w:t>1</w:t>
            </w:r>
          </w:p>
        </w:tc>
        <w:tc>
          <w:tcPr>
            <w:tcW w:w="1900" w:type="dxa"/>
            <w:vAlign w:val="bottom"/>
            <w:tcBorders>
              <w:bottom w:val="single" w:sz="8" w:color="auto"/>
              <w:right w:val="single" w:sz="8" w:color="auto"/>
            </w:tcBorders>
          </w:tcPr>
          <w:p>
            <w:pPr>
              <w:jc w:val="center"/>
              <w:ind w:right="6"/>
              <w:spacing w:after="0" w:line="115" w:lineRule="exact"/>
              <w:rPr>
                <w:sz w:val="20"/>
                <w:szCs w:val="20"/>
                <w:color w:val="auto"/>
              </w:rPr>
            </w:pPr>
            <w:r>
              <w:rPr>
                <w:rFonts w:ascii="Arial" w:cs="Arial" w:eastAsia="Arial" w:hAnsi="Arial"/>
                <w:sz w:val="11"/>
                <w:szCs w:val="11"/>
                <w:color w:val="auto"/>
                <w:w w:val="97"/>
              </w:rPr>
              <w:t>€ 60.32</w:t>
            </w:r>
          </w:p>
        </w:tc>
      </w:tr>
      <w:tr>
        <w:trPr>
          <w:trHeight w:val="115"/>
        </w:trPr>
        <w:tc>
          <w:tcPr>
            <w:tcW w:w="320" w:type="dxa"/>
            <w:vAlign w:val="bottom"/>
            <w:tcBorders>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103</w:t>
            </w:r>
          </w:p>
        </w:tc>
        <w:tc>
          <w:tcPr>
            <w:tcW w:w="1860" w:type="dxa"/>
            <w:vAlign w:val="bottom"/>
            <w:tcBorders>
              <w:bottom w:val="single" w:sz="8" w:color="auto"/>
              <w:right w:val="single" w:sz="8" w:color="auto"/>
            </w:tcBorders>
            <w:gridSpan w:val="2"/>
          </w:tcPr>
          <w:p>
            <w:pPr>
              <w:jc w:val="center"/>
              <w:ind w:right="40"/>
              <w:spacing w:after="0" w:line="115" w:lineRule="exact"/>
              <w:rPr>
                <w:sz w:val="20"/>
                <w:szCs w:val="20"/>
                <w:color w:val="auto"/>
              </w:rPr>
            </w:pPr>
            <w:r>
              <w:rPr>
                <w:rFonts w:ascii="Arial" w:cs="Arial" w:eastAsia="Arial" w:hAnsi="Arial"/>
                <w:sz w:val="11"/>
                <w:szCs w:val="11"/>
                <w:color w:val="auto"/>
                <w:w w:val="97"/>
              </w:rPr>
              <w:t>€ 100.23</w:t>
            </w:r>
          </w:p>
        </w:tc>
        <w:tc>
          <w:tcPr>
            <w:tcW w:w="1280" w:type="dxa"/>
            <w:vAlign w:val="bottom"/>
            <w:tcBorders>
              <w:bottom w:val="single" w:sz="8" w:color="auto"/>
            </w:tcBorders>
          </w:tcPr>
          <w:p>
            <w:pPr>
              <w:jc w:val="center"/>
              <w:ind w:left="486"/>
              <w:spacing w:after="0" w:line="115" w:lineRule="exact"/>
              <w:rPr>
                <w:sz w:val="20"/>
                <w:szCs w:val="20"/>
                <w:color w:val="auto"/>
              </w:rPr>
            </w:pPr>
            <w:r>
              <w:rPr>
                <w:rFonts w:ascii="Arial" w:cs="Arial" w:eastAsia="Arial" w:hAnsi="Arial"/>
                <w:sz w:val="11"/>
                <w:szCs w:val="11"/>
                <w:color w:val="auto"/>
                <w:w w:val="96"/>
              </w:rPr>
              <w:t>19.465%</w:t>
            </w:r>
          </w:p>
        </w:tc>
        <w:tc>
          <w:tcPr>
            <w:tcW w:w="58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jc w:val="center"/>
              <w:ind w:right="166"/>
              <w:spacing w:after="0" w:line="115" w:lineRule="exact"/>
              <w:rPr>
                <w:sz w:val="20"/>
                <w:szCs w:val="20"/>
                <w:color w:val="auto"/>
              </w:rPr>
            </w:pPr>
            <w:r>
              <w:rPr>
                <w:rFonts w:ascii="Arial" w:cs="Arial" w:eastAsia="Arial" w:hAnsi="Arial"/>
                <w:sz w:val="11"/>
                <w:szCs w:val="11"/>
                <w:color w:val="auto"/>
                <w:w w:val="97"/>
              </w:rPr>
              <w:t>€ 80.72</w:t>
            </w:r>
          </w:p>
        </w:tc>
        <w:tc>
          <w:tcPr>
            <w:tcW w:w="1880" w:type="dxa"/>
            <w:vAlign w:val="bottom"/>
            <w:tcBorders>
              <w:bottom w:val="single" w:sz="8" w:color="auto"/>
              <w:right w:val="single" w:sz="8" w:color="auto"/>
            </w:tcBorders>
            <w:gridSpan w:val="2"/>
          </w:tcPr>
          <w:p>
            <w:pPr>
              <w:jc w:val="center"/>
              <w:spacing w:after="0" w:line="115" w:lineRule="exact"/>
              <w:rPr>
                <w:sz w:val="20"/>
                <w:szCs w:val="20"/>
                <w:color w:val="auto"/>
              </w:rPr>
            </w:pPr>
            <w:r>
              <w:rPr>
                <w:rFonts w:ascii="Arial" w:cs="Arial" w:eastAsia="Arial" w:hAnsi="Arial"/>
                <w:sz w:val="11"/>
                <w:szCs w:val="11"/>
                <w:color w:val="auto"/>
                <w:w w:val="97"/>
              </w:rPr>
              <w:t>1</w:t>
            </w:r>
          </w:p>
        </w:tc>
        <w:tc>
          <w:tcPr>
            <w:tcW w:w="1900" w:type="dxa"/>
            <w:vAlign w:val="bottom"/>
            <w:tcBorders>
              <w:bottom w:val="single" w:sz="8" w:color="auto"/>
              <w:right w:val="single" w:sz="8" w:color="auto"/>
            </w:tcBorders>
          </w:tcPr>
          <w:p>
            <w:pPr>
              <w:jc w:val="center"/>
              <w:ind w:right="6"/>
              <w:spacing w:after="0" w:line="115" w:lineRule="exact"/>
              <w:rPr>
                <w:sz w:val="20"/>
                <w:szCs w:val="20"/>
                <w:color w:val="auto"/>
              </w:rPr>
            </w:pPr>
            <w:r>
              <w:rPr>
                <w:rFonts w:ascii="Arial" w:cs="Arial" w:eastAsia="Arial" w:hAnsi="Arial"/>
                <w:sz w:val="11"/>
                <w:szCs w:val="11"/>
                <w:color w:val="auto"/>
                <w:w w:val="97"/>
              </w:rPr>
              <w:t>€ 80.72</w:t>
            </w:r>
          </w:p>
        </w:tc>
      </w:tr>
      <w:tr>
        <w:trPr>
          <w:trHeight w:val="237"/>
        </w:trPr>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115"/>
        </w:trPr>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w w:val="98"/>
              </w:rPr>
              <w:t>Total Average Monthly Price per Person per Month</w:t>
            </w:r>
          </w:p>
        </w:tc>
        <w:tc>
          <w:tcPr>
            <w:tcW w:w="18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€ 2,115.65</w:t>
            </w:r>
          </w:p>
        </w:tc>
        <w:tc>
          <w:tcPr>
            <w:tcW w:w="1900" w:type="dxa"/>
            <w:vAlign w:val="bottom"/>
            <w:tcBorders>
              <w:bottom w:val="single" w:sz="8" w:color="auto"/>
              <w:right w:val="single" w:sz="8" w:color="auto"/>
            </w:tcBorders>
          </w:tcPr>
          <w:p>
            <w:pPr>
              <w:spacing w:after="0"/>
              <w:rPr>
                <w:sz w:val="10"/>
                <w:szCs w:val="10"/>
                <w:color w:val="auto"/>
              </w:rPr>
            </w:pPr>
          </w:p>
        </w:tc>
      </w:tr>
      <w:tr>
        <w:trPr>
          <w:trHeight w:val="115"/>
        </w:trPr>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Total Monthly Price</w:t>
            </w:r>
          </w:p>
        </w:tc>
        <w:tc>
          <w:tcPr>
            <w:tcW w:w="18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€ 4,231.30</w:t>
            </w:r>
          </w:p>
        </w:tc>
        <w:tc>
          <w:tcPr>
            <w:tcW w:w="190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154305</wp:posOffset>
            </wp:positionV>
            <wp:extent cx="685800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58000" cy="1460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spacing w:after="0" w:line="260"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Service Provision :</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Start Date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September 14, 2020</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 Date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April 30, 2021</w:t>
      </w:r>
    </w:p>
    <w:p>
      <w:pPr>
        <w:spacing w:after="0" w:line="164" w:lineRule="exact"/>
        <w:rPr>
          <w:sz w:val="20"/>
          <w:szCs w:val="20"/>
          <w:color w:val="auto"/>
        </w:rPr>
      </w:pPr>
    </w:p>
    <w:p>
      <w:pPr>
        <w:sectPr>
          <w:pgSz w:w="11900" w:h="16838" w:orient="portrait"/>
          <w:cols w:equalWidth="0" w:num="5">
            <w:col w:w="2340" w:space="720"/>
            <w:col w:w="1280" w:space="720"/>
            <w:col w:w="1440" w:space="720"/>
            <w:col w:w="620" w:space="720"/>
            <w:col w:w="2680"/>
          </w:cols>
          <w:pgMar w:left="320" w:top="108"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An Activation fee of € 40.00 per occupant will be payabe.</w:t>
      </w:r>
      <w:r>
        <w:rPr>
          <w:rFonts w:ascii="Times New Roman" w:cs="Times New Roman" w:eastAsia="Times New Roman" w:hAnsi="Times New Roman"/>
          <w:sz w:val="11"/>
          <w:szCs w:val="11"/>
          <w:color w:val="auto"/>
        </w:rPr>
        <w:t xml:space="preserve"> </w:t>
      </w:r>
      <w:r>
        <w:rPr>
          <w:rFonts w:ascii="Arial" w:cs="Arial" w:eastAsia="Arial" w:hAnsi="Arial"/>
          <w:sz w:val="11"/>
          <w:szCs w:val="11"/>
          <w:b w:val="1"/>
          <w:bCs w:val="1"/>
          <w:u w:val="single" w:color="auto"/>
          <w:color w:val="auto"/>
        </w:rPr>
        <w:t>I</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Invoices/Fees are changed on a monthly basis which is calculated based on a 30-day month</w:t>
      </w:r>
      <w:r>
        <w:rPr>
          <w:rFonts w:ascii="Times New Roman" w:cs="Times New Roman" w:eastAsia="Times New Roman" w:hAnsi="Times New Roman"/>
          <w:sz w:val="11"/>
          <w:szCs w:val="11"/>
          <w:color w:val="auto"/>
        </w:rPr>
        <w:t xml:space="preserve"> </w:t>
      </w:r>
      <w:r>
        <w:rPr>
          <w:rFonts w:ascii="Arial" w:cs="Arial" w:eastAsia="Arial" w:hAnsi="Arial"/>
          <w:sz w:val="11"/>
          <w:szCs w:val="11"/>
          <w:b w:val="1"/>
          <w:bCs w:val="1"/>
          <w:u w:val="single" w:color="auto"/>
          <w:color w:val="auto"/>
        </w:rPr>
        <w:t>I</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All agreements end on the last calendar day of the month.</w:t>
      </w:r>
      <w:r>
        <w:rPr>
          <w:rFonts w:ascii="Times New Roman" w:cs="Times New Roman" w:eastAsia="Times New Roman" w:hAnsi="Times New Roman"/>
          <w:sz w:val="11"/>
          <w:szCs w:val="11"/>
          <w:color w:val="auto"/>
        </w:rPr>
        <w:t xml:space="preserve"> </w:t>
      </w:r>
      <w:r>
        <w:rPr>
          <w:rFonts w:ascii="Arial" w:cs="Arial" w:eastAsia="Arial" w:hAnsi="Arial"/>
          <w:sz w:val="11"/>
          <w:szCs w:val="11"/>
          <w:b w:val="1"/>
          <w:bCs w:val="1"/>
          <w:u w:val="single" w:color="auto"/>
          <w:color w:val="auto"/>
        </w:rPr>
        <w:t>I</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A refundable service retainer equivalent to 2 x monthly office fee will be payable.</w:t>
      </w:r>
      <w:r>
        <w:rPr>
          <w:rFonts w:ascii="Times New Roman" w:cs="Times New Roman" w:eastAsia="Times New Roman" w:hAnsi="Times New Roman"/>
          <w:sz w:val="11"/>
          <w:szCs w:val="11"/>
          <w:color w:val="auto"/>
        </w:rPr>
        <w:t xml:space="preserve"> </w:t>
      </w:r>
      <w:r>
        <w:rPr>
          <w:rFonts w:ascii="Arial" w:cs="Arial" w:eastAsia="Arial" w:hAnsi="Arial"/>
          <w:sz w:val="11"/>
          <w:szCs w:val="11"/>
          <w:b w:val="1"/>
          <w:bCs w:val="1"/>
          <w:u w:val="single" w:color="auto"/>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144780</wp:posOffset>
            </wp:positionV>
            <wp:extent cx="685800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58000" cy="154305"/>
                    </a:xfrm>
                    <a:prstGeom prst="rect">
                      <a:avLst/>
                    </a:prstGeom>
                    <a:noFill/>
                  </pic:spPr>
                </pic:pic>
              </a:graphicData>
            </a:graphic>
          </wp:anchor>
        </w:drawing>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000066"/>
        </w:rPr>
        <w:t>Terms and Conditions</w:t>
      </w:r>
    </w:p>
    <w:p>
      <w:pPr>
        <w:spacing w:after="0" w:line="168" w:lineRule="exact"/>
        <w:rPr>
          <w:sz w:val="20"/>
          <w:szCs w:val="20"/>
          <w:color w:val="auto"/>
        </w:rPr>
      </w:pPr>
    </w:p>
    <w:p>
      <w:pPr>
        <w:ind w:left="520" w:right="3900"/>
        <w:spacing w:after="0" w:line="239" w:lineRule="auto"/>
        <w:rPr>
          <w:sz w:val="20"/>
          <w:szCs w:val="20"/>
          <w:color w:val="auto"/>
        </w:rPr>
      </w:pPr>
      <w:r>
        <w:rPr>
          <w:rFonts w:ascii="Arial" w:cs="Arial" w:eastAsia="Arial" w:hAnsi="Arial"/>
          <w:sz w:val="11"/>
          <w:szCs w:val="11"/>
          <w:color w:val="auto"/>
        </w:rPr>
        <w:t>We are Regus CME Ireland Limited .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“Automatic Renewal” section of your terms and conditions for the notice terms if you wish to end your agreement.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I accept the terms and conditions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Please enter your VAT number, so that we can process your order: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Not VAT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85090</wp:posOffset>
            </wp:positionV>
            <wp:extent cx="686625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66255" cy="154305"/>
                    </a:xfrm>
                    <a:prstGeom prst="rect">
                      <a:avLst/>
                    </a:prstGeom>
                    <a:noFill/>
                  </pic:spPr>
                </pic:pic>
              </a:graphicData>
            </a:graphic>
          </wp:anchor>
        </w:drawing>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000066"/>
        </w:rPr>
        <w:t>Confirm by typing your name in the box below</w:t>
      </w:r>
    </w:p>
    <w:p>
      <w:pPr>
        <w:sectPr>
          <w:pgSz w:w="11900" w:h="16838" w:orient="portrait"/>
          <w:cols w:equalWidth="0" w:num="1">
            <w:col w:w="11240"/>
          </w:cols>
          <w:pgMar w:left="320" w:top="108" w:right="339" w:bottom="1440" w:gutter="0" w:footer="0" w:header="0"/>
          <w:type w:val="continuous"/>
        </w:sectPr>
      </w:pP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82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000066"/>
              </w:rPr>
              <w:t>Name:</w:t>
            </w:r>
          </w:p>
        </w:tc>
        <w:tc>
          <w:tcPr>
            <w:tcW w:w="300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Tom Maher</w:t>
            </w:r>
          </w:p>
        </w:tc>
      </w:tr>
      <w:tr>
        <w:trPr>
          <w:trHeight w:val="84"/>
        </w:trPr>
        <w:tc>
          <w:tcPr>
            <w:tcW w:w="820" w:type="dxa"/>
            <w:vAlign w:val="bottom"/>
            <w:tcBorders>
              <w:right w:val="single" w:sz="8" w:color="auto"/>
            </w:tcBorders>
          </w:tcPr>
          <w:p>
            <w:pPr>
              <w:spacing w:after="0"/>
              <w:rPr>
                <w:sz w:val="7"/>
                <w:szCs w:val="7"/>
                <w:color w:val="auto"/>
              </w:rPr>
            </w:pPr>
          </w:p>
        </w:tc>
        <w:tc>
          <w:tcPr>
            <w:tcW w:w="3000" w:type="dxa"/>
            <w:vAlign w:val="bottom"/>
            <w:tcBorders>
              <w:bottom w:val="single" w:sz="8" w:color="auto"/>
              <w:right w:val="single" w:sz="8" w:color="auto"/>
            </w:tcBorders>
          </w:tcPr>
          <w:p>
            <w:pPr>
              <w:spacing w:after="0"/>
              <w:rPr>
                <w:sz w:val="7"/>
                <w:szCs w:val="7"/>
                <w:color w:val="auto"/>
              </w:rPr>
            </w:pPr>
          </w:p>
        </w:tc>
      </w:tr>
    </w:tbl>
    <w:p>
      <w:pPr>
        <w:spacing w:after="0" w:line="104"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I confirm these details are correct to the best of my knowledge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4100" w:val="left"/>
        </w:tabs>
        <w:rPr>
          <w:sz w:val="20"/>
          <w:szCs w:val="20"/>
          <w:color w:val="auto"/>
        </w:rPr>
      </w:pPr>
      <w:r>
        <w:rPr>
          <w:rFonts w:ascii="Arial" w:cs="Arial" w:eastAsia="Arial" w:hAnsi="Arial"/>
          <w:sz w:val="11"/>
          <w:szCs w:val="11"/>
          <w:color w:val="auto"/>
        </w:rPr>
        <w:t>on behalf of Amarin Pharmaceuticals Ireland Ltd</w:t>
      </w:r>
      <w:r>
        <w:rPr>
          <w:sz w:val="20"/>
          <w:szCs w:val="20"/>
          <w:color w:val="auto"/>
        </w:rPr>
        <w:tab/>
      </w:r>
      <w:r>
        <w:rPr>
          <w:rFonts w:ascii="Arial" w:cs="Arial" w:eastAsia="Arial" w:hAnsi="Arial"/>
          <w:sz w:val="10"/>
          <w:szCs w:val="10"/>
          <w:b w:val="1"/>
          <w:bCs w:val="1"/>
          <w:color w:val="auto"/>
        </w:rPr>
        <w:t>Signed on</w:t>
      </w:r>
    </w:p>
    <w:p>
      <w:pPr>
        <w:spacing w:after="0" w:line="9" w:lineRule="exact"/>
        <w:rPr>
          <w:sz w:val="20"/>
          <w:szCs w:val="20"/>
          <w:color w:val="auto"/>
        </w:rPr>
      </w:pPr>
    </w:p>
    <w:p>
      <w:pPr>
        <w:jc w:val="right"/>
        <w:ind w:right="2260"/>
        <w:spacing w:after="0"/>
        <w:rPr>
          <w:sz w:val="20"/>
          <w:szCs w:val="20"/>
          <w:color w:val="auto"/>
        </w:rPr>
      </w:pPr>
      <w:r>
        <w:rPr>
          <w:rFonts w:ascii="Arial" w:cs="Arial" w:eastAsia="Arial" w:hAnsi="Arial"/>
          <w:sz w:val="11"/>
          <w:szCs w:val="11"/>
          <w:b w:val="1"/>
          <w:bCs w:val="1"/>
          <w:color w:val="auto"/>
        </w:rPr>
        <w:t>August 31, 2020</w:t>
      </w:r>
    </w:p>
    <w:p>
      <w:pPr>
        <w:sectPr>
          <w:pgSz w:w="11900" w:h="16838" w:orient="portrait"/>
          <w:cols w:equalWidth="0" w:num="2">
            <w:col w:w="4120" w:space="60"/>
            <w:col w:w="7060"/>
          </w:cols>
          <w:pgMar w:left="320" w:top="108" w:right="33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Thero, certify that:</w:t>
      </w:r>
    </w:p>
    <w:p>
      <w:pPr>
        <w:spacing w:after="0" w:line="117"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55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/s/  John F. Thero</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John F. Thero</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117" w:lineRule="exact"/>
        <w:rPr>
          <w:sz w:val="20"/>
          <w:szCs w:val="20"/>
          <w:color w:val="auto"/>
        </w:rPr>
      </w:pPr>
    </w:p>
    <w:p>
      <w:pPr>
        <w:ind w:left="500" w:hanging="492"/>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Michael W. Kalb</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2" w:lineRule="exact"/>
        <w:rPr>
          <w:sz w:val="20"/>
          <w:szCs w:val="20"/>
          <w:color w:val="auto"/>
        </w:rPr>
      </w:pPr>
    </w:p>
    <w:p>
      <w:pPr>
        <w:ind w:left="500" w:right="2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2020, to which this Certification is attached as Exhibit 32.1 (the “Quarterly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F. Thero</w:t>
            </w:r>
          </w:p>
        </w:tc>
        <w:tc>
          <w:tcPr>
            <w:tcW w:w="0" w:type="dxa"/>
            <w:vAlign w:val="bottom"/>
          </w:tcPr>
          <w:p>
            <w:pPr>
              <w:spacing w:after="0"/>
              <w:rPr>
                <w:sz w:val="1"/>
                <w:szCs w:val="1"/>
                <w:color w:val="auto"/>
              </w:rPr>
            </w:pPr>
          </w:p>
        </w:tc>
      </w:tr>
      <w:tr>
        <w:trPr>
          <w:trHeight w:val="191"/>
        </w:trPr>
        <w:tc>
          <w:tcPr>
            <w:tcW w:w="5740" w:type="dxa"/>
            <w:vAlign w:val="bottom"/>
            <w:vMerge w:val="continue"/>
          </w:tcPr>
          <w:p>
            <w:pPr>
              <w:spacing w:after="0"/>
              <w:rPr>
                <w:sz w:val="16"/>
                <w:szCs w:val="16"/>
                <w:color w:val="auto"/>
              </w:rPr>
            </w:pPr>
          </w:p>
        </w:tc>
        <w:tc>
          <w:tcPr>
            <w:tcW w:w="5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John F. Thero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191"/>
        </w:trPr>
        <w:tc>
          <w:tcPr>
            <w:tcW w:w="5740" w:type="dxa"/>
            <w:vAlign w:val="bottom"/>
            <w:vMerge w:val="continue"/>
          </w:tcPr>
          <w:p>
            <w:pPr>
              <w:spacing w:after="0"/>
              <w:rPr>
                <w:sz w:val="16"/>
                <w:szCs w:val="16"/>
                <w:color w:val="auto"/>
              </w:rPr>
            </w:pPr>
          </w:p>
        </w:tc>
        <w:tc>
          <w:tcPr>
            <w:tcW w:w="5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2"/>
    </w:lvl>
  </w:abstractNum>
  <w:abstractNum w:abstractNumId="4">
    <w:nsid w:val="1D4ED43B"/>
    <w:multiLevelType w:val="hybridMultilevel"/>
    <w:lvl w:ilvl="0">
      <w:lvlJc w:val="left"/>
      <w:lvlText w:val="(%1)"/>
      <w:numFmt w:val="lowerRoman"/>
      <w:start w:val="1"/>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decimal"/>
      <w:start w:val="5"/>
    </w:lvl>
  </w:abstractNum>
  <w:abstractNum w:abstractNumId="8">
    <w:nsid w:val="7A6D8D3C"/>
    <w:multiLevelType w:val="hybridMultilevel"/>
    <w:lvl w:ilvl="0">
      <w:lvlJc w:val="left"/>
      <w:lvlText w:val="(%1)"/>
      <w:numFmt w:val="decimal"/>
      <w:start w:val="6"/>
    </w:lvl>
  </w:abstractNum>
  <w:abstractNum w:abstractNumId="9">
    <w:nsid w:val="4B588F54"/>
    <w:multiLevelType w:val="hybridMultilevel"/>
    <w:lvl w:ilvl="0">
      <w:lvlJc w:val="left"/>
      <w:lvlText w:val="(%1)"/>
      <w:numFmt w:val="decimal"/>
      <w:start w:val="7"/>
    </w:lvl>
  </w:abstractNum>
  <w:abstractNum w:abstractNumId="10">
    <w:nsid w:val="542289EC"/>
    <w:multiLevelType w:val="hybridMultilevel"/>
    <w:lvl w:ilvl="0">
      <w:lvlJc w:val="left"/>
      <w:lvlText w:val="(%1)"/>
      <w:numFmt w:val="decimal"/>
      <w:start w:val="8"/>
    </w:lvl>
  </w:abstractNum>
  <w:abstractNum w:abstractNumId="11">
    <w:nsid w:val="6DE91B18"/>
    <w:multiLevelType w:val="hybridMultilevel"/>
    <w:lvl w:ilvl="0">
      <w:lvlJc w:val="left"/>
      <w:lvlText w:val="(%1)"/>
      <w:numFmt w:val="decimal"/>
      <w:start w:val="9"/>
    </w:lvl>
  </w:abstractNum>
  <w:abstractNum w:abstractNumId="12">
    <w:nsid w:val="38437FDB"/>
    <w:multiLevelType w:val="hybridMultilevel"/>
    <w:lvl w:ilvl="0">
      <w:lvlJc w:val="left"/>
      <w:lvlText w:val="(%1)"/>
      <w:numFmt w:val="lowerRoman"/>
      <w:start w:val="4"/>
    </w:lvl>
  </w:abstractNum>
  <w:abstractNum w:abstractNumId="13">
    <w:nsid w:val="7644A45C"/>
    <w:multiLevelType w:val="hybridMultilevel"/>
    <w:lvl w:ilvl="0">
      <w:lvlJc w:val="left"/>
      <w:lvlText w:val="(%1)"/>
      <w:numFmt w:val="decimal"/>
      <w:start w:val="10"/>
    </w:lvl>
  </w:abstractNum>
  <w:abstractNum w:abstractNumId="14">
    <w:nsid w:val="32FFF902"/>
    <w:multiLevelType w:val="hybridMultilevel"/>
    <w:lvl w:ilvl="0">
      <w:lvlJc w:val="left"/>
      <w:lvlText w:val="(%1)"/>
      <w:numFmt w:val="decimal"/>
      <w:start w:val="1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
    </w:lvl>
    <w:lvl w:ilvl="1">
      <w:lvlJc w:val="left"/>
      <w:lvlText w:val="(%2)"/>
      <w:numFmt w:val="decimal"/>
      <w:start w:val="2"/>
    </w:lvl>
  </w:abstractNum>
  <w:abstractNum w:abstractNumId="23">
    <w:nsid w:val="70C6A529"/>
    <w:multiLevelType w:val="hybridMultilevel"/>
    <w:lvl w:ilvl="0">
      <w:lvlJc w:val="left"/>
      <w:lvlText w:val="(%1)"/>
      <w:numFmt w:val="decimal"/>
      <w:start w:val="3"/>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2"/>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upperLetter"/>
      <w:start w:val="9"/>
    </w:lvl>
  </w:abstractNum>
  <w:abstractNum w:abstractNumId="41">
    <w:nsid w:val="61574095"/>
    <w:multiLevelType w:val="hybridMultilevel"/>
    <w:lvl w:ilvl="0">
      <w:lvlJc w:val="left"/>
      <w:lvlText w:val="(%1)"/>
      <w:numFmt w:val="upperLetter"/>
      <w:start w:val="35"/>
    </w:lvl>
  </w:abstractNum>
  <w:abstractNum w:abstractNumId="42">
    <w:nsid w:val="7E0C57B1"/>
    <w:multiLevelType w:val="hybridMultilevel"/>
    <w:lvl w:ilvl="0">
      <w:lvlJc w:val="left"/>
      <w:lvlText w:val="(%1)"/>
      <w:numFmt w:val="upperLetter"/>
      <w:start w:val="6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lowerRoman"/>
      <w:start w:val="1"/>
    </w:lvl>
  </w:abstractNum>
  <w:abstractNum w:abstractNumId="58">
    <w:nsid w:val="98A3148"/>
    <w:multiLevelType w:val="hybridMultilevel"/>
    <w:lvl w:ilvl="0">
      <w:lvlJc w:val="left"/>
      <w:lvlText w:val="(%1)"/>
      <w:numFmt w:val="lowerRoman"/>
      <w:start w:val="2"/>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04"/>
    </w:lvl>
  </w:abstractNum>
  <w:abstractNum w:abstractNumId="68">
    <w:nsid w:val="51D9C564"/>
    <w:multiLevelType w:val="hybridMultilevel"/>
    <w:lvl w:ilvl="0">
      <w:lvlJc w:val="left"/>
      <w:lvlText w:val="%1."/>
      <w:numFmt w:val="decimal"/>
      <w:start w:val="2"/>
    </w:lvl>
  </w:abstractNum>
  <w:abstractNum w:abstractNumId="69">
    <w:nsid w:val="613EFDC5"/>
    <w:multiLevelType w:val="hybridMultilevel"/>
    <w:lvl w:ilvl="0">
      <w:lvlJc w:val="left"/>
      <w:lvlText w:val="%1."/>
      <w:numFmt w:val="decimal"/>
      <w:start w:val="4"/>
    </w:lvl>
  </w:abstractNum>
  <w:abstractNum w:abstractNumId="70">
    <w:nsid w:val="BF72B14"/>
    <w:multiLevelType w:val="hybridMultilevel"/>
    <w:lvl w:ilvl="0">
      <w:lvlJc w:val="left"/>
      <w:lvlText w:val="%1."/>
      <w:numFmt w:val="decimal"/>
      <w:start w:val="6"/>
    </w:lvl>
  </w:abstractNum>
  <w:abstractNum w:abstractNumId="71">
    <w:nsid w:val="11447B73"/>
    <w:multiLevelType w:val="hybridMultilevel"/>
    <w:lvl w:ilvl="0">
      <w:lvlJc w:val="left"/>
      <w:lvlText w:val="%1."/>
      <w:numFmt w:val="decimal"/>
      <w:start w:val="2"/>
    </w:lvl>
  </w:abstractNum>
  <w:abstractNum w:abstractNumId="72">
    <w:nsid w:val="42963E5A"/>
    <w:multiLevelType w:val="hybridMultilevel"/>
    <w:lvl w:ilvl="0">
      <w:lvlJc w:val="left"/>
      <w:lvlText w:val="%1."/>
      <w:numFmt w:val="decimal"/>
      <w:start w:val="4"/>
    </w:lvl>
  </w:abstractNum>
  <w:abstractNum w:abstractNumId="73">
    <w:nsid w:val="A0382C5"/>
    <w:multiLevelType w:val="hybridMultilevel"/>
    <w:lvl w:ilvl="0">
      <w:lvlJc w:val="left"/>
      <w:lvlText w:val="%1."/>
      <w:numFmt w:val="decimal"/>
      <w:start w:val="6"/>
    </w:lvl>
  </w:abstractNum>
  <w:abstractNum w:abstractNumId="74">
    <w:nsid w:val="8F2B15E"/>
    <w:multiLevelType w:val="hybridMultilevel"/>
    <w:lvl w:ilvl="0">
      <w:lvlJc w:val="left"/>
      <w:lvlText w:val="%1."/>
      <w:numFmt w:val="decimal"/>
      <w:start w:val="4"/>
    </w:lvl>
  </w:abstractNum>
  <w:abstractNum w:abstractNumId="75">
    <w:nsid w:val="1A32234B"/>
    <w:multiLevelType w:val="hybridMultilevel"/>
    <w:lvl w:ilvl="0">
      <w:lvlJc w:val="left"/>
      <w:lvlText w:val="%1."/>
      <w:numFmt w:val="decimal"/>
      <w:start w:val="6"/>
    </w:lvl>
  </w:abstractNum>
  <w:abstractNum w:abstractNumId="76">
    <w:nsid w:val="3B0FD379"/>
    <w:multiLevelType w:val="hybridMultilevel"/>
    <w:lvl w:ilvl="0">
      <w:lvlJc w:val="left"/>
      <w:lvlText w:val="%1."/>
      <w:numFmt w:val="decimal"/>
      <w:start w:val="3"/>
    </w:lvl>
  </w:abstractNum>
  <w:abstractNum w:abstractNumId="77">
    <w:nsid w:val="68EB2F63"/>
    <w:multiLevelType w:val="hybridMultilevel"/>
    <w:lvl w:ilvl="0">
      <w:lvlJc w:val="left"/>
      <w:lvlText w:val="%1."/>
      <w:numFmt w:val="decimal"/>
      <w:start w:val="4"/>
    </w:lvl>
  </w:abstractNum>
  <w:abstractNum w:abstractNumId="78">
    <w:nsid w:val="4962813B"/>
    <w:multiLevelType w:val="hybridMultilevel"/>
    <w:lvl w:ilvl="0">
      <w:lvlJc w:val="left"/>
      <w:lvlText w:val="%1."/>
      <w:numFmt w:val="decimal"/>
      <w:start w:val="7"/>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12" Type="http://schemas.openxmlformats.org/officeDocument/2006/relationships/hyperlink" Target="http://www.sec.gov/Archives/edgar/data/0000897448/000119312520192691/d9480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2020-11-05T05:32:37Z</dcterms:created>
  <dcterms:modified xsi:type="dcterms:W3CDTF">2020-11-05T05:32:37Z</dcterms:modified>
</cp:coreProperties>
</file>