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3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45"/>
        </w:trPr>
        <w:tc>
          <w:tcPr>
            <w:tcW w:w="3480" w:type="dxa"/>
            <w:vAlign w:val="bottom"/>
            <w:gridSpan w:val="3"/>
          </w:tcPr>
          <w:p>
            <w:pPr>
              <w:ind w:left="1000"/>
              <w:spacing w:after="0"/>
              <w:rPr>
                <w:sz w:val="20"/>
                <w:szCs w:val="20"/>
                <w:color w:val="auto"/>
              </w:rPr>
            </w:pPr>
            <w:r>
              <w:rPr>
                <w:rFonts w:ascii="Arial" w:cs="Arial" w:eastAsia="Arial" w:hAnsi="Arial"/>
                <w:sz w:val="18"/>
                <w:szCs w:val="18"/>
                <w:b w:val="1"/>
                <w:bCs w:val="1"/>
                <w:color w:val="auto"/>
                <w:w w:val="91"/>
              </w:rPr>
              <w:t>Commission File No. 000-21392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-231140</wp:posOffset>
            </wp:positionV>
            <wp:extent cx="571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794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90"/>
              </w:rPr>
              <w:t>England and Wales</w:t>
            </w:r>
          </w:p>
        </w:tc>
        <w:tc>
          <w:tcPr>
            <w:tcW w:w="3000" w:type="dxa"/>
            <w:vAlign w:val="bottom"/>
          </w:tcPr>
          <w:p>
            <w:pPr>
              <w:jc w:val="center"/>
              <w:ind w:right="1561"/>
              <w:spacing w:after="0"/>
              <w:rPr>
                <w:sz w:val="20"/>
                <w:szCs w:val="20"/>
                <w:color w:val="auto"/>
              </w:rPr>
            </w:pPr>
            <w:r>
              <w:rPr>
                <w:rFonts w:ascii="Arial" w:cs="Arial" w:eastAsia="Arial" w:hAnsi="Arial"/>
                <w:sz w:val="18"/>
                <w:szCs w:val="18"/>
                <w:b w:val="1"/>
                <w:bCs w:val="1"/>
                <w:color w:val="auto"/>
                <w:w w:val="90"/>
              </w:rPr>
              <w:t>Not applicable</w:t>
            </w:r>
          </w:p>
        </w:tc>
      </w:tr>
      <w:tr>
        <w:trPr>
          <w:trHeight w:val="149"/>
        </w:trPr>
        <w:tc>
          <w:tcPr>
            <w:tcW w:w="7940" w:type="dxa"/>
            <w:vAlign w:val="bottom"/>
            <w:gridSpan w:val="3"/>
          </w:tcPr>
          <w:p>
            <w:pPr>
              <w:jc w:val="center"/>
              <w:ind w:right="23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00" w:type="dxa"/>
            <w:vAlign w:val="bottom"/>
          </w:tcPr>
          <w:p>
            <w:pPr>
              <w:jc w:val="center"/>
              <w:ind w:right="15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4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5"/>
              </w:rPr>
              <w:t>Incorporation or Organization)</w:t>
            </w:r>
          </w:p>
        </w:tc>
        <w:tc>
          <w:tcPr>
            <w:tcW w:w="3000" w:type="dxa"/>
            <w:vAlign w:val="bottom"/>
          </w:tcPr>
          <w:p>
            <w:pPr>
              <w:jc w:val="center"/>
              <w:ind w:right="1561"/>
              <w:spacing w:after="0"/>
              <w:rPr>
                <w:sz w:val="20"/>
                <w:szCs w:val="20"/>
                <w:color w:val="auto"/>
              </w:rPr>
            </w:pPr>
            <w:r>
              <w:rPr>
                <w:rFonts w:ascii="Arial" w:cs="Arial" w:eastAsia="Arial" w:hAnsi="Arial"/>
                <w:sz w:val="14"/>
                <w:szCs w:val="14"/>
                <w:b w:val="1"/>
                <w:bCs w:val="1"/>
                <w:color w:val="auto"/>
                <w:w w:val="94"/>
              </w:rPr>
              <w:t>Identification No.)</w:t>
            </w:r>
          </w:p>
        </w:tc>
      </w:tr>
      <w:tr>
        <w:trPr>
          <w:trHeight w:val="313"/>
        </w:trPr>
        <w:tc>
          <w:tcPr>
            <w:tcW w:w="7940" w:type="dxa"/>
            <w:vAlign w:val="bottom"/>
            <w:gridSpan w:val="3"/>
          </w:tcPr>
          <w:p>
            <w:pPr>
              <w:jc w:val="center"/>
              <w:ind w:right="2320"/>
              <w:spacing w:after="0"/>
              <w:rPr>
                <w:sz w:val="20"/>
                <w:szCs w:val="20"/>
                <w:color w:val="auto"/>
              </w:rPr>
            </w:pPr>
            <w:r>
              <w:rPr>
                <w:rFonts w:ascii="Arial" w:cs="Arial" w:eastAsia="Arial" w:hAnsi="Arial"/>
                <w:sz w:val="18"/>
                <w:szCs w:val="18"/>
                <w:b w:val="1"/>
                <w:bCs w:val="1"/>
                <w:color w:val="auto"/>
                <w:w w:val="90"/>
              </w:rPr>
              <w:t>2 Pembroke House, Upper Pembroke Street 28-32</w:t>
            </w:r>
          </w:p>
        </w:tc>
        <w:tc>
          <w:tcPr>
            <w:tcW w:w="3000" w:type="dxa"/>
            <w:vAlign w:val="bottom"/>
          </w:tcPr>
          <w:p>
            <w:pPr>
              <w:jc w:val="center"/>
              <w:ind w:right="1561"/>
              <w:spacing w:after="0"/>
              <w:rPr>
                <w:sz w:val="20"/>
                <w:szCs w:val="20"/>
                <w:color w:val="auto"/>
              </w:rPr>
            </w:pPr>
            <w:r>
              <w:rPr>
                <w:rFonts w:ascii="Arial" w:cs="Arial" w:eastAsia="Arial" w:hAnsi="Arial"/>
                <w:sz w:val="18"/>
                <w:szCs w:val="18"/>
                <w:b w:val="1"/>
                <w:bCs w:val="1"/>
                <w:color w:val="auto"/>
                <w:w w:val="94"/>
              </w:rPr>
              <w:t>Dublin 2, Ireland</w:t>
            </w:r>
          </w:p>
        </w:tc>
      </w:tr>
      <w:tr>
        <w:trPr>
          <w:trHeight w:val="186"/>
        </w:trPr>
        <w:tc>
          <w:tcPr>
            <w:tcW w:w="7940" w:type="dxa"/>
            <w:vAlign w:val="bottom"/>
            <w:gridSpan w:val="3"/>
          </w:tcPr>
          <w:p>
            <w:pPr>
              <w:jc w:val="center"/>
              <w:ind w:right="232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00" w:type="dxa"/>
            <w:vAlign w:val="bottom"/>
          </w:tcPr>
          <w:p>
            <w:pPr>
              <w:jc w:val="center"/>
              <w:ind w:right="1541"/>
              <w:spacing w:after="0"/>
              <w:rPr>
                <w:sz w:val="20"/>
                <w:szCs w:val="20"/>
                <w:color w:val="auto"/>
              </w:rPr>
            </w:pPr>
            <w:r>
              <w:rPr>
                <w:rFonts w:ascii="Arial" w:cs="Arial" w:eastAsia="Arial" w:hAnsi="Arial"/>
                <w:sz w:val="14"/>
                <w:szCs w:val="14"/>
                <w:b w:val="1"/>
                <w:bCs w:val="1"/>
                <w:color w:val="auto"/>
                <w:w w:val="95"/>
              </w:rPr>
              <w:t>(Zip Code)</w:t>
            </w:r>
          </w:p>
        </w:tc>
      </w:tr>
      <w:tr>
        <w:trPr>
          <w:trHeight w:val="270"/>
        </w:trPr>
        <w:tc>
          <w:tcPr>
            <w:tcW w:w="7940" w:type="dxa"/>
            <w:vAlign w:val="bottom"/>
            <w:gridSpan w:val="3"/>
          </w:tcPr>
          <w:p>
            <w:pPr>
              <w:ind w:left="3500"/>
              <w:spacing w:after="0"/>
              <w:rPr>
                <w:sz w:val="20"/>
                <w:szCs w:val="20"/>
                <w:color w:val="auto"/>
              </w:rPr>
            </w:pPr>
            <w:r>
              <w:rPr>
                <w:rFonts w:ascii="Arial" w:cs="Arial" w:eastAsia="Arial" w:hAnsi="Arial"/>
                <w:sz w:val="14"/>
                <w:szCs w:val="14"/>
                <w:b w:val="1"/>
                <w:bCs w:val="1"/>
                <w:color w:val="auto"/>
                <w:w w:val="91"/>
              </w:rPr>
              <w:t>Registrant’s telephone number, including area code: +353 (0) 1 6699 020</w:t>
            </w:r>
          </w:p>
        </w:tc>
        <w:tc>
          <w:tcPr>
            <w:tcW w:w="3000" w:type="dxa"/>
            <w:vAlign w:val="bottom"/>
          </w:tcPr>
          <w:p>
            <w:pPr>
              <w:spacing w:after="0"/>
              <w:rPr>
                <w:sz w:val="23"/>
                <w:szCs w:val="23"/>
                <w:color w:val="auto"/>
              </w:rPr>
            </w:pPr>
          </w:p>
        </w:tc>
      </w:tr>
      <w:tr>
        <w:trPr>
          <w:trHeight w:val="134"/>
        </w:trPr>
        <w:tc>
          <w:tcPr>
            <w:tcW w:w="4580" w:type="dxa"/>
            <w:vAlign w:val="bottom"/>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4080" w:type="dxa"/>
            <w:vAlign w:val="bottom"/>
            <w:gridSpan w:val="2"/>
          </w:tcPr>
          <w:p>
            <w:pPr>
              <w:spacing w:after="0"/>
              <w:rPr>
                <w:sz w:val="11"/>
                <w:szCs w:val="11"/>
                <w:color w:val="auto"/>
              </w:rPr>
            </w:pPr>
          </w:p>
        </w:tc>
      </w:tr>
      <w:tr>
        <w:trPr>
          <w:trHeight w:val="330"/>
        </w:trPr>
        <w:tc>
          <w:tcPr>
            <w:tcW w:w="10940" w:type="dxa"/>
            <w:vAlign w:val="bottom"/>
            <w:gridSpan w:val="4"/>
          </w:tcPr>
          <w:p>
            <w:pPr>
              <w:spacing w:after="0"/>
              <w:rPr>
                <w:sz w:val="20"/>
                <w:szCs w:val="20"/>
                <w:color w:val="auto"/>
              </w:rPr>
            </w:pPr>
            <w:r>
              <w:rPr>
                <w:rFonts w:ascii="Arial" w:cs="Arial" w:eastAsia="Arial" w:hAnsi="Arial"/>
                <w:sz w:val="18"/>
                <w:szCs w:val="18"/>
                <w:color w:val="auto"/>
                <w:w w:val="91"/>
              </w:rPr>
              <w:t>Indicate by check mark whether the registrant (1) has filed all reports required to be filed by Section 13 or 15(d) of the Securities Exchange Act of 1934</w:t>
            </w:r>
          </w:p>
        </w:tc>
      </w:tr>
      <w:tr>
        <w:trPr>
          <w:trHeight w:val="183"/>
        </w:trPr>
        <w:tc>
          <w:tcPr>
            <w:tcW w:w="10940" w:type="dxa"/>
            <w:vAlign w:val="bottom"/>
            <w:gridSpan w:val="4"/>
          </w:tcPr>
          <w:p>
            <w:pPr>
              <w:spacing w:after="0" w:line="183" w:lineRule="exact"/>
              <w:rPr>
                <w:sz w:val="20"/>
                <w:szCs w:val="20"/>
                <w:color w:val="auto"/>
              </w:rPr>
            </w:pPr>
            <w:r>
              <w:rPr>
                <w:rFonts w:ascii="Arial" w:cs="Arial" w:eastAsia="Arial" w:hAnsi="Arial"/>
                <w:sz w:val="18"/>
                <w:szCs w:val="18"/>
                <w:color w:val="auto"/>
                <w:w w:val="91"/>
              </w:rPr>
              <w:t>during the preceding 12 months (or for such shorter period that the registrant was required to file such reports), and (2) has been subject to such filing</w:t>
            </w:r>
          </w:p>
        </w:tc>
      </w:tr>
      <w:tr>
        <w:trPr>
          <w:trHeight w:val="283"/>
        </w:trPr>
        <w:tc>
          <w:tcPr>
            <w:tcW w:w="794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000" w:type="dxa"/>
            <w:vAlign w:val="bottom"/>
          </w:tcPr>
          <w:p>
            <w:pPr>
              <w:spacing w:after="0"/>
              <w:rPr>
                <w:sz w:val="24"/>
                <w:szCs w:val="24"/>
                <w:color w:val="auto"/>
              </w:rPr>
            </w:pPr>
          </w:p>
        </w:tc>
      </w:tr>
    </w:tbl>
    <w:p>
      <w:pPr>
        <w:spacing w:after="0" w:line="7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66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660" w:type="dxa"/>
            <w:vAlign w:val="bottom"/>
          </w:tcPr>
          <w:p>
            <w:pPr>
              <w:spacing w:after="0"/>
              <w:rPr>
                <w:sz w:val="20"/>
                <w:szCs w:val="20"/>
                <w:color w:val="auto"/>
              </w:rPr>
            </w:pPr>
            <w:r>
              <w:rPr>
                <w:rFonts w:ascii="Arial" w:cs="Arial" w:eastAsia="Arial" w:hAnsi="Arial"/>
                <w:sz w:val="18"/>
                <w:szCs w:val="18"/>
                <w:color w:val="auto"/>
              </w:rPr>
              <w:t>Non-accelerated filer</w:t>
            </w:r>
          </w:p>
        </w:tc>
        <w:tc>
          <w:tcPr>
            <w:tcW w:w="4800" w:type="dxa"/>
            <w:vAlign w:val="bottom"/>
          </w:tcPr>
          <w:p>
            <w:pPr>
              <w:ind w:left="6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3180" w:type="dxa"/>
            <w:vAlign w:val="bottom"/>
          </w:tcPr>
          <w:p>
            <w:pPr>
              <w:ind w:left="66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6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8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8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270,879,464 common shares were outstanding as of October 31, 2017, including 270,509,836 shares held as American Depositary Shares (ADSs), each representing one Ordinary Share, 50 pence par value per share and 369,628 Ordinary Shares. In addition, 32,818,464 ordinary share equivalents were issuable in exchange for outstanding preferred shares as of October 31, 2017, for a total of 303,697,928 ordinary shares and ordinary share equivalents outstanding as of October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166370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w:t>
            </w:r>
          </w:p>
        </w:tc>
      </w:tr>
      <w:tr>
        <w:trPr>
          <w:trHeight w:val="291"/>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8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3300" w:type="dxa"/>
            <w:vAlign w:val="bottom"/>
            <w:gridSpan w:val="6"/>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4"/>
        </w:trPr>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20" w:type="dxa"/>
            <w:vAlign w:val="bottom"/>
            <w:gridSpan w:val="16"/>
          </w:tcPr>
          <w:p>
            <w:pPr>
              <w:spacing w:after="0"/>
              <w:rPr>
                <w:sz w:val="20"/>
                <w:szCs w:val="20"/>
                <w:color w:val="auto"/>
              </w:rPr>
            </w:pPr>
            <w:r>
              <w:rPr>
                <w:rFonts w:ascii="Arial" w:cs="Arial" w:eastAsia="Arial" w:hAnsi="Arial"/>
                <w:sz w:val="18"/>
                <w:szCs w:val="18"/>
                <w:color w:val="auto"/>
              </w:rPr>
              <w:t>Financial Statements (unaudited):</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580" w:type="dxa"/>
            <w:vAlign w:val="bottom"/>
            <w:tcBorders>
              <w:bottom w:val="single" w:sz="8" w:color="0000EE"/>
            </w:tcBorders>
            <w:gridSpan w:val="12"/>
          </w:tcPr>
          <w:p>
            <w:pPr>
              <w:spacing w:after="0" w:line="190"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2017 and December 31, 2016</w:t>
              </w:r>
            </w:hyperlink>
          </w:p>
        </w:tc>
        <w:tc>
          <w:tcPr>
            <w:tcW w:w="2440" w:type="dxa"/>
            <w:vAlign w:val="bottom"/>
            <w:gridSpan w:val="4"/>
          </w:tcPr>
          <w:p>
            <w:pPr>
              <w:spacing w:after="0"/>
              <w:rPr>
                <w:sz w:val="16"/>
                <w:szCs w:val="16"/>
                <w:color w:val="auto"/>
              </w:rPr>
            </w:pPr>
          </w:p>
        </w:tc>
        <w:tc>
          <w:tcPr>
            <w:tcW w:w="106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3</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5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 September 30, 2017 and 2016</w:t>
              </w:r>
            </w:hyperlink>
          </w:p>
        </w:tc>
        <w:tc>
          <w:tcPr>
            <w:tcW w:w="520" w:type="dxa"/>
            <w:vAlign w:val="bottom"/>
            <w:gridSpan w:val="2"/>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20" w:type="dxa"/>
            <w:vAlign w:val="bottom"/>
            <w:gridSpan w:val="16"/>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 of Changes in Stockholders’ Deficit for the nine months ended September 30, 2017</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2017 and 2016</w:t>
              </w:r>
            </w:hyperlink>
          </w:p>
        </w:tc>
        <w:tc>
          <w:tcPr>
            <w:tcW w:w="760" w:type="dxa"/>
            <w:vAlign w:val="bottom"/>
            <w:tcBorders>
              <w:top w:val="single" w:sz="8" w:color="0000EE"/>
            </w:tcBorders>
            <w:gridSpan w:val="2"/>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r>
      <w:tr>
        <w:trPr>
          <w:trHeight w:val="196"/>
        </w:trPr>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5020" w:type="dxa"/>
            <w:vAlign w:val="bottom"/>
            <w:gridSpan w:val="9"/>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2560" w:type="dxa"/>
            <w:vAlign w:val="bottom"/>
            <w:gridSpan w:val="5"/>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020" w:type="dxa"/>
            <w:vAlign w:val="bottom"/>
            <w:gridSpan w:val="1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4720" w:type="dxa"/>
            <w:vAlign w:val="bottom"/>
            <w:gridSpan w:val="8"/>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r>
      <w:tr>
        <w:trPr>
          <w:trHeight w:val="318"/>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10"/>
          </w:tcPr>
          <w:p>
            <w:pPr>
              <w:jc w:val="center"/>
              <w:ind w:right="3400"/>
              <w:spacing w:after="0"/>
              <w:rPr>
                <w:rFonts w:ascii="Arial" w:cs="Arial" w:eastAsia="Arial" w:hAnsi="Arial"/>
                <w:sz w:val="18"/>
                <w:szCs w:val="18"/>
                <w:b w:val="1"/>
                <w:bCs w:val="1"/>
                <w:color w:val="0000EE"/>
                <w:w w:val="96"/>
              </w:rPr>
            </w:pPr>
            <w:hyperlink w:anchor="page48">
              <w:r>
                <w:rPr>
                  <w:rFonts w:ascii="Arial" w:cs="Arial" w:eastAsia="Arial" w:hAnsi="Arial"/>
                  <w:sz w:val="18"/>
                  <w:szCs w:val="18"/>
                  <w:b w:val="1"/>
                  <w:bCs w:val="1"/>
                  <w:color w:val="0000EE"/>
                  <w:w w:val="96"/>
                </w:rPr>
                <w:t>PART II – Other Information</w:t>
              </w:r>
            </w:hyperlink>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Legal Proceedings</w:t>
              </w:r>
            </w:hyperlink>
          </w:p>
        </w:tc>
        <w:tc>
          <w:tcPr>
            <w:tcW w:w="2000" w:type="dxa"/>
            <w:vAlign w:val="bottom"/>
            <w:gridSpan w:val="3"/>
          </w:tcPr>
          <w:p>
            <w:pPr>
              <w:spacing w:after="0"/>
              <w:rPr>
                <w:sz w:val="24"/>
                <w:szCs w:val="24"/>
                <w:color w:val="auto"/>
              </w:rPr>
            </w:pPr>
          </w:p>
        </w:tc>
        <w:tc>
          <w:tcPr>
            <w:tcW w:w="2280" w:type="dxa"/>
            <w:vAlign w:val="bottom"/>
            <w:tcBorders>
              <w:top w:val="single" w:sz="8" w:color="0000EE"/>
            </w:tcBorders>
            <w:gridSpan w:val="3"/>
          </w:tcPr>
          <w:p>
            <w:pPr>
              <w:spacing w:after="0"/>
              <w:rPr>
                <w:sz w:val="24"/>
                <w:szCs w:val="24"/>
                <w:color w:val="auto"/>
              </w:rPr>
            </w:pPr>
          </w:p>
        </w:tc>
        <w:tc>
          <w:tcPr>
            <w:tcW w:w="3400" w:type="dxa"/>
            <w:vAlign w:val="bottom"/>
            <w:gridSpan w:val="7"/>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20" w:type="dxa"/>
            <w:vAlign w:val="bottom"/>
            <w:gridSpan w:val="1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Exhibits</w:t>
              </w:r>
            </w:hyperlink>
          </w:p>
        </w:tc>
        <w:tc>
          <w:tcPr>
            <w:tcW w:w="8120" w:type="dxa"/>
            <w:vAlign w:val="bottom"/>
            <w:gridSpan w:val="14"/>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r>
      <w:tr>
        <w:trPr>
          <w:trHeight w:val="318"/>
        </w:trPr>
        <w:tc>
          <w:tcPr>
            <w:tcW w:w="1360" w:type="dxa"/>
            <w:vAlign w:val="bottom"/>
            <w:gridSpan w:val="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r>
        <w:trPr>
          <w:trHeight w:val="669"/>
        </w:trPr>
        <w:tc>
          <w:tcPr>
            <w:tcW w:w="1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620" w:type="dxa"/>
            <w:vAlign w:val="bottom"/>
            <w:gridSpan w:val="9"/>
          </w:tcPr>
          <w:p>
            <w:pPr>
              <w:ind w:left="43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23"/>
        </w:trPr>
        <w:tc>
          <w:tcPr>
            <w:tcW w:w="7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79,086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500"/>
              <w:spacing w:after="0"/>
              <w:rPr>
                <w:sz w:val="20"/>
                <w:szCs w:val="20"/>
                <w:color w:val="auto"/>
              </w:rPr>
            </w:pPr>
            <w:r>
              <w:rPr>
                <w:rFonts w:ascii="Arial" w:cs="Arial" w:eastAsia="Arial" w:hAnsi="Arial"/>
                <w:sz w:val="18"/>
                <w:szCs w:val="18"/>
                <w:color w:val="auto"/>
              </w:rPr>
              <w:t>Restricted cash</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34,610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28,550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and other current assets</w:t>
            </w:r>
          </w:p>
        </w:tc>
        <w:tc>
          <w:tcPr>
            <w:tcW w:w="7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4,185</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Total current assets</w:t>
            </w:r>
          </w:p>
        </w:tc>
        <w:tc>
          <w:tcPr>
            <w:tcW w:w="7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147,031</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Property, plant and equipment, net</w:t>
            </w: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500"/>
              <w:spacing w:after="0"/>
              <w:rPr>
                <w:sz w:val="20"/>
                <w:szCs w:val="20"/>
                <w:color w:val="auto"/>
              </w:rPr>
            </w:pPr>
            <w:r>
              <w:rPr>
                <w:rFonts w:ascii="Arial" w:cs="Arial" w:eastAsia="Arial" w:hAnsi="Arial"/>
                <w:sz w:val="18"/>
                <w:szCs w:val="18"/>
                <w:color w:val="auto"/>
              </w:rPr>
              <w:t>Deferred tax assets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11,082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assets</w:t>
            </w: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Intangible asset, net</w:t>
            </w:r>
          </w:p>
        </w:tc>
        <w:tc>
          <w:tcPr>
            <w:tcW w:w="7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8,287</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b w:val="1"/>
                <w:bCs w:val="1"/>
                <w:color w:val="auto"/>
              </w:rPr>
              <w:t>TOTAL ASSETS</w:t>
            </w:r>
          </w:p>
        </w:tc>
        <w:tc>
          <w:tcPr>
            <w:tcW w:w="7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166,613</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166,999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Liabilities:</w:t>
            </w: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15,805</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51,627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500"/>
              <w:spacing w:after="0"/>
              <w:rPr>
                <w:sz w:val="20"/>
                <w:szCs w:val="20"/>
                <w:color w:val="auto"/>
              </w:rPr>
            </w:pPr>
            <w:r>
              <w:rPr>
                <w:rFonts w:ascii="Arial" w:cs="Arial" w:eastAsia="Arial" w:hAnsi="Arial"/>
                <w:sz w:val="18"/>
                <w:szCs w:val="18"/>
                <w:color w:val="auto"/>
              </w:rPr>
              <w:t>Current portion of exchangeable senior notes, net of discount</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Current portion of long-term debt from royalty-bearing instrument</w:t>
            </w: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Deferred revenue, current</w:t>
            </w:r>
          </w:p>
        </w:tc>
        <w:tc>
          <w:tcPr>
            <w:tcW w:w="7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Total current liabilities</w:t>
            </w:r>
          </w:p>
        </w:tc>
        <w:tc>
          <w:tcPr>
            <w:tcW w:w="7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90,070</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Pr>
          <w:p>
            <w:pPr>
              <w:ind w:left="260"/>
              <w:spacing w:after="0"/>
              <w:rPr>
                <w:sz w:val="20"/>
                <w:szCs w:val="20"/>
                <w:color w:val="auto"/>
              </w:rPr>
            </w:pPr>
            <w:r>
              <w:rPr>
                <w:rFonts w:ascii="Arial" w:cs="Arial" w:eastAsia="Arial" w:hAnsi="Arial"/>
                <w:sz w:val="18"/>
                <w:szCs w:val="18"/>
                <w:color w:val="auto"/>
              </w:rPr>
              <w:t>Long-Term Liabilities: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Exchangeable senior notes, net of discount</w:t>
            </w: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60" w:type="dxa"/>
            <w:vAlign w:val="bottom"/>
          </w:tcPr>
          <w:p>
            <w:pPr>
              <w:ind w:left="500"/>
              <w:spacing w:after="0"/>
              <w:rPr>
                <w:sz w:val="20"/>
                <w:szCs w:val="20"/>
                <w:color w:val="auto"/>
              </w:rPr>
            </w:pPr>
            <w:r>
              <w:rPr>
                <w:rFonts w:ascii="Arial" w:cs="Arial" w:eastAsia="Arial" w:hAnsi="Arial"/>
                <w:sz w:val="18"/>
                <w:szCs w:val="18"/>
                <w:color w:val="auto"/>
              </w:rPr>
              <w:t>Long-term debt from royalty-bearing instrument</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75,559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 long-term</w:t>
            </w: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long-term liabilities</w:t>
            </w:r>
          </w:p>
        </w:tc>
        <w:tc>
          <w:tcPr>
            <w:tcW w:w="7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Total liabilities</w:t>
            </w:r>
          </w:p>
        </w:tc>
        <w:tc>
          <w:tcPr>
            <w:tcW w:w="7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212,722</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Pr>
          <w:p>
            <w:pPr>
              <w:ind w:left="260"/>
              <w:spacing w:after="0"/>
              <w:rPr>
                <w:sz w:val="20"/>
                <w:szCs w:val="20"/>
                <w:color w:val="auto"/>
              </w:rPr>
            </w:pPr>
            <w:r>
              <w:rPr>
                <w:rFonts w:ascii="Arial" w:cs="Arial" w:eastAsia="Arial" w:hAnsi="Arial"/>
                <w:sz w:val="18"/>
                <w:szCs w:val="18"/>
                <w:color w:val="auto"/>
              </w:rPr>
              <w:t>Commitments and contingencies (Note 6)</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Stockholders’ Deficit:</w:t>
            </w: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60" w:type="dxa"/>
            <w:vAlign w:val="bottom"/>
          </w:tcPr>
          <w:p>
            <w:pPr>
              <w:ind w:left="500"/>
              <w:spacing w:after="0"/>
              <w:rPr>
                <w:sz w:val="20"/>
                <w:szCs w:val="20"/>
                <w:color w:val="auto"/>
              </w:rPr>
            </w:pPr>
            <w:r>
              <w:rPr>
                <w:rFonts w:ascii="Arial" w:cs="Arial" w:eastAsia="Arial" w:hAnsi="Arial"/>
                <w:sz w:val="18"/>
                <w:szCs w:val="18"/>
                <w:color w:val="auto"/>
              </w:rPr>
              <w:t>Series A Convertible Preferred Stock, £0.05 par, unlimited authorized;</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640"/>
              <w:spacing w:after="0"/>
              <w:rPr>
                <w:sz w:val="20"/>
                <w:szCs w:val="20"/>
                <w:color w:val="auto"/>
              </w:rPr>
            </w:pPr>
            <w:r>
              <w:rPr>
                <w:rFonts w:ascii="Arial" w:cs="Arial" w:eastAsia="Arial" w:hAnsi="Arial"/>
                <w:sz w:val="18"/>
                <w:szCs w:val="18"/>
                <w:color w:val="auto"/>
              </w:rPr>
              <w:t>328,184,640 shares issued and outstanding as of September 30, 2017 and</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640"/>
              <w:spacing w:after="0"/>
              <w:rPr>
                <w:sz w:val="20"/>
                <w:szCs w:val="20"/>
                <w:color w:val="auto"/>
              </w:rPr>
            </w:pPr>
            <w:r>
              <w:rPr>
                <w:rFonts w:ascii="Arial" w:cs="Arial" w:eastAsia="Arial" w:hAnsi="Arial"/>
                <w:sz w:val="18"/>
                <w:szCs w:val="18"/>
                <w:color w:val="auto"/>
              </w:rPr>
              <w:t>December 31, 2016 (equivalent to 32,818,464 ordinary shares upon</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640"/>
              <w:spacing w:after="0"/>
              <w:rPr>
                <w:sz w:val="20"/>
                <w:szCs w:val="20"/>
                <w:color w:val="auto"/>
              </w:rPr>
            </w:pPr>
            <w:r>
              <w:rPr>
                <w:rFonts w:ascii="Arial" w:cs="Arial" w:eastAsia="Arial" w:hAnsi="Arial"/>
                <w:sz w:val="18"/>
                <w:szCs w:val="18"/>
                <w:color w:val="auto"/>
              </w:rPr>
              <w:t>future consolidation and redesignation at a 10:1 ratio)</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24,364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24,364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Common stock, £0.50 par, unlimited authorized; 272,530,645 issued, 270,877,229</w:t>
            </w: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outstanding as of September 30, 2017; 270,183,201 issued, 269,363,696 outstanding</w:t>
            </w: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as of December 31, 2016</w:t>
            </w: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208,642</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500"/>
              <w:spacing w:after="0"/>
              <w:rPr>
                <w:sz w:val="20"/>
                <w:szCs w:val="20"/>
                <w:color w:val="auto"/>
              </w:rPr>
            </w:pPr>
            <w:r>
              <w:rPr>
                <w:rFonts w:ascii="Arial" w:cs="Arial" w:eastAsia="Arial" w:hAnsi="Arial"/>
                <w:sz w:val="18"/>
                <w:szCs w:val="18"/>
                <w:color w:val="auto"/>
              </w:rPr>
              <w:t>Additional paid-in capital</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974,343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964,914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Treasury stock; 1,653,416 shares as of September 30, 2017; 819,505 shares as of</w:t>
            </w: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December 31, 2016</w:t>
            </w: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(4,054)</w:t>
            </w:r>
          </w:p>
        </w:tc>
        <w:tc>
          <w:tcPr>
            <w:tcW w:w="10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30"/>
        </w:trPr>
        <w:tc>
          <w:tcPr>
            <w:tcW w:w="7460" w:type="dxa"/>
            <w:vAlign w:val="bottom"/>
          </w:tcPr>
          <w:p>
            <w:pPr>
              <w:ind w:left="500"/>
              <w:spacing w:after="0"/>
              <w:rPr>
                <w:sz w:val="20"/>
                <w:szCs w:val="20"/>
                <w:color w:val="auto"/>
              </w:rPr>
            </w:pPr>
            <w:r>
              <w:rPr>
                <w:rFonts w:ascii="Arial" w:cs="Arial" w:eastAsia="Arial" w:hAnsi="Arial"/>
                <w:sz w:val="18"/>
                <w:szCs w:val="18"/>
                <w:color w:val="auto"/>
              </w:rPr>
              <w:t>Accumulated deficit</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(1,249,404)</w:t>
            </w:r>
          </w:p>
        </w:tc>
        <w:tc>
          <w:tcPr>
            <w:tcW w:w="1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(1,204,004)</w:t>
            </w:r>
          </w:p>
        </w:tc>
        <w:tc>
          <w:tcPr>
            <w:tcW w:w="0" w:type="dxa"/>
            <w:vAlign w:val="bottom"/>
          </w:tcPr>
          <w:p>
            <w:pPr>
              <w:spacing w:after="0"/>
              <w:rPr>
                <w:sz w:val="1"/>
                <w:szCs w:val="1"/>
                <w:color w:val="auto"/>
              </w:rPr>
            </w:pPr>
          </w:p>
        </w:tc>
      </w:tr>
      <w:tr>
        <w:trPr>
          <w:trHeight w:val="223"/>
        </w:trPr>
        <w:tc>
          <w:tcPr>
            <w:tcW w:w="746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Total stockholders’ deficit</w:t>
            </w:r>
          </w:p>
        </w:tc>
        <w:tc>
          <w:tcPr>
            <w:tcW w:w="7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(46,109)</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Pr>
          <w:p>
            <w:pPr>
              <w:ind w:left="740"/>
              <w:spacing w:after="0"/>
              <w:rPr>
                <w:sz w:val="20"/>
                <w:szCs w:val="20"/>
                <w:color w:val="auto"/>
              </w:rPr>
            </w:pPr>
            <w:r>
              <w:rPr>
                <w:rFonts w:ascii="Arial" w:cs="Arial" w:eastAsia="Arial" w:hAnsi="Arial"/>
                <w:sz w:val="18"/>
                <w:szCs w:val="18"/>
                <w:b w:val="1"/>
                <w:bCs w:val="1"/>
                <w:color w:val="auto"/>
              </w:rPr>
              <w:t>TOTAL LIABILITIES AND STOCKHOLDERS’ DEFICIT</w:t>
            </w:r>
          </w:p>
        </w:tc>
        <w:tc>
          <w:tcPr>
            <w:tcW w:w="7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166,613</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right"/>
              <w:ind w:right="290"/>
              <w:spacing w:after="0"/>
              <w:rPr>
                <w:sz w:val="20"/>
                <w:szCs w:val="20"/>
                <w:color w:val="auto"/>
              </w:rPr>
            </w:pPr>
            <w:r>
              <w:rPr>
                <w:rFonts w:ascii="Arial" w:cs="Arial" w:eastAsia="Arial" w:hAnsi="Arial"/>
                <w:sz w:val="14"/>
                <w:szCs w:val="14"/>
                <w:b w:val="1"/>
                <w:bCs w:val="1"/>
                <w:color w:val="auto"/>
                <w:w w:val="93"/>
              </w:rPr>
              <w:t>Three months ended September 30,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56"/>
        </w:trPr>
        <w:tc>
          <w:tcPr>
            <w:tcW w:w="480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 net</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47,051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32,441</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90,563</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Licensing revenue</w:t>
            </w:r>
          </w:p>
        </w:tc>
        <w:tc>
          <w:tcPr>
            <w:tcW w:w="10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revenue, net</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47,360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32,734</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91,388</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Cost of goods sold</w:t>
            </w:r>
          </w:p>
        </w:tc>
        <w:tc>
          <w:tcPr>
            <w:tcW w:w="10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8,451</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24,208</w:t>
            </w:r>
          </w:p>
        </w:tc>
        <w:tc>
          <w:tcPr>
            <w:tcW w:w="10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0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35,439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24,283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95,718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67,180</w:t>
            </w:r>
          </w:p>
        </w:tc>
        <w:tc>
          <w:tcPr>
            <w:tcW w:w="100" w:type="dxa"/>
            <w:vAlign w:val="bottom"/>
            <w:shd w:val="clear" w:color="auto" w:fill="CFF0FC"/>
          </w:tcPr>
          <w:p>
            <w:pPr>
              <w:spacing w:after="0"/>
              <w:rPr>
                <w:sz w:val="19"/>
                <w:szCs w:val="19"/>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26,061</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80,147</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w:t>
            </w:r>
          </w:p>
        </w:tc>
        <w:tc>
          <w:tcPr>
            <w:tcW w:w="10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10,694</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13,490</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39,798</w:t>
            </w:r>
          </w:p>
        </w:tc>
        <w:tc>
          <w:tcPr>
            <w:tcW w:w="10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43,888</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39,551</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119,945</w:t>
            </w:r>
          </w:p>
        </w:tc>
        <w:tc>
          <w:tcPr>
            <w:tcW w:w="100" w:type="dxa"/>
            <w:vAlign w:val="bottom"/>
            <w:shd w:val="clear" w:color="auto" w:fill="CFF0FC"/>
          </w:tcPr>
          <w:p>
            <w:pPr>
              <w:spacing w:after="0"/>
              <w:rPr>
                <w:sz w:val="19"/>
                <w:szCs w:val="19"/>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Operating loss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(8,449)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(15,268)</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(52,765)</w:t>
            </w:r>
          </w:p>
        </w:tc>
        <w:tc>
          <w:tcPr>
            <w:tcW w:w="10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Gain on change in fair value of derivative liabilities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3,610</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8,170</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Interest expense, net</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(2,401)</w:t>
            </w:r>
          </w:p>
        </w:tc>
        <w:tc>
          <w:tcPr>
            <w:tcW w:w="280" w:type="dxa"/>
            <w:vAlign w:val="bottom"/>
          </w:tcPr>
          <w:p>
            <w:pPr>
              <w:spacing w:after="0"/>
              <w:rPr>
                <w:sz w:val="19"/>
                <w:szCs w:val="19"/>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(5,051)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(7,097)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(16,253)</w:t>
            </w: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(78)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(381)</w:t>
            </w: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Loss from operations before taxes</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(10,825)</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(61,229)</w:t>
            </w:r>
          </w:p>
        </w:tc>
        <w:tc>
          <w:tcPr>
            <w:tcW w:w="10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FF0FC"/>
          </w:tcPr>
          <w:p>
            <w:pPr>
              <w:spacing w:after="0"/>
              <w:rPr>
                <w:sz w:val="19"/>
                <w:szCs w:val="19"/>
                <w:color w:val="auto"/>
              </w:rPr>
            </w:pPr>
          </w:p>
        </w:tc>
      </w:tr>
      <w:tr>
        <w:trPr>
          <w:trHeight w:val="263"/>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0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(10,825)</w:t>
            </w:r>
          </w:p>
        </w:tc>
        <w:tc>
          <w:tcPr>
            <w:tcW w:w="2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(15,772</w:t>
            </w:r>
          </w:p>
        </w:tc>
        <w:tc>
          <w:tcPr>
            <w:tcW w:w="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(45,400)</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(58,897)</w:t>
            </w:r>
          </w:p>
        </w:tc>
        <w:tc>
          <w:tcPr>
            <w:tcW w:w="100" w:type="dxa"/>
            <w:vAlign w:val="bottom"/>
            <w:tcBorders>
              <w:bottom w:val="single" w:sz="8" w:color="CFF0FC"/>
            </w:tcBorders>
          </w:tcPr>
          <w:p>
            <w:pPr>
              <w:spacing w:after="0"/>
              <w:rPr>
                <w:sz w:val="22"/>
                <w:szCs w:val="22"/>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Loss per share:</w:t>
            </w: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Basic</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(0.31)</w:t>
            </w: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(0.04)</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(0.08)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(0.17)</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(0.31)</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270,803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209,149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192,618</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Diluted</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270,803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209,149</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270,566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192,618</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Preferred</w:t>
            </w: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6"/>
              </w:rPr>
              <w:t>Preferred</w:t>
            </w:r>
          </w:p>
        </w:tc>
        <w:tc>
          <w:tcPr>
            <w:tcW w:w="200" w:type="dxa"/>
            <w:vAlign w:val="bottom"/>
          </w:tcPr>
          <w:p>
            <w:pPr>
              <w:spacing w:after="0"/>
              <w:rPr>
                <w:sz w:val="14"/>
                <w:szCs w:val="1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Additional</w:t>
            </w:r>
          </w:p>
        </w:tc>
        <w:tc>
          <w:tcPr>
            <w:tcW w:w="8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Paid-in</w:t>
            </w:r>
          </w:p>
        </w:tc>
        <w:tc>
          <w:tcPr>
            <w:tcW w:w="8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94"/>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Stock</w:t>
            </w:r>
          </w:p>
        </w:tc>
        <w:tc>
          <w:tcPr>
            <w:tcW w:w="6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2016</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328,184,640</w:t>
            </w: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270,183,201</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(819,505)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24,364</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$ 207,166</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$ 964,914</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(1,498)</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2"/>
              </w:rPr>
              <w:t>$ (1,204,004)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259,195</w:t>
            </w: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units</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2,088,249</w:t>
            </w:r>
          </w:p>
        </w:tc>
        <w:tc>
          <w:tcPr>
            <w:tcW w:w="1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(833,911)</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(1,349)</w:t>
            </w:r>
          </w:p>
        </w:tc>
        <w:tc>
          <w:tcPr>
            <w:tcW w:w="14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(2,556)</w:t>
            </w:r>
          </w:p>
        </w:tc>
        <w:tc>
          <w:tcPr>
            <w:tcW w:w="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Loss for the period</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(45,400)</w:t>
            </w: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(45,400)</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8"/>
                <w:szCs w:val="18"/>
                <w:b w:val="1"/>
                <w:bCs w:val="1"/>
                <w:color w:val="auto"/>
              </w:rPr>
              <w:t>September 30, 2017</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328,184,640</w:t>
            </w:r>
          </w:p>
        </w:tc>
        <w:tc>
          <w:tcPr>
            <w:tcW w:w="1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272,530,645</w:t>
            </w:r>
          </w:p>
        </w:tc>
        <w:tc>
          <w:tcPr>
            <w:tcW w:w="1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(1,653,416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24,364</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$ 208,642</w:t>
            </w: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$ 974,343</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 xml:space="preserve"> (1,249,404</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(46,109</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Net loss</w:t>
            </w:r>
          </w:p>
        </w:tc>
        <w:tc>
          <w:tcPr>
            <w:tcW w:w="2200" w:type="dxa"/>
            <w:vAlign w:val="bottom"/>
            <w:gridSpan w:val="2"/>
          </w:tcPr>
          <w:p>
            <w:pPr>
              <w:jc w:val="right"/>
              <w:ind w:right="77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(45,400)</w:t>
            </w: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(58,897)</w:t>
            </w: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1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sale of fixed assets</w:t>
            </w:r>
          </w:p>
        </w:tc>
        <w:tc>
          <w:tcPr>
            <w:tcW w:w="1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debt discount and debt issuance costs</w:t>
            </w:r>
          </w:p>
        </w:tc>
        <w:tc>
          <w:tcPr>
            <w:tcW w:w="1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Amortization of intangible asset</w:t>
            </w: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change in fair value of derivative liabilities</w:t>
            </w:r>
          </w:p>
        </w:tc>
        <w:tc>
          <w:tcPr>
            <w:tcW w:w="1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(8,170)</w:t>
            </w: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Changes in assets and liabilities:</w:t>
            </w:r>
          </w:p>
        </w:tc>
        <w:tc>
          <w:tcPr>
            <w:tcW w:w="1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(14,625)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(8,043)</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Prepaid and other current assets</w:t>
            </w: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assets</w:t>
            </w:r>
          </w:p>
        </w:tc>
        <w:tc>
          <w:tcPr>
            <w:tcW w:w="1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Accrued interest payable</w:t>
            </w: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(6,959)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Accounts payable and other current liabilities</w:t>
            </w: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12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operating activities</w:t>
            </w:r>
          </w:p>
        </w:tc>
        <w:tc>
          <w:tcPr>
            <w:tcW w:w="12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(30,697)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(52,504)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Purchases of equipment</w:t>
            </w: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66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exchangeable debt</w:t>
            </w:r>
          </w:p>
        </w:tc>
        <w:tc>
          <w:tcPr>
            <w:tcW w:w="1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Payment of debt issuance costs</w:t>
            </w: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net of transaction costs</w:t>
            </w:r>
          </w:p>
        </w:tc>
        <w:tc>
          <w:tcPr>
            <w:tcW w:w="1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Repurchase of exchangeable senior notes</w:t>
            </w:r>
          </w:p>
        </w:tc>
        <w:tc>
          <w:tcPr>
            <w:tcW w:w="1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(15,107)</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Transaction costs related to exchange of exchangeable senior notes</w:t>
            </w: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Taxes paid related to stock-based awards</w:t>
            </w:r>
          </w:p>
        </w:tc>
        <w:tc>
          <w:tcPr>
            <w:tcW w:w="1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(2,593)</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12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(19,165)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2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98,251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106,961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2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79,086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117,562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during the year for:</w:t>
            </w:r>
          </w:p>
        </w:tc>
        <w:tc>
          <w:tcPr>
            <w:tcW w:w="1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500"/>
              <w:spacing w:after="0"/>
              <w:rPr>
                <w:sz w:val="20"/>
                <w:szCs w:val="20"/>
                <w:color w:val="auto"/>
              </w:rPr>
            </w:pPr>
            <w:r>
              <w:rPr>
                <w:rFonts w:ascii="Arial" w:cs="Arial" w:eastAsia="Arial" w:hAnsi="Arial"/>
                <w:sz w:val="18"/>
                <w:szCs w:val="18"/>
                <w:color w:val="auto"/>
              </w:rPr>
              <w:t>Interest</w:t>
            </w:r>
          </w:p>
        </w:tc>
        <w:tc>
          <w:tcPr>
            <w:tcW w:w="1240" w:type="dxa"/>
            <w:vAlign w:val="bottom"/>
          </w:tcPr>
          <w:p>
            <w:pPr>
              <w:spacing w:after="0"/>
              <w:rPr>
                <w:sz w:val="23"/>
                <w:szCs w:val="23"/>
                <w:color w:val="auto"/>
              </w:rPr>
            </w:pP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12,536</w:t>
            </w:r>
          </w:p>
        </w:tc>
        <w:tc>
          <w:tcPr>
            <w:tcW w:w="160" w:type="dxa"/>
            <w:vAlign w:val="bottom"/>
          </w:tcPr>
          <w:p>
            <w:pPr>
              <w:spacing w:after="0"/>
              <w:rPr>
                <w:sz w:val="23"/>
                <w:szCs w:val="23"/>
                <w:color w:val="auto"/>
              </w:rPr>
            </w:pP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13,839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Income taxes</w:t>
            </w:r>
          </w:p>
        </w:tc>
        <w:tc>
          <w:tcPr>
            <w:tcW w:w="124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Supplemental disclosure of non-cash transactions:</w:t>
            </w:r>
          </w:p>
        </w:tc>
        <w:tc>
          <w:tcPr>
            <w:tcW w:w="1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Exchange of exchangeable senior notes into common stock</w:t>
            </w:r>
          </w:p>
        </w:tc>
        <w:tc>
          <w:tcPr>
            <w:tcW w:w="2200" w:type="dxa"/>
            <w:vAlign w:val="bottom"/>
            <w:gridSpan w:val="2"/>
            <w:shd w:val="clear" w:color="auto" w:fill="CFF0FC"/>
          </w:tcPr>
          <w:p>
            <w:pPr>
              <w:jc w:val="right"/>
              <w:ind w:right="77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128,115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our ordinary shares may also be referred to as “common shares” or “common stock.”</w:t>
      </w:r>
    </w:p>
    <w:p>
      <w:pPr>
        <w:spacing w:after="0" w:line="329" w:lineRule="exact"/>
        <w:rPr>
          <w:sz w:val="20"/>
          <w:szCs w:val="20"/>
          <w:color w:val="auto"/>
        </w:rPr>
      </w:pPr>
    </w:p>
    <w:p>
      <w:pPr>
        <w:ind w:left="520" w:right="7460" w:hanging="512"/>
        <w:spacing w:after="0" w:line="378" w:lineRule="auto"/>
        <w:tabs>
          <w:tab w:leader="none" w:pos="51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and Basis of Presentation </w:t>
      </w:r>
      <w:r>
        <w:rPr>
          <w:rFonts w:ascii="Arial" w:cs="Arial" w:eastAsia="Arial" w:hAnsi="Arial"/>
          <w:sz w:val="18"/>
          <w:szCs w:val="18"/>
          <w:b w:val="1"/>
          <w:bCs w:val="1"/>
          <w:i w:val="1"/>
          <w:iCs w:val="1"/>
          <w:u w:val="single" w:color="auto"/>
          <w:color w:val="auto"/>
        </w:rPr>
        <w:t>Nature of Business</w:t>
      </w:r>
    </w:p>
    <w:p>
      <w:pPr>
        <w:ind w:right="80"/>
        <w:spacing w:after="0" w:line="277" w:lineRule="auto"/>
        <w:rPr>
          <w:sz w:val="20"/>
          <w:szCs w:val="20"/>
          <w:color w:val="auto"/>
        </w:rPr>
      </w:pPr>
      <w:r>
        <w:rPr>
          <w:rFonts w:ascii="Arial" w:cs="Arial" w:eastAsia="Arial" w:hAnsi="Arial"/>
          <w:sz w:val="18"/>
          <w:szCs w:val="18"/>
          <w:color w:val="auto"/>
        </w:rPr>
        <w:t>Amarin Corporation plc (“Amarin” or the “Company”) is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Company’s lead product,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8"/>
          <w:szCs w:val="18"/>
          <w:u w:val="single" w:color="auto"/>
          <w:color w:val="auto"/>
        </w:rPr>
        <w:t>&gt;</w:t>
      </w:r>
      <w:r>
        <w:rPr>
          <w:rFonts w:ascii="Arial" w:cs="Arial" w:eastAsia="Arial" w:hAnsi="Arial"/>
          <w:sz w:val="18"/>
          <w:szCs w:val="18"/>
          <w:color w:val="auto"/>
        </w:rPr>
        <w:t xml:space="preserve">500 mg/dL) hypertriglyceridemia. Vascepa is available in the United States by prescription only. In January 2013, the Company began selling and marketing 1-gram size Vascepa capsules in the United States, and in October 2016, introduced a smaller 500-mg capsule size. In August 2015, in addition to marketing Vascepa for severe hypertriglyceridemia, the Company commenced marketing Vascepa for use in adult patients with mixed dyslipidemia, as an adjunct to diet and an add-on to statin therapy in patients who despite statin therapy have high triglycerides (TGs </w:t>
      </w:r>
      <w:r>
        <w:rPr>
          <w:rFonts w:ascii="Arial" w:cs="Arial" w:eastAsia="Arial" w:hAnsi="Arial"/>
          <w:sz w:val="18"/>
          <w:szCs w:val="18"/>
          <w:u w:val="single" w:color="auto"/>
          <w:color w:val="auto"/>
        </w:rPr>
        <w:t>&gt;</w:t>
      </w:r>
      <w:r>
        <w:rPr>
          <w:rFonts w:ascii="Arial" w:cs="Arial" w:eastAsia="Arial" w:hAnsi="Arial"/>
          <w:sz w:val="18"/>
          <w:szCs w:val="18"/>
          <w:color w:val="auto"/>
        </w:rPr>
        <w:t>200 mg/dL and &lt;500 mg/dL), which the Company also refers to as persistently high triglycerides. This expanded promotion of Vascepa commenced pursuant to a federal court order and is continuing pursuant to an agreement among the Company, the FDA and the U.S. government.</w:t>
      </w:r>
    </w:p>
    <w:p>
      <w:pPr>
        <w:spacing w:after="0" w:line="19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is also developing Vascepa for FDA approval of potential additional indications for use. In particular, the Company is conducting a cardiovascular outcomes study of Vascepa, titled REDUCE-IT (Reduction of Cardiovascular Events with EPA—Intervention Trial). The REDUCE-IT study, which commenced in 2011 and completed patient enrollment and randomization of 8,175 individual patients in 2016, is designed to evaluate the efficacy of Vascepa in reducing major cardiovascular events in a high-risk patient population on statin therapy. The Company anticipates that results of the REDUCE-IT study will be available and made public before the end of the third quarter of 2018.</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The Company markets Vascepa through its direct sales force of approximately 150 sales professionals, including sales representatives and their managers, and through a co-promotion agreement with Kowa Pharmaceuticals America, Inc. Under this co-promotion agreement, which commenced in May 2014 and is scheduled to end in December 2018, Kowa Pharmaceuticals America, Inc. co-promotes Vascepa in conjunction with its promotion of its primary product, a branded statin for patients with high cholesterol. The Company operates in one business segment.</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condensed consolidated financial statements included herein have been prepared by the Company, without audit, in accordance with accounting principles generally accepted in the United States of America (the “U.S.” or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2016, or the 2016 Form 10-K, filed with the SEC. The balance sheet amounts at December 31, 2016 in this report were derived from the Company’s audited 2016 consolidated financial statements included in the 2016 Form 10-K.</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U.S. Generally Accepted Accounting Principles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nine months ended September 30, 2017 and 2016 are not necessarily indicative of the results for the entire fiscal year or any future period. Certain numbers presented throughout this document may not add precisely to the totals provided due to rounding. Absolute and percentage changes are calculated using the underlying amounts in thousands.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jc w:val="both"/>
        <w:ind w:right="360"/>
        <w:spacing w:after="0" w:line="264" w:lineRule="auto"/>
        <w:rPr>
          <w:sz w:val="20"/>
          <w:szCs w:val="20"/>
          <w:color w:val="auto"/>
        </w:rPr>
      </w:pPr>
      <w:r>
        <w:rPr>
          <w:rFonts w:ascii="Arial" w:cs="Arial" w:eastAsia="Arial" w:hAnsi="Arial"/>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18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As of September 30, 2017, the Company had cash and cash equivalents of $79.1 million. The Company’s condensed consolidated balance sheets also include long-term debt from royalty-bearing instrument and exchangeable senior notes. In January 2017, the Company issued $30.0 million in aggregate principal amount of January 2017 3.5% exchangeable senior notes due 2047, or the 2017 Notes. The terms of the 2017 Notes are such that they may be redeemed by the Company for cash on or after January 19, 2021 and may be put back to the Company by the holders on January 19, 2022 for cash equal to 100% of the principal amount plus any accrued and unpaid interest. The 2017 Notes are exchangeable into ADSs at the option of holders at any time after issuance and prior to maturity and are exchangeable into ADSs at the option of the Company upon satisfaction of certain equity conditions. Accordingly, the exchangeable senior notes do not represent a short-term claim on the liquid assets of the Company as of September 30, 2017. The terms of the Company’s January 2012</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3.5% exchangeable senior notes due 2032, or the 2012 Notes, which were repaid in full during the first quarter of 2017, allowed for repurchase in cash by the Company at the option of the holders on January 19, 2017, as well as redemption by the Company for cash of all or part of the 2012 Notes on or after January 19, 2017, both at a price equal to 100% of the principal amount of the 2012 Notes to be repurchased or redeemed, plus accrued and unpaid interest to, but excluding, the repurchase or redemption date. Accordingly, $15.1 million in principal amount of 2012 Notes represented a short-term claim on the liquid assets of the Company as of December 31, 2016.</w:t>
      </w:r>
    </w:p>
    <w:p>
      <w:pPr>
        <w:spacing w:after="0" w:line="19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believes its cash and cash equivalents will be sufficient to fund its projected operations through the results of the REDUCE-IT study, which we anticipate will be available before the end of the third quarter of 2018. Depending on the level of cash generated from operations, additional capital may be required to sustain operations, fund debt obligations or expand promotion of Vascepa as contemplated following anticipated successful results of the REDUCE-IT study. The Company anticipates that quarterly net cash outflows in future periods will be variable.</w:t>
      </w:r>
    </w:p>
    <w:p>
      <w:pPr>
        <w:spacing w:after="0" w:line="276" w:lineRule="exact"/>
        <w:rPr>
          <w:sz w:val="20"/>
          <w:szCs w:val="20"/>
          <w:color w:val="auto"/>
        </w:rPr>
      </w:pPr>
    </w:p>
    <w:p>
      <w:pPr>
        <w:ind w:left="520" w:right="8480" w:hanging="512"/>
        <w:spacing w:after="0" w:line="453" w:lineRule="auto"/>
        <w:tabs>
          <w:tab w:leader="none" w:pos="515"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u w:val="single" w:color="auto"/>
          <w:color w:val="auto"/>
        </w:rPr>
        <w:t>Principles of Consolidation</w:t>
      </w:r>
    </w:p>
    <w:p>
      <w:pPr>
        <w:spacing w:after="0" w:line="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accounts and transactions have been eliminated in consolidation.</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Accounting estimates are based on historical experience and other factors that are considered reasonable under the circumstances. Estimates are used in determining such items as provisions for sales returns, rebates and incentives, chargebacks, and other sales allowances; depreciable/amortizable lives; asset impairments; valuation allowance on deferred taxes; probabilities of achievement of performance conditions for certain equity awards; amounts recorded for licensing revenue; contingencies and accruals; and valuations of derivative and long-term debt instruments. Because of the uncertainties inherent in such estimates, actual results may differ from these estimates. Management periodically evaluates estimates used in the preparation of the condensed consolidated financial statements for continued reasonableness.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Use of Forecasted Financial Information in Accounting Estimates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use of forecasted financial information is inherent in many of the Company’s accounting estimates including, but not limited to, determining the estimated fair values of derivatives, debt instruments and intangible assets, evaluating the need for valuation allowances for deferred tax assets, and assessing the Company’s ability to continue as a going concern.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Patients are required to have a prescription in order to purchase Vascepa. In accordance with GAAP, the Company’s revenue recognition policy requires that: (i) there is persuasive evidence that an arrangement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exists between the Company and the Distributor, (ii) delivery has occurred, (iii) collectability is reasonably assured and (iv) the price is fixed or determinable.</w:t>
      </w:r>
    </w:p>
    <w:p>
      <w:pPr>
        <w:spacing w:after="0" w:line="248"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The Company has contracts with its primary Distributors and delivery generally occurs when a Distributor receives Vascepa. The Company evaluates the creditworthiness of each of its Distributors to determine whether revenues can be recognized upon delivery, subject to satisfaction of the other requirements, or whether recognition is required to be delayed until receipt of payment. In order to conclude that the price is fixed or determinable, the Company must be able to (i) calculate its gross product revenues from the sales to Distributors and (ii) reasonably estimate its net product revenues. The Company calculates gross product revenues generally based on the wholesale acquisition cost that the Company charges its Distributors for Vascepa. The Company estimates its net product revenues by deducting from its gross product revenues (a) trade allowances, such as invoice discounts for prompt payment and distributor fees,</w:t>
      </w:r>
    </w:p>
    <w:p>
      <w:pPr>
        <w:spacing w:after="0" w:line="5" w:lineRule="exact"/>
        <w:rPr>
          <w:sz w:val="20"/>
          <w:szCs w:val="20"/>
          <w:color w:val="auto"/>
        </w:rPr>
      </w:pPr>
    </w:p>
    <w:p>
      <w:pPr>
        <w:ind w:right="160" w:firstLine="8"/>
        <w:spacing w:after="0" w:line="261"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estimated government and private payor rebates, chargebacks and discounts, such as Medicaid reimbursements, (c) reserves for expected product returns and (d) estimated costs of incentives offered to certain indirect customers, including patients.</w:t>
      </w:r>
    </w:p>
    <w:p>
      <w:pPr>
        <w:spacing w:after="0" w:line="76" w:lineRule="exact"/>
        <w:rPr>
          <w:sz w:val="20"/>
          <w:szCs w:val="20"/>
          <w:color w:val="auto"/>
        </w:rPr>
      </w:pPr>
    </w:p>
    <w:p>
      <w:pPr>
        <w:ind w:left="520" w:right="60" w:firstLine="495"/>
        <w:spacing w:after="0" w:line="276" w:lineRule="auto"/>
        <w:rPr>
          <w:sz w:val="20"/>
          <w:szCs w:val="20"/>
          <w:color w:val="auto"/>
        </w:rPr>
      </w:pPr>
      <w:r>
        <w:rPr>
          <w:rFonts w:ascii="Arial" w:cs="Arial" w:eastAsia="Arial" w:hAnsi="Arial"/>
          <w:sz w:val="17"/>
          <w:szCs w:val="17"/>
          <w:i w:val="1"/>
          <w:iCs w:val="1"/>
          <w:color w:val="auto"/>
        </w:rPr>
        <w:t xml:space="preserve">Trade Allowances: </w:t>
      </w:r>
      <w:r>
        <w:rPr>
          <w:rFonts w:ascii="Arial" w:cs="Arial" w:eastAsia="Arial" w:hAnsi="Arial"/>
          <w:sz w:val="17"/>
          <w:szCs w:val="17"/>
          <w:color w:val="auto"/>
        </w:rPr>
        <w:t>The Company generally provides invoice discounts on Vascepa sales to its Distributors for prompt payment and pays fees</w:t>
      </w:r>
      <w:r>
        <w:rPr>
          <w:rFonts w:ascii="Arial" w:cs="Arial" w:eastAsia="Arial" w:hAnsi="Arial"/>
          <w:sz w:val="17"/>
          <w:szCs w:val="17"/>
          <w:i w:val="1"/>
          <w:iCs w:val="1"/>
          <w:color w:val="auto"/>
        </w:rPr>
        <w:t xml:space="preserve"> </w:t>
      </w:r>
      <w:r>
        <w:rPr>
          <w:rFonts w:ascii="Arial" w:cs="Arial" w:eastAsia="Arial" w:hAnsi="Arial"/>
          <w:sz w:val="17"/>
          <w:szCs w:val="17"/>
          <w:color w:val="auto"/>
        </w:rPr>
        <w:t>for distribution services, such as fees for certain data that Distributors provide to the Company. The payment terms for sales to Distributors generally include a 2% discount for prompt payment while the fees for distribution services are based on contractual rates agreed with the respective Distributors. Based on judgment and experience, the Company expects its Distributors to earn these discounts and fees, and deducts the full amount of these discounts and fees from its gross product revenues and accounts receivable at the time such revenues are recognized.</w:t>
      </w:r>
    </w:p>
    <w:p>
      <w:pPr>
        <w:spacing w:after="0" w:line="64" w:lineRule="exact"/>
        <w:rPr>
          <w:sz w:val="20"/>
          <w:szCs w:val="20"/>
          <w:color w:val="auto"/>
        </w:rPr>
      </w:pPr>
    </w:p>
    <w:p>
      <w:pPr>
        <w:ind w:left="520" w:firstLine="495"/>
        <w:spacing w:after="0" w:line="255" w:lineRule="auto"/>
        <w:rPr>
          <w:sz w:val="20"/>
          <w:szCs w:val="20"/>
          <w:color w:val="auto"/>
        </w:rPr>
      </w:pPr>
      <w:r>
        <w:rPr>
          <w:rFonts w:ascii="Arial" w:cs="Arial" w:eastAsia="Arial" w:hAnsi="Arial"/>
          <w:sz w:val="18"/>
          <w:szCs w:val="18"/>
          <w:i w:val="1"/>
          <w:iCs w:val="1"/>
          <w:color w:val="auto"/>
        </w:rPr>
        <w:t xml:space="preserve">Rebates, Chargebacks and Discounts: </w:t>
      </w:r>
      <w:r>
        <w:rPr>
          <w:rFonts w:ascii="Arial" w:cs="Arial" w:eastAsia="Arial" w:hAnsi="Arial"/>
          <w:sz w:val="18"/>
          <w:szCs w:val="18"/>
          <w:color w:val="auto"/>
        </w:rPr>
        <w:t>The Company contracts with Medicaid, other government agencies and various private organizations,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w:t>
      </w:r>
    </w:p>
    <w:p>
      <w:pPr>
        <w:spacing w:after="0" w:line="81" w:lineRule="exact"/>
        <w:rPr>
          <w:sz w:val="20"/>
          <w:szCs w:val="20"/>
          <w:color w:val="auto"/>
        </w:rPr>
      </w:pPr>
    </w:p>
    <w:p>
      <w:pPr>
        <w:ind w:left="520" w:right="80" w:firstLine="495"/>
        <w:spacing w:after="0" w:line="270"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The Company’s Distributors have the right to return unopened unprescribed Vascepa during the 18-month period beginning</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prior to the labeled expiration date and ending twelve months after the labeled expiration date. The expiration date for Vascepa is three years after it has been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w:t>
      </w:r>
    </w:p>
    <w:p>
      <w:pPr>
        <w:spacing w:after="0" w:line="70" w:lineRule="exact"/>
        <w:rPr>
          <w:sz w:val="20"/>
          <w:szCs w:val="20"/>
          <w:color w:val="auto"/>
        </w:rPr>
      </w:pPr>
    </w:p>
    <w:p>
      <w:pPr>
        <w:ind w:left="520" w:right="20" w:firstLine="495"/>
        <w:spacing w:after="0" w:line="271" w:lineRule="auto"/>
        <w:rPr>
          <w:sz w:val="20"/>
          <w:szCs w:val="20"/>
          <w:color w:val="auto"/>
        </w:rPr>
      </w:pPr>
      <w:r>
        <w:rPr>
          <w:rFonts w:ascii="Arial" w:cs="Arial" w:eastAsia="Arial" w:hAnsi="Arial"/>
          <w:sz w:val="17"/>
          <w:szCs w:val="17"/>
          <w:i w:val="1"/>
          <w:iCs w:val="1"/>
          <w:color w:val="auto"/>
        </w:rPr>
        <w:t xml:space="preserve">Other Incentives: </w:t>
      </w:r>
      <w:r>
        <w:rPr>
          <w:rFonts w:ascii="Arial" w:cs="Arial" w:eastAsia="Arial" w:hAnsi="Arial"/>
          <w:sz w:val="17"/>
          <w:szCs w:val="17"/>
          <w:color w:val="auto"/>
        </w:rPr>
        <w:t>Other incentives that the Company offers to indirect customers include co-pay mitigation rebates provided by the Company to</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and deducts these estimated amounts from its gross product revenues at the time the revenues are recognized. The Company adjusts its accruals for co-pay mitigation rebates based on actual redemption activity and estimates regarding the portion of issued co-pay mitigation rebates that it estimates will be redeemed.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following tables summarize activity in each of the net product revenue allowance and reserve categories described above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Trade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Rebates,</w:t>
            </w:r>
          </w:p>
        </w:tc>
        <w:tc>
          <w:tcPr>
            <w:tcW w:w="160" w:type="dxa"/>
            <w:vAlign w:val="bottom"/>
          </w:tcPr>
          <w:p>
            <w:pPr>
              <w:spacing w:after="0"/>
              <w:rPr>
                <w:sz w:val="14"/>
                <w:szCs w:val="14"/>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14"/>
                <w:szCs w:val="14"/>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Allowances</w:t>
            </w:r>
          </w:p>
        </w:tc>
        <w:tc>
          <w:tcPr>
            <w:tcW w:w="10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and Discounts</w:t>
            </w:r>
          </w:p>
        </w:tc>
        <w:tc>
          <w:tcPr>
            <w:tcW w:w="16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Incentives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2016</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3,743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20,915</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1,681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27,198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Provision related to current period sales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87,499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10,796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related to prior period sales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(841)</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Credits/payments made for current period sales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(11,061)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(62,014)</w:t>
            </w: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(8,834)</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(82,300)</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Credits/payments made for prior period sales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(3,107)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(16,722)</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(1,770)</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(21,623)</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 as of September 30,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28,837</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1,791</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Trade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Rebates,</w:t>
            </w:r>
          </w:p>
        </w:tc>
        <w:tc>
          <w:tcPr>
            <w:tcW w:w="160" w:type="dxa"/>
            <w:vAlign w:val="bottom"/>
          </w:tcPr>
          <w:p>
            <w:pPr>
              <w:spacing w:after="0"/>
              <w:rPr>
                <w:sz w:val="24"/>
                <w:szCs w:val="24"/>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24"/>
                <w:szCs w:val="24"/>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Allowances</w:t>
            </w:r>
          </w:p>
        </w:tc>
        <w:tc>
          <w:tcPr>
            <w:tcW w:w="100" w:type="dxa"/>
            <w:vAlign w:val="bottom"/>
          </w:tcPr>
          <w:p>
            <w:pPr>
              <w:spacing w:after="0"/>
              <w:rPr>
                <w:sz w:val="14"/>
                <w:szCs w:val="14"/>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and Discounts</w:t>
            </w:r>
          </w:p>
        </w:tc>
        <w:tc>
          <w:tcPr>
            <w:tcW w:w="16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Incentives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2015</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4,296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9,881</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1,084</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15,796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Provision related to current period sales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46,553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8,539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related to prior period sales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Credits/payments made for current period sales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(11,086)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(22,236)</w:t>
            </w: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(6,788)</w:t>
            </w: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(40,110)</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Credits/payments made for prior period sales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(4,180)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(8,492)</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(1,284)</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(14,203)</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 as of September 30, 2016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25,304</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1,551</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below.</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Multiple-Element Arrangements and Licensing Revenue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When evaluating multiple-element arrangements, the Company identifies the deliverables included within the agreement and evaluates which deliverables represent separate units of accounting based on whether the delivered element has stand-alone value to the customer or if the arrangement includes a general right of return for delivered items.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consideration received is allocated between each of the separable elements in the arrangement using the relative selling price method. The selling price used for each separable element will be based on vendor specific objective evidence (“VSOE”) if available, third-party evidence if VSOE is not available, or estimated selling price if neither VSOE nor third-party evidence is available. Revenue is then recognized as each of the separable elements to which the revenue has been allocated is delivered.</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may receive up-front, non-refundable payments when licensing its intellectual property in conjunction with research, development and commercialization agreements. In determining the units of accounting, management evaluates whether the license has stand-alone value from the undelivered elements to the collaborative partner based on the consideration of the relevant facts and circumstances for each arrangement. Factors considered in this determination include the stage of development of the license delivered, research and development capabilities of the partner and the ability of partners to develop and commercialize Vascepa independent of the Company.</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When management believes the license to its intellectual property does not have stand-alone value from the other deliverables to be provided in the arrangement, the Company generally recognizes revenue attributable to the license over the Company’s contractual or estimated performance period. Any unrecognized portion of license revenue is classified within deferred revenue in the accompanying condensed consolidated balance sheets. When management believes the license to its intellectual property has stand-alone value, the Company recognizes revenue attributed to the license upon delivery. The periods over which revenue is recognized is subject to estimates by management and may change over the course of the agreement. Such a change could have a material impact on the amount of revenue the Company records in future periods.</w:t>
      </w:r>
    </w:p>
    <w:p>
      <w:pPr>
        <w:spacing w:after="0" w:line="28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Milestones</w:t>
      </w:r>
    </w:p>
    <w:p>
      <w:pPr>
        <w:spacing w:after="0" w:line="11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Contingent consideration from activities that is earned upon the achievement of a substantive milestone is recognized in its entirety in the period in which the milestone is achieved. At the inception of each arrangement that includes milestone payments, the Company evaluates whether each milestone is substantive. This evaluation includes an assessment of whether: (a) the consideration is commensurate with either (1) the entity’s performance to achieve the milestone, or (2) the enhancement of the value of the delivered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line="257" w:lineRule="auto"/>
        <w:rPr>
          <w:sz w:val="20"/>
          <w:szCs w:val="20"/>
          <w:color w:val="auto"/>
        </w:rPr>
      </w:pPr>
      <w:r>
        <w:rPr>
          <w:rFonts w:ascii="Arial" w:cs="Arial" w:eastAsia="Arial" w:hAnsi="Arial"/>
          <w:sz w:val="18"/>
          <w:szCs w:val="18"/>
          <w:color w:val="auto"/>
        </w:rPr>
        <w:t>item(s) as a result of a specific outcome resulting from the entity’s performance to achieve the milestone, (b) the consideration relates solely to past performance and (c) the consideration is reasonable relative to all of the deliverables and payment terms within the arrangement. The Company evaluates factors such as the scientific, clinical, regulatory, commercial and other risks that must be overcome to achieve the respective milestone, the level of effort and investment required and whether the milestone consideration is reasonable relative to all deliverables and payment terms in the arrangement in making this assessment.</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See Note 9—Development, Commercialization and Supply Agreements for further information regarding licensing revenue and milestones primarily related to the Company’s multiple-element arrangement with Eddingpharm (Asia) Macao Commercial Offshore Limited.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Distribution Costs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records distribution costs related to shipping product to its customers, primarily through the use of common carriers or external distribution services, in cost of goods sold.</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Cash and Cash Equivalents and Restricted Cash</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credit losses.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impact of accounts receivable reserves on the gross trade accounts receivable balances as of September 30,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4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1"/>
              </w:rPr>
              <w:t>September 30, 2017</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trade accounts receivable</w:t>
            </w:r>
          </w:p>
        </w:tc>
        <w:tc>
          <w:tcPr>
            <w:tcW w:w="400" w:type="dxa"/>
            <w:vAlign w:val="bottom"/>
            <w:tcBorders>
              <w:top w:val="single" w:sz="8" w:color="auto"/>
            </w:tcBorders>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49,054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Trade allowances</w:t>
            </w:r>
          </w:p>
        </w:tc>
        <w:tc>
          <w:tcPr>
            <w:tcW w:w="4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(14,058)</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(3,743)</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Chargebacks</w:t>
            </w:r>
          </w:p>
        </w:tc>
        <w:tc>
          <w:tcPr>
            <w:tcW w:w="4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4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400" w:type="dxa"/>
            <w:vAlign w:val="bottom"/>
            <w:tcBorders>
              <w:top w:val="single" w:sz="8" w:color="auto"/>
              <w:bottom w:val="single" w:sz="8" w:color="auto"/>
            </w:tcBorders>
            <w:shd w:val="clear" w:color="auto" w:fill="CFF0FC"/>
          </w:tcPr>
          <w:p>
            <w:pPr>
              <w:jc w:val="right"/>
              <w:ind w:right="24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19,985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u w:val="single" w:color="auto"/>
          <w:color w:val="auto"/>
        </w:rPr>
        <w:t>Property, Plant and Equipment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provides for depreciation and amortization using the straight-line method by charges to operations in amounts that depreciate the cost of the fixed asset over its estimated useful life. The estimated useful lives, by asset classification, are as follows:</w:t>
      </w:r>
    </w:p>
    <w:p>
      <w:pPr>
        <w:spacing w:after="0" w:line="176" w:lineRule="exact"/>
        <w:rPr>
          <w:sz w:val="20"/>
          <w:szCs w:val="20"/>
          <w:color w:val="auto"/>
        </w:rPr>
      </w:pPr>
    </w:p>
    <w:tbl>
      <w:tblPr>
        <w:tblLayout w:type="fixed"/>
        <w:tblInd w:w="1280" w:type="dxa"/>
        <w:tblCellMar>
          <w:top w:w="0" w:type="dxa"/>
          <w:left w:w="0" w:type="dxa"/>
          <w:bottom w:w="0" w:type="dxa"/>
          <w:right w:w="0" w:type="dxa"/>
        </w:tblCellMar>
      </w:tblPr>
      <w:tr>
        <w:trPr>
          <w:trHeight w:val="171"/>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Asset Classification</w:t>
            </w: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89"/>
              </w:rPr>
              <w:t>Useful Lives</w:t>
            </w:r>
          </w:p>
        </w:tc>
      </w:tr>
      <w:tr>
        <w:trPr>
          <w:trHeight w:val="223"/>
        </w:trPr>
        <w:tc>
          <w:tcPr>
            <w:tcW w:w="5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80" w:type="dxa"/>
            <w:vAlign w:val="bottom"/>
            <w:tcBorders>
              <w:top w:val="single" w:sz="8" w:color="CFF0FC"/>
            </w:tcBorders>
            <w:shd w:val="clear" w:color="auto" w:fill="CFF0FC"/>
          </w:tcPr>
          <w:p>
            <w:pPr>
              <w:spacing w:after="0"/>
              <w:rPr>
                <w:sz w:val="19"/>
                <w:szCs w:val="19"/>
                <w:color w:val="auto"/>
              </w:rPr>
            </w:pPr>
          </w:p>
        </w:tc>
        <w:tc>
          <w:tcPr>
            <w:tcW w:w="3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3 - 5 years</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340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30"/>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Lesser of useful life or lease term</w:t>
            </w:r>
          </w:p>
        </w:tc>
      </w:tr>
    </w:tbl>
    <w:p>
      <w:pPr>
        <w:spacing w:after="0" w:line="242" w:lineRule="exact"/>
        <w:rPr>
          <w:sz w:val="20"/>
          <w:szCs w:val="20"/>
          <w:color w:val="auto"/>
        </w:rPr>
      </w:pPr>
    </w:p>
    <w:p>
      <w:pPr>
        <w:ind w:right="440" w:firstLine="518"/>
        <w:spacing w:after="0" w:line="381" w:lineRule="auto"/>
        <w:rPr>
          <w:sz w:val="20"/>
          <w:szCs w:val="20"/>
          <w:color w:val="auto"/>
        </w:rPr>
      </w:pPr>
      <w:r>
        <w:rPr>
          <w:rFonts w:ascii="Arial" w:cs="Arial" w:eastAsia="Arial" w:hAnsi="Arial"/>
          <w:sz w:val="15"/>
          <w:szCs w:val="15"/>
          <w:color w:val="auto"/>
        </w:rPr>
        <w:t>Upon retirement or sale of assets, the cost of the assets disposed and the related accumulated depreciation are removed from the condensed consolidated balance sheet and any resulting gain or loss is credited or expensed to operations. Repairs and maintenance costs are expensed as incurred.</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Long-Lived Asset Impairment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11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Intangible asset, net consists of a milestone payment paid to the former shareholders of Laxdale Limited related to the 2004 acquisition of the rights to Vascepa, which is the result of Vascepa receiving marketing approval for the first indication and is amortized over its estimated useful life on a straight-line basis. See Note 6—Commitments and Contingencies for further information regarding other obligations related to the acquisition of Laxdale Limited.</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Costs for Patent Litigation and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Costs for patent litigation or other legal proceedings are expensed as incurred and included in selling, general and administrative expenses.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charges selling, general and administrative costs to operations as incurred. Selling, general and administrative costs include salaries and benefits, stock-based compensation expense, and costs of programs and infrastructure necessary for the general conduct of the Company’s business, including those incurred as a result of the commercialization of Vascepa in the United States as well as co-promotion fees accrued under the agreement with Kowa Pharmaceuticals America, Inc.</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2" w:name="page13"/>
    <w:bookmarkEnd w:id="12"/>
    <w:p>
      <w:pPr>
        <w:ind w:right="300"/>
        <w:spacing w:after="0" w:line="277" w:lineRule="auto"/>
        <w:rPr>
          <w:sz w:val="20"/>
          <w:szCs w:val="20"/>
          <w:color w:val="auto"/>
        </w:rPr>
      </w:pPr>
      <w:r>
        <w:rPr>
          <w:rFonts w:ascii="Arial" w:cs="Arial" w:eastAsia="Arial" w:hAnsi="Arial"/>
          <w:sz w:val="18"/>
          <w:szCs w:val="18"/>
          <w:color w:val="auto"/>
        </w:rPr>
        <w:t>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regularly assesses its ability to realize deferred tax assets. Changes in historical earnings performance, future earnings projections, and changes in tax laws and tax rates, among other factors, may cause the Company to adjust its valuation allowance on deferred tax assets, which would impact the Company’s income tax expense in the period in which it is determined that these factors have changed.</w:t>
      </w:r>
    </w:p>
    <w:p>
      <w:pPr>
        <w:spacing w:after="0" w:line="18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Excess tax benefits and deficiencies that arise upon vesting or exercise of share-based payments are recognized as an income tax benefit and expense, respectively, in the condensed consolidated statement of operations. Excess income tax benefits and deficiencies are classified in cash flows from operating activities and cash paid to taxing authorities arising from the withholding of shares from employees are classified as cash flows from financing activities.</w:t>
      </w:r>
    </w:p>
    <w:p>
      <w:pPr>
        <w:spacing w:after="0" w:line="14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Company’s and its subsidiaries’ income tax returns are periodically examined by various tax authorities. The Company is currently undergoing federal and state tax audits, including audit by the United States Internal Revenue Service (IRS) for the years 2013 to 2014. Although the outcome of tax audits is always uncertain and could result in significant cash tax payments, the Company does not believe the outcome of these audits will have a material adverse effect on its consolidated financial position or results of operations.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Derivative financial liabilities are recorded at fair value, with gains and losses arising for changes in fair value recognized in the condensed consolidated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Long-term debt redemption features are valued using probability-weighted models incorporating management estimates for potential change in control, and by determining the fair value of the debt with and without the change in control provision included.</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 However, in certain periods in which there is a gain recorded pursuant to the change in fair value of the warrant derivative liability, for diluted net loss per share purposes, the impact of such gains is reversed and the treasury stock method is used to determine diluted net loss per share.</w:t>
      </w:r>
    </w:p>
    <w:p>
      <w:pPr>
        <w:spacing w:after="0" w:line="189"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preferred stock based on their contractual entitlements assuming all earnings were distributed.</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calculation of net loss and the number of shares used to compute basic and diluted net loss per share for the three and nine months ended September 30, 2017 and 2016 are as follows:</w:t>
      </w:r>
    </w:p>
    <w:p>
      <w:pPr>
        <w:spacing w:after="0" w:line="163"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4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4440" w:type="dxa"/>
            <w:vAlign w:val="bottom"/>
            <w:tcBorders>
              <w:bottom w:val="single" w:sz="8" w:color="CFF0FC"/>
            </w:tcBorders>
            <w:vMerge w:val="continue"/>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Net loss—basic and diluted</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(15,772)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(45,400)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w w:val="96"/>
              </w:rPr>
              <w:t>Weighted average shares outstanding—basic and diluted</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270,803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209,149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270,566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192,618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share—basic and diluted</w:t>
            </w:r>
          </w:p>
        </w:tc>
        <w:tc>
          <w:tcPr>
            <w:tcW w:w="5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(0.04)</w:t>
            </w: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(0.08)</w:t>
            </w:r>
          </w:p>
        </w:tc>
        <w:tc>
          <w:tcPr>
            <w:tcW w:w="2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(0.17)</w:t>
            </w: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three and nine months ended September 30, 2017 and 2016, the following potentially dilutive securities were not included in the computation of net loss per share because the effect would be anti-dilutive: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tbl>
      <w:tblPr>
        <w:tblLayout w:type="fixed"/>
        <w:tblInd w:w="1200" w:type="dxa"/>
        <w:tblCellMar>
          <w:top w:w="0" w:type="dxa"/>
          <w:left w:w="0" w:type="dxa"/>
          <w:bottom w:w="0" w:type="dxa"/>
          <w:right w:w="0" w:type="dxa"/>
        </w:tblCellMar>
      </w:tblPr>
      <w:tr>
        <w:trPr>
          <w:trHeight w:val="171"/>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2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380" w:type="dxa"/>
            <w:vAlign w:val="bottom"/>
            <w:gridSpan w:val="4"/>
          </w:tcPr>
          <w:p>
            <w:pPr>
              <w:ind w:left="8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56"/>
        </w:trPr>
        <w:tc>
          <w:tcPr>
            <w:tcW w:w="4040" w:type="dxa"/>
            <w:vAlign w:val="bottom"/>
            <w:gridSpan w:val="2"/>
            <w:vMerge w:val="continue"/>
          </w:tcPr>
          <w:p>
            <w:pPr>
              <w:spacing w:after="0"/>
              <w:rPr>
                <w:sz w:val="13"/>
                <w:szCs w:val="13"/>
                <w:color w:val="auto"/>
              </w:rPr>
            </w:pPr>
          </w:p>
        </w:tc>
        <w:tc>
          <w:tcPr>
            <w:tcW w:w="108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23,631</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21,241</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23,631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and restricted 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11,887</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10,346</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11,887</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Exchangeable senior notes (if converted)</w:t>
            </w:r>
          </w:p>
        </w:tc>
        <w:tc>
          <w:tcPr>
            <w:tcW w:w="1080" w:type="dxa"/>
            <w:vAlign w:val="bottom"/>
          </w:tcPr>
          <w:p>
            <w:pPr>
              <w:jc w:val="right"/>
              <w:spacing w:after="0"/>
              <w:rPr>
                <w:sz w:val="20"/>
                <w:szCs w:val="20"/>
                <w:color w:val="auto"/>
              </w:rPr>
            </w:pPr>
            <w:r>
              <w:rPr>
                <w:rFonts w:ascii="Arial" w:cs="Arial" w:eastAsia="Arial" w:hAnsi="Arial"/>
                <w:sz w:val="18"/>
                <w:szCs w:val="18"/>
                <w:color w:val="auto"/>
              </w:rPr>
              <w:t>7,716</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1,714</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7,716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(if converted)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32,818</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32,818</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32,818</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Debt instruments are initially recorded at fair value, with coupon interest and amortization of debt issuance discounts recognized in the condensed consolidated statement of operations as interest expense each period in which such instruments are outstanding. If the Company issues shares to discharge the liability, the debt obligation is derecognized and common stock and additional paid-in capital are recognized on the issuance of those shares.</w:t>
      </w:r>
    </w:p>
    <w:p>
      <w:pPr>
        <w:spacing w:after="0" w:line="147"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The 2012 Notes could be settled in any combination of ADSs or cash, at the Company’s discretion, upon conversion and were therefore accounted for in accordance with ASC 470-20. Under ASC 470-20, the fair value of the liability component of the 2012 Notes was determined and deducted from the initial proceeds to determine the proceeds allocated to the conversion option, which was recorded in equity. The difference between the initial fair value of the liability component and the amount repayable was fully amortized over the expected term of the instrument. The conversion feature in the 2012 Notes qualified for the exception from derivative accounting in accordance with ASC 815-10. The terms of the 2012 Notes also allowed for repurchase in cash by the Company at the option of the holders as well as redemption by the Company for cash at specified times. Consequently, in January 2017, holders of the 2012 Notes exercised their option to put approximately $15.0 million in aggregate principal amount of 2012 Notes to the Company for cash and, in March 2017, the Company redeemed the entirety of the remaining $0.1 million in aggregate principal amount of 2012 Notes, such that no 2012 Notes remained outstanding as of September 30, 2017. The carrying value of the conversion option will remain in equity hereafter as a result of the repayment in full of the related debt instrument.</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2017 Notes can only be settled in ADSs upon conversion. The terms of the 2017 Notes also allow for repurchase in cash by the Company at the option of the holders as well as redemption by the Company for cash at specified times. The conversion feature in the 2017 Notes qualifies for the exception from derivative accounting in accordance with ASC 815-10 and is therefore accounted for as part of the debt host. The conversion feature in the 2017 Notes will continue to be evaluated on a quarterly basis to determine if it still receives an exception from derivative accounting in accordance with ASC 815-10. The 2017 Notes were recognized at par of $30.0 million. The Company also recognized a $1.2 million discount related to placement agent fees and offering expenses. This discount is being amortized through interest expense over the expected term of the 2017 Notes, through the first optional put date in January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Note 5—Debt for full discussion of the 2012 Notes and 2017 Notes.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Stock-based compensation cost is generally measured at the grant date, based on the fair value of the award, and is recognized as compensation expense over the requisite service period. For awards with performance conditions, if the achievement of the performance conditions is deemed probable, the Company recognizes compensation expense based on the fair value of the award over the estimated service period. The Company reassesses the probability of achievement of the performance conditions for such awards each reporting period.</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The Company’s top three customers accounted for 90% and 95% of gross product sales for the nine months ended September 30, 2017 and 2016, respectively, and represented 87% and 95% of the gross accounts receivable balance as of September 30, 2017 and 2016, respectively. The Company has not experienced any write-offs of its accounts receivable.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has contractual freedom to source the API for Vascepa and has entered into supply agreements with multiple suppliers. The Company’s supply of product for commercial sale and clinical trials is dependent upon relationships with third-party manufacturers and key suppliers.</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termination of the Company’s current supply chain or its failure to enter into new and similar agreements in a timely fashion, if needed, could have a material adverse effect on its business, condition (financial and other), prospects or results of operations.</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 currently has manufacturing agreements with three FDA-approved commercial API manufacturers and encapsulators for Vascepa manufacturing. Each of these companies has qualified its manufacturing processes and is capable of manufacturing Vascepa. There can be no guarantee that these or other suppliers with which the Company may contract in the future to encapsulate API will remain qualified to manufacture the product to its specifications or that these and any future suppliers will have the manufacturing capacity to meet anticipated demand for Vascepa.</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11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All subsidiaries use the U.S. dollar as the functional currency. Monetary assets and liabilities denominated in a foreign currency are remeasured into U.S. dollars at period-end exchange rates. Gains and losses from the remeasurement are included in other income (expense), net in the condensed consolidated statements of operations. For transactions settled during the applicable period, gains and losses are included in other income (expense), net in the condensed consolidated statements of operations. Certain amounts payable pursuant to supply contracts are denominated in currencies other than the U.S. dollar.</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11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 Company records debt issuance costs related to a recognized debt liability in the condensed consolidated balance sheet as a direct deduction from the carrying amount of that debt liability and amortizes such costs to interest expense using the effective interest method over the expected term of the related debt. Unamortized debt issuance costs related to the extinguishment of debt are expensed at the time the debt is extinguished and recorded in other income (expense), net in the condensed consolidated statements of operations.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1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following tables present information about the Company’s assets and liabilities as of September 30, 2017 and December 31, 2016 that are measured at fair value on a recurring basis and indicate the fair value hierarchy of the valuation techniques the Company utilized to determine such fair value: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gridSpan w:val="2"/>
            <w:vMerge w:val="restart"/>
          </w:tcPr>
          <w:p>
            <w:pPr>
              <w:ind w:left="580"/>
              <w:spacing w:after="0"/>
              <w:rPr>
                <w:sz w:val="20"/>
                <w:szCs w:val="20"/>
                <w:color w:val="auto"/>
              </w:rPr>
            </w:pPr>
            <w:r>
              <w:rPr>
                <w:rFonts w:ascii="Arial" w:cs="Arial" w:eastAsia="Arial" w:hAnsi="Arial"/>
                <w:sz w:val="14"/>
                <w:szCs w:val="14"/>
                <w:b w:val="1"/>
                <w:bCs w:val="1"/>
                <w:i w:val="1"/>
                <w:iCs w:val="1"/>
                <w:color w:val="auto"/>
              </w:rPr>
              <w:t>In thousands</w:t>
            </w:r>
          </w:p>
        </w:tc>
        <w:tc>
          <w:tcPr>
            <w:tcW w:w="1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ind w:left="360"/>
              <w:spacing w:after="0"/>
              <w:rPr>
                <w:sz w:val="20"/>
                <w:szCs w:val="20"/>
                <w:color w:val="auto"/>
              </w:rPr>
            </w:pPr>
            <w:r>
              <w:rPr>
                <w:rFonts w:ascii="Arial" w:cs="Arial" w:eastAsia="Arial" w:hAnsi="Arial"/>
                <w:sz w:val="14"/>
                <w:szCs w:val="14"/>
                <w:b w:val="1"/>
                <w:bCs w:val="1"/>
                <w:color w:val="auto"/>
              </w:rPr>
              <w:t>September 30, 2017</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60" w:type="dxa"/>
            <w:vAlign w:val="bottom"/>
            <w:gridSpan w:val="2"/>
            <w:vMerge w:val="continue"/>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4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8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15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9,296</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9,296</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660"/>
              <w:spacing w:after="0"/>
              <w:rPr>
                <w:sz w:val="20"/>
                <w:szCs w:val="20"/>
                <w:color w:val="auto"/>
              </w:rPr>
            </w:pPr>
            <w:r>
              <w:rPr>
                <w:rFonts w:ascii="Arial" w:cs="Arial" w:eastAsia="Arial" w:hAnsi="Arial"/>
                <w:sz w:val="18"/>
                <w:szCs w:val="18"/>
                <w:color w:val="auto"/>
              </w:rPr>
              <w:t>—   $</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560" w:type="dxa"/>
            <w:vAlign w:val="bottom"/>
            <w:vMerge w:val="restart"/>
          </w:tcPr>
          <w:p>
            <w:pPr>
              <w:jc w:val="right"/>
              <w:ind w:right="30"/>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5" w:name="page16"/>
    <w:bookmarkEnd w:id="15"/>
    <w:tbl>
      <w:tblPr>
        <w:tblLayout w:type="fixed"/>
        <w:tblInd w:w="580" w:type="dxa"/>
        <w:tblCellMar>
          <w:top w:w="0" w:type="dxa"/>
          <w:left w:w="0" w:type="dxa"/>
          <w:bottom w:w="0" w:type="dxa"/>
          <w:right w:w="0" w:type="dxa"/>
        </w:tblCellMar>
      </w:tblPr>
      <w:tr>
        <w:trPr>
          <w:trHeight w:val="171"/>
        </w:trPr>
        <w:tc>
          <w:tcPr>
            <w:tcW w:w="39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December 31, 2016</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2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4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86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1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14,238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14,238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660"/>
              <w:spacing w:after="0"/>
              <w:rPr>
                <w:sz w:val="20"/>
                <w:szCs w:val="20"/>
                <w:color w:val="auto"/>
              </w:rPr>
            </w:pPr>
            <w:r>
              <w:rPr>
                <w:rFonts w:ascii="Arial" w:cs="Arial" w:eastAsia="Arial" w:hAnsi="Arial"/>
                <w:sz w:val="18"/>
                <w:szCs w:val="18"/>
                <w:color w:val="auto"/>
              </w:rPr>
              <w:t>—   $</w:t>
            </w: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carrying amounts of cash, cash equivalents, accounts payable and accrued liabilities approximate fair value because of their short-term nature. The carrying amounts and the estimated fair values of debt instruments as of September 30, 2017 and December 31, 2016 are as follows: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4"/>
          </w:tcPr>
          <w:p>
            <w:pPr>
              <w:jc w:val="right"/>
              <w:ind w:right="577"/>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57"/>
              <w:spacing w:after="0" w:line="133" w:lineRule="exact"/>
              <w:rPr>
                <w:sz w:val="20"/>
                <w:szCs w:val="20"/>
                <w:color w:val="auto"/>
              </w:rPr>
            </w:pPr>
            <w:r>
              <w:rPr>
                <w:rFonts w:ascii="Arial" w:cs="Arial" w:eastAsia="Arial" w:hAnsi="Arial"/>
                <w:sz w:val="14"/>
                <w:szCs w:val="14"/>
                <w:b w:val="1"/>
                <w:bCs w:val="1"/>
                <w:color w:val="auto"/>
              </w:rPr>
              <w:t>Carrying</w:t>
            </w: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37"/>
              <w:spacing w:after="0" w:line="133" w:lineRule="exact"/>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57"/>
              <w:spacing w:after="0" w:line="133" w:lineRule="exact"/>
              <w:rPr>
                <w:sz w:val="20"/>
                <w:szCs w:val="20"/>
                <w:color w:val="auto"/>
              </w:rPr>
            </w:pPr>
            <w:r>
              <w:rPr>
                <w:rFonts w:ascii="Arial" w:cs="Arial" w:eastAsia="Arial" w:hAnsi="Arial"/>
                <w:sz w:val="14"/>
                <w:szCs w:val="14"/>
                <w:b w:val="1"/>
                <w:bCs w:val="1"/>
                <w:color w:val="auto"/>
              </w:rPr>
              <w:t>Carrying</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77"/>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237"/>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57"/>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long-term debt from royalty-bearing</w:t>
            </w:r>
          </w:p>
        </w:tc>
        <w:tc>
          <w:tcPr>
            <w:tcW w:w="6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instrument, net of accrued interest</w:t>
            </w:r>
          </w:p>
        </w:tc>
        <w:tc>
          <w:tcPr>
            <w:tcW w:w="8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19,624</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8,437</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debt from royalty-bearing instrument</w:t>
            </w:r>
          </w:p>
        </w:tc>
        <w:tc>
          <w:tcPr>
            <w:tcW w:w="6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75,559</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85,155</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 from royalty-bearing instrument</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95,183</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90,400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93,592</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2012 Notes</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15,107</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2017 Notes</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estimated fair value of the long-term debt from royalty-bearing instrument pursuant to the December 2012 financing is calculated utilizing the same Level 3 inputs utilized in valuing the related derivative liability (see Derivative Liabilities below). The estimated fair value of the 2017 Notes is calculated based on Level 1 quoted bond prices or, in the absence of quoted bond prices, is calculated using a Level 3 binomial model. The carrying value of the 2012 Notes as of December 31, 2016 did not include a debt discount, as it had been fully amortized as non-cash interest expense over the expected term of the 2012 Notes, which was calculated to be a period of twenty-four months. During the first quarter of 2017, the Company repurchased $15.0 million in aggregate principal amount of 2012 Notes at the option of holders and redeemed the remaining $0.1 million in aggregate principal amount at the Company’s option, such that no 2012 Notes remained outstanding as of September 30, 2017. The carrying value of the 2017 Notes as of September 30, 2017 includes a debt discount of $1.1 million, which is being amortized as non-cash interest expense over the expected term of the 2017 Notes, through the first optional put date in January 2022. The change in the estimated fair values of these liabilities from December 31, 2016 to September 30, 2017 is largely related to financing activities and changes in the quoted bond prices.</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Derivative Liabilities</w:t>
      </w:r>
    </w:p>
    <w:p>
      <w:pPr>
        <w:spacing w:after="0" w:line="11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Company’s December 2012 financing agreement with BioPharma Secured Debt Fund II Holdings Cayman LP (discussed in Note 5—Debt) contains a redemption feature whereby, upon a change of control, the Company would be required to repay $150.0 million, less any previously repaid amount.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 The difference between the two was determined to be the fair value of the embedded derivative. The fair value of this derivative liability is remeasured at each reporting period, with changes in fair value recognized in the condensed consolidated statement of operations. As of September 30, 2017, the fair value of the derivative was determined to be nil based on current assumptions, and the debt was valued by comparing debt issues of similar companies with (i) remaining terms of between 2.5 and 4.5 years, (ii) coupon rates of between 5.8% and 10.8% and (iii) market yields of between 9.1% and 17.5%. As of December 31, 2016, the fair value of the derivative was determined to be nil based on underlying assumptions, and the debt was valued by comparing debt issues of similar companies with (i) remaining terms of between 2.4 and 5.0 years, (ii) coupon rates of between 8.1% and</w:t>
      </w:r>
    </w:p>
    <w:p>
      <w:pPr>
        <w:spacing w:after="0" w:line="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11.1% and (iii) market yields of between 11.9% and 18.4%. As such, the Company recognized no gain or loss on change in fair value of derivative liability for the nine months ended September 30, 2017. As of September 30, 2016, the fair value of the derivative was determined to be nil and, as of December 31, 2015, the fair value of the derivative was determined to be $5.5 million. As such, the Company recognized a $5.5 million gain on change in fair value of derivative liability for the nine months ended September 30, 2016.</w:t>
      </w:r>
    </w:p>
    <w:p>
      <w:pPr>
        <w:spacing w:after="0" w:line="1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2014 Notes and 2015 Notes each contained a redemption feature whereby, upon occurrence of a change in control, the Company would have been required to repurchase the notes. The Company determined these redemption features to be embedded derivatives, requiring bifurcation in accordance with ASC 815. The derivatives were carried at fair value and were classified as Level 3 in the fair value hierarchy due to the use of significant unobservable inputs. The fair value of each embedded derivative was calculated using a probability-weighted model incorporating management estimates of the probability of a change in control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16" w:name="page17"/>
    <w:bookmarkEnd w:id="16"/>
    <w:p>
      <w:pPr>
        <w:spacing w:after="0" w:line="254" w:lineRule="auto"/>
        <w:rPr>
          <w:sz w:val="20"/>
          <w:szCs w:val="20"/>
          <w:color w:val="auto"/>
        </w:rPr>
      </w:pPr>
      <w:r>
        <w:rPr>
          <w:rFonts w:ascii="Arial" w:cs="Arial" w:eastAsia="Arial" w:hAnsi="Arial"/>
          <w:sz w:val="18"/>
          <w:szCs w:val="18"/>
          <w:color w:val="auto"/>
        </w:rPr>
        <w:t>occurring, and by determining the fair value of the debt with and without the change in control provision included. The difference between the two was determined to be the fair value of the embedded derivative. The fair value of these derivative liabilities was remeasured at each reporting period, with changes in fair value recognized in the condensed consolidated statement of operations. These derivative liabilities were derecognized in September 2016 and therefore no gain or loss on change in fair value of derivative liability was recognized for the nine months ended September 30, 2017. As of September 30, 2016, the fair values of the derivatives related to the 2014 Notes and 2015 Notes were derecognized, and, as of December 31, 2015, the fair values of the derivatives related to the 2014 Notes and 2015 Notes were determined to be $2.1 million and $0.6 million, respectively. As such, the Company recognized a $2.1 million gain and $0.6 million gain on change in fair value of derivative liability for the 2014 Notes and 2015 Notes, respectively, for the nine months ended September 30, 2016.</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changes in the assumptions used to value the derivative liabilities, including the probability of a change in control, could result in a material change to the carrying value of such liabilities.</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early adopted by the Company or adopted as of the specified effective date. The Company also considered the following recent accounting pronouncements which were not yet adopted as of September 30, 2017:</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May 2017, the FASB issued Accounting Standards Update (“ASU”) No. 2017-09, </w:t>
      </w:r>
      <w:r>
        <w:rPr>
          <w:rFonts w:ascii="Arial" w:cs="Arial" w:eastAsia="Arial" w:hAnsi="Arial"/>
          <w:sz w:val="17"/>
          <w:szCs w:val="17"/>
          <w:i w:val="1"/>
          <w:iCs w:val="1"/>
          <w:color w:val="auto"/>
        </w:rPr>
        <w:t>Compensation—Stock Compensation: Scope of Modification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The amendments in ASU No. 2017-09 provide guidance about which changes to the terms or conditions of a share-based payment award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an entity to apply modification accounting in Topic 718. The new guidance is effective for fiscal years beginning after December 15, 2017, including interim periods within those fiscal years, with early adoption permitted. The Company has evaluated the accounting, transition and disclosure requirements of these standards and does not expect them to have a material impact on the Company’s consolidated financial statements.</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which is intended to reduce diversity in practice regarding how certain cash receipts and cash payments related to eight specific issues are presented and classified in the statement of cash flows. 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requires that the statement of cash flows explain the change during the period in the total of cash, cash equivalents, and amounts generally described as restricted cash or restricted cash equivalents. For each of these ASUs, the new guidance is effective for fiscal years beginning after December 15, 2017, including interim periods within those fiscal years, with early adoption permitted. The Company has evaluated the accounting, transition and disclosure requirements of these standards and does not expect them to have a material impact on the Company’s consolidated financial statements.</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In March 2016, the FASB issued ASU No. 2016-08, </w:t>
      </w:r>
      <w:r>
        <w:rPr>
          <w:rFonts w:ascii="Arial" w:cs="Arial" w:eastAsia="Arial" w:hAnsi="Arial"/>
          <w:sz w:val="16"/>
          <w:szCs w:val="16"/>
          <w:i w:val="1"/>
          <w:iCs w:val="1"/>
          <w:color w:val="auto"/>
        </w:rPr>
        <w:t>Revenue from Contracts with Customers (Topic 606): Principal versus Agent Considerations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Gross versus Net)</w:t>
      </w:r>
      <w:r>
        <w:rPr>
          <w:rFonts w:ascii="Arial" w:cs="Arial" w:eastAsia="Arial" w:hAnsi="Arial"/>
          <w:sz w:val="16"/>
          <w:szCs w:val="16"/>
          <w:color w:val="auto"/>
        </w:rPr>
        <w:t>, which clarifies that an entity is a principal when it controls the specified good or service before that good or service is transferred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the customer, and is an agent when it does not control the specified good or service before it is transferred to the customer. The new guidance is intended to improve the operability and understandability of the implementation guidance on principal versus agent considerations. In April 2016, the FASB issued ASU No. 2016-10, </w:t>
      </w:r>
      <w:r>
        <w:rPr>
          <w:rFonts w:ascii="Arial" w:cs="Arial" w:eastAsia="Arial" w:hAnsi="Arial"/>
          <w:sz w:val="16"/>
          <w:szCs w:val="16"/>
          <w:i w:val="1"/>
          <w:iCs w:val="1"/>
          <w:color w:val="auto"/>
        </w:rPr>
        <w:t>Revenue from Contracts with Customers (Topic 606): Identifying Performance Obligations and Licensing</w:t>
      </w:r>
      <w:r>
        <w:rPr>
          <w:rFonts w:ascii="Arial" w:cs="Arial" w:eastAsia="Arial" w:hAnsi="Arial"/>
          <w:sz w:val="16"/>
          <w:szCs w:val="16"/>
          <w:color w:val="auto"/>
        </w:rPr>
        <w:t xml:space="preserve">, which clarifies the following two aspects of Topic 606: (a) identifying performance obligations; and (b) the licensing implementation guidance. Further, in May 2016, the FASB issued ASU No. 2016-12, </w:t>
      </w:r>
      <w:r>
        <w:rPr>
          <w:rFonts w:ascii="Arial" w:cs="Arial" w:eastAsia="Arial" w:hAnsi="Arial"/>
          <w:sz w:val="16"/>
          <w:szCs w:val="16"/>
          <w:i w:val="1"/>
          <w:iCs w:val="1"/>
          <w:color w:val="auto"/>
        </w:rPr>
        <w:t>Revenue from Contracts with Customers (Topic 606): Narrow-Scope Improvements and Practical Expedients</w:t>
      </w:r>
      <w:r>
        <w:rPr>
          <w:rFonts w:ascii="Arial" w:cs="Arial" w:eastAsia="Arial" w:hAnsi="Arial"/>
          <w:sz w:val="16"/>
          <w:szCs w:val="16"/>
          <w:color w:val="auto"/>
        </w:rPr>
        <w:t>, which provides clarifying guidance in certain narrow areas and adds some practical expedients. The amendments do not change the core principles of the guidance in Topic 606 and are effective for the Company’s fiscal year beginning January 1, 2018. Early application is permitted only as of annual reporting periods beginning after December 15, 2016, including interim reporting periods within that reporting period. The Company is currently evaluating the accounting, transition and disclosure requirements of these standards and cannot currently estimate the financial statement impact of adoption.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spacing w:after="0" w:line="25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new guidance will require lessees to recognize a right-of-use asset and a lease liability for virtually all of their leases (other than leases that meet the definition of a short-term lease). The liability will be equal to the present value of lease payments. The asset will be based on the liability, subject to adjustment, such as for initial direct costs. Under the new guidance, lessor accounting is largely unchanged but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and therefore, will no longer be provided with a source of off-balance sheet financing. The new guidance is effective for fiscal years beginning after December 15, 2018, including interim periods within those fiscal years. Early adoption is permitted. The Company is currently evaluating the accounting, transition and disclosure requirements of the standard and cannot currently estimate the financial statement impact of adoption.</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Instruments—Overall (Subtopic 825-10): 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Financial Liabilities. </w:t>
      </w:r>
      <w:r>
        <w:rPr>
          <w:rFonts w:ascii="Arial" w:cs="Arial" w:eastAsia="Arial" w:hAnsi="Arial"/>
          <w:sz w:val="16"/>
          <w:szCs w:val="16"/>
          <w:color w:val="auto"/>
        </w:rPr>
        <w:t>The new guidance is intended to improve the recognition and measurement of financial instruments by requiring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presentation of financial assets and financial liabilities by measurement category and form of financial asset (i.e., securities or loans and receivables) within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at amortized cost within the balance sheet, requiring public business entities to use the exit price notion when measuring the fair value of financial instruments for disclosure purposes, requiring equity investments (except those accounted for under the equity method of accounting, or those that result in consolidation of the investee) to be measured at fair value with changes in fair value recognized in net income, and requiring a reporting organization to present separately in other comprehensive income the portion of the total change in the fair value of a liability resulting from a change in the instrument-specific credit risk (also referred to as “own credit”) when the organization has elected to measure the liability at fair value in accordance with the fair value option for financial instruments, among others. The new guidance is effective for fiscal years beginning after December 15, 2017, including interim periods within those fiscal years. The new guidance permits early adoption of the own credit provision. The Company is currently evaluating the accounting, transition and disclosure requirements of the standard and cannot currently estimate the financial statement impact of adoption.</w:t>
      </w:r>
    </w:p>
    <w:p>
      <w:pPr>
        <w:spacing w:after="0" w:line="175" w:lineRule="exact"/>
        <w:rPr>
          <w:sz w:val="20"/>
          <w:szCs w:val="20"/>
          <w:color w:val="auto"/>
        </w:rPr>
      </w:pPr>
    </w:p>
    <w:p>
      <w:pPr>
        <w:jc w:val="both"/>
        <w:ind w:right="140"/>
        <w:spacing w:after="0" w:line="285"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will replace numerous requirements in U.S. GAAP, including industry-specific requirements. This guidance provides a five-step model to be applied to all contracts with customers, with an underlying principle that an entity will recognize revenue to depict the transfer of goods or services to customers at an amount that the entity expects to be entitled to in exchange for those goods or services. ASU No. 2014-09 requires extensive quantitative and qualitative disclosures covering the nature, amount, timing and uncertainty of revenue and cash flows arising from customer contracts, including disclosures on significant judgments made when applying the guidance.</w:t>
      </w:r>
    </w:p>
    <w:p>
      <w:pPr>
        <w:spacing w:after="0" w:line="2"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This guidance is effective for annual reporting periods beginning after December 15, 2017 and interim periods therein. Early adoption is permitted for reporting periods and interim periods therein, beginning after December 15, 2016. An entity can elect to apply the guidance under one of the following two methods: (i) retrospectively to each prior reporting period presented, referred to as the full retrospective method, or (ii) retrospectively with the cumulative effect of initially applying the standard recognized at the date of initial application in retained earnings, referred to as the modified retrospective method.</w:t>
      </w:r>
    </w:p>
    <w:p>
      <w:pPr>
        <w:spacing w:after="0" w:line="1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has completed an initial impact assessment of the potential changes from adopting ASU No. 2014-09. The impact assessment consisted of a review of a representative sample of contracts, discussions with key stakeholders, and a cataloging of potential impacts on its financial statements, accounting policies, financial control, and operations. The Company anticipates that the adoption of ASU No. 2014-09 will not have a material impact on product revenue from distributors and may have an impact on contract revenues generated by its license agreements:</w:t>
      </w:r>
    </w:p>
    <w:p>
      <w:pPr>
        <w:spacing w:after="0" w:line="171" w:lineRule="exact"/>
        <w:rPr>
          <w:sz w:val="20"/>
          <w:szCs w:val="20"/>
          <w:color w:val="auto"/>
        </w:rPr>
      </w:pPr>
    </w:p>
    <w:p>
      <w:pPr>
        <w:ind w:left="1040" w:right="260" w:hanging="519"/>
        <w:spacing w:after="0" w:line="286"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the model for distinct licenses of functional intellectual property which may result in a timing difference of revenue recognition. Whereas revenue from these arrangements was previously recognized over a period of time pursuant to the multiple element arrangement guidance, revenue from these arrangements may now be recognized at a point in time under the new guidance.</w:t>
      </w:r>
    </w:p>
    <w:p>
      <w:pPr>
        <w:spacing w:after="0" w:line="57" w:lineRule="exact"/>
        <w:rPr>
          <w:rFonts w:ascii="Arial" w:cs="Arial" w:eastAsia="Arial" w:hAnsi="Arial"/>
          <w:sz w:val="17"/>
          <w:szCs w:val="17"/>
          <w:color w:val="auto"/>
        </w:rPr>
      </w:pPr>
    </w:p>
    <w:p>
      <w:pPr>
        <w:ind w:left="1040" w:right="20" w:hanging="519"/>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Assessments of milestone payments, which are linked to events that are in the Company’s control, will result in variable consideration that may be recognized at an earlier point in time under the new guidance, when it is probable that the milestone will be achieved without a significant future reversal of cumulative revenue expected.</w:t>
      </w:r>
    </w:p>
    <w:p>
      <w:pPr>
        <w:spacing w:after="0" w:line="18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Company has not yet completed its final review of the impact of this guidance; however, the Company anticipates applying the modified retrospective method when implementing this guidance. The Company plans to adopt the new standard effective January 1, 2018. The Company continues to monitor additional changes, modifications, clarifications or interpretations being undertaken by the FASB, which may impact its current conclusions.</w:t>
      </w:r>
    </w:p>
    <w:p>
      <w:pPr>
        <w:spacing w:after="0" w:line="147"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Company believes that the impact of other recently issued but not yet adopted accounting pronouncements will not have a material impact on the Company’s consolidated financial position, results of operations, and cash flows, or do not apply to the Company’s operations.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8" w:name="page19"/>
    <w:bookmarkEnd w:id="18"/>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consist of the historical acquisition cost of certain technology rights for Vascepa and have an estimated remaining useful life of 12.8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as of September 30, 2017 and December 31, 2016 is as follows: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Technology rights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(3,337)</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(2,852)</w:t>
            </w:r>
          </w:p>
        </w:tc>
      </w:tr>
      <w:tr>
        <w:trPr>
          <w:trHeight w:val="223"/>
        </w:trPr>
        <w:tc>
          <w:tcPr>
            <w:tcW w:w="54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capitalizes its purchases of saleable inventory of Vascepa from suppliers that have been qualified by the FDA. Inventories as of September 30, 2017 and December 31, 2016 consist of the following:</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7,278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10,716</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5,361</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inventory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28,550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20,507</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Long-Term Debt from Royalty-Bearing Instrument—December 2012 Financing</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December 6, 2012, the Company entered into an agreement with BioPharma Secured Debt Fund II Holdings Cayman LP, or BioPharma. Under this agreement, the Company granted to BioPharma a security interest in future receivables associated with the Vascepa patent rights, in exchange for $100.0 million received at the closing of the agreement which occurred in December 2012. Under these terms, the Company continues to own all Vascepa intellectual property rights, however, such rights, as described below, could be used by BioPharma as collateral for repayment of the remaining unpaid balance under this agreement if the Company defaults on making required payments. In the agreement, the Company agreed to repay BioPharma up to $150.0 million with such repayment based on a portion of revenues and receivables generated from Vascepa.</w:t>
      </w:r>
    </w:p>
    <w:p>
      <w:pPr>
        <w:spacing w:after="0" w:line="17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of September 30, 2017, the remaining amount to be repaid to BioPharma is $113.8 million. During the three and nine months ended September 30, 2017, the Company made repayments under the agreement of $4.5 million and $11.8 million, respectively, to BioPharma and an additional $4.7 million is scheduled to be paid in November 2017 for the third quarter of 2017. All payments to date have been calculated based on the threshold limitation, as described below, as opposed to the contractual quarterly repayments scheduled through May 2017. Additional quarterly repayments are scheduled to be paid after May 2017, subject only to the threshold limitation. All such payments reduce the remainder of the $150.0 million in aggregate payments to BioPharma.</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These quarterly payments are subject to a quarterly threshold amount whereby, if a calculated threshold, based on quarterly Vascepa revenues, is not achieved, the quarterly payment payable in that quarter can, at the Company’s election, be reduced, with the reduction carried forward without interest for payment in a future period. The payment of any carried forward amount is subject to similarly calculated threshold repayment amounts based on Vascepa revenue levels.</w:t>
      </w:r>
    </w:p>
    <w:p>
      <w:pPr>
        <w:ind w:right="20"/>
        <w:spacing w:after="0" w:line="254" w:lineRule="auto"/>
        <w:rPr>
          <w:sz w:val="20"/>
          <w:szCs w:val="20"/>
          <w:color w:val="auto"/>
        </w:rPr>
      </w:pPr>
      <w:r>
        <w:rPr>
          <w:rFonts w:ascii="Arial" w:cs="Arial" w:eastAsia="Arial" w:hAnsi="Arial"/>
          <w:sz w:val="18"/>
          <w:szCs w:val="18"/>
          <w:color w:val="auto"/>
        </w:rPr>
        <w:t>Except upon a change of control in Amarin, the agreement does not expire until $150.0 million in aggregate has been repaid. Except in the event of the Company’s default, there is no compounding of interest and no scheduled cliff payment due under this agreement. Rather, payment will be made, subject to the threshold limitation, until $150.0 million in aggregate has been repaid, including payments made previously. The Company can prepay an amount equal to $150.0 million less any previously repaid amount.</w:t>
      </w:r>
    </w:p>
    <w:p>
      <w:pPr>
        <w:spacing w:after="0" w:line="19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For each quarterly period since the inception of the debt, revenues were below the contractual threshold amount such that cash payments were calculated for each period reflecting the optional reduction amount as opposed to the contractual threshold payment due for each quarterly period. In accordance with the agreement with BioPharma, quarterly differences between the calculated optional reduction amounts and the repayment schedule amounts were rescheduled for payment beginning in the second quarter of 2017. Any such deferred repayments will remain subject to continued application of the quarterly ceiling in amounts due established by the calculated threshold limitation based on quarterly Vascepa revenues. No additional interest expense or liability is incurred as a result of such deferred repayments. These estimates will be reevaluated each reporting period by the Company and adjusted if necessary, prospectively.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right="20"/>
        <w:spacing w:after="0" w:line="290" w:lineRule="auto"/>
        <w:rPr>
          <w:sz w:val="20"/>
          <w:szCs w:val="20"/>
          <w:color w:val="auto"/>
        </w:rPr>
      </w:pPr>
      <w:r>
        <w:rPr>
          <w:rFonts w:ascii="Arial" w:cs="Arial" w:eastAsia="Arial" w:hAnsi="Arial"/>
          <w:sz w:val="16"/>
          <w:szCs w:val="16"/>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condensed consolidated statement of operations and any changes in the assumptions used in measuring the fair value of the derivative liability could result in a material increase or decrease in its carrying value. Based on current assumptions underlying the valuation, the Company recognized no gain or loss on change in fair value of derivative liability during the nine months ended September 30, 2017, as compared to a gain on change in fair value of derivative liability of $5.5 million during the nine months ended September 30, 2016.</w:t>
      </w:r>
    </w:p>
    <w:p>
      <w:pPr>
        <w:spacing w:after="0" w:line="16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As of September 30, 2017 and December 31, 2016, the carrying value of the BioPharma debt, net of the unamortized debt discount and issuance costs, was $95.2 million and $93.6 million, respectively. During the nine months ended September 30, 2017, the Company recorded cash and non-cash interest expense of $4.8 million and $1.6 million, respectively, in connection with the BioPharma debt, compared to $5.0 million and $1.5 million, respectively, during the nine months ended September 30, 2016. The Company will periodically evaluate the remaining term of the agreement and the effective interest rate is recalculated each period based on the Company’s most current estimate of repayment.</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To secure the obligations under the agreement with BioPharma, the Company granted BioPharma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BioPharma may attempt to collect the maximum amount payable by the Company under this agreement (after deducting any payments the Company has already made).</w:t>
      </w:r>
    </w:p>
    <w:p>
      <w:pPr>
        <w:spacing w:after="0" w:line="1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 the Purchase and Sale Agreement with BioPharma, the Company is restricted from paying dividends on its common shares, unless it has cash and cash equivalents in excess of a specified amount after such payment.</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January 2012, May 2014, and November 2015 Exchangeable Senior Notes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2012, 2014 and 2015, the Company and its subsidiaries entered into a series of transactions pertaining to exchangeable notes. As of September 30, 2017, all debt issued in these transactions was exchanged or redeemed such that none remained outstanding.</w:t>
      </w:r>
    </w:p>
    <w:p>
      <w:pPr>
        <w:spacing w:after="0" w:line="17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January 2012, the Company, through its wholly-owned subsidiary Corsicanto Designated Activity Company (formerly Corsicanto Limited) (“Corsicanto”), issued $150.0 million in principal amount of 3.5% exchangeable senior notes due 2032 (the “2012 Notes”), resulting in net proceeds of $144.3 million. In May 2014, the Company entered into separate, privately negotiated exchange agreements with certain holders of the 2012 Notes pursuant to which Corsicanto exchanged $118.7 million in aggregate principal amount of the existing 2012 Notes for $118.7 million in aggregate principal amount of new 3.5% May 2014 exchangeable senior notes due 2032 (the “2014 Notes”), following which $31.3 million in aggregate principal amount of the 2012 Notes remained outstanding with terms unchanged. In November 2015, the Company entered into a privately negotiated subscription agreement with one of its existing investors, pursuant to which the investor agreed to purchase approximately $31.3 million in aggregate principal amount of new 3.5% November 2015 exchangeable senior notes due 2032 (the “2015 Notes”) for approximately $27.5 million. Approximately $15.9 million of such proceeds were used to finance the repayment of $16.2 million in aggregate principal amount of the 2012 Notes, following which $15.1 million in aggregate principal amount of the 2012 Notes remained outstanding with terms unchanged. The 2012 Notes, 2014 Notes, and 2015 Notes are referred to collectively as the “Notes.”</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August 2016, Corsicanto gave notice to the holders of the 2014 Notes and 2015 Notes that certain equity conditions contained within the notes had been satisfied and exercised its option to mandatorily exchange $118.7 million of aggregate principal amount of 2014 Notes and $31.3 million of aggregate principal amount of 2015 Notes for equity with settlement in September 2016, such that all of the outstanding 2014 Notes and 2015 Notes were retired at that time. Consistent with the terms of the 2014 Notes and 2015 Notes, the final as-adjusted exchange rate was 402.0746 ADSs per $1,000 of principal amount, resulting in 47,739,925 ADSs and 12,571,263 ADSs being issued in exchange for the 2014 Notes and 2015 Notes, respectively. In total, the Company mandatorily exchanged $150.0 million in aggregate principal amount ($127.3 million in carrying value, net of unamortized debt discount and issuance costs) of outstanding 2014 Notes and 2015 Notes, resulting in the issuance of 60,311,188 ADSs and recognition of $40.1 million in common stock and $87.4 million in additional paid-in capital during the year ended December 31, 2016. Included within this $87.4 million is $0.8 million of accrued but unpaid interest as of the exchange date deemed satisfied and discharged in full upon delivery of the ADSs consistent with the terms of the notes and ASC 470-20, less $0.7 million of transaction costs.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terms of the 2012 Notes allowed for repurchase in cash by the Company at the option of the holders on each of January 19, 2017, January 19, 2022, and January 19, 2027, as well as redemption by the Company for cash of all or part of the 2012 Notes on or after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jc w:val="both"/>
        <w:ind w:right="20"/>
        <w:spacing w:after="0" w:line="302" w:lineRule="auto"/>
        <w:rPr>
          <w:sz w:val="20"/>
          <w:szCs w:val="20"/>
          <w:color w:val="auto"/>
        </w:rPr>
      </w:pPr>
      <w:r>
        <w:rPr>
          <w:rFonts w:ascii="Arial" w:cs="Arial" w:eastAsia="Arial" w:hAnsi="Arial"/>
          <w:sz w:val="16"/>
          <w:szCs w:val="16"/>
          <w:color w:val="auto"/>
        </w:rPr>
        <w:t>January 19, 2017, both at a price equal to 100% of the principal amount of the 2012 Notes to be repurchased or redeemed, plus accrued and unpaid interest to, but excluding, the repurchase or redemption date. Consequently, in January 2017, holders of the 2012 Notes exercised their option to put approximately $15.0 million in aggregate principal amount of 2012 Notes to the Company for cash and, in March 2017, the Company redeemed the entirety of the remaining $0.1 million in aggregate principal amount of 2012 Notes, such that no 2012 Notes remained outstanding as of September 30, 2017.</w:t>
      </w:r>
    </w:p>
    <w:p>
      <w:pPr>
        <w:spacing w:after="0" w:line="15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2012 Notes were exchangeable under certain circumstances into cash, ADSs, or a combination of cash and ADSs, at the Company’s election. At the time of issuance, the Company calculated the fair value of the liability component of the 2012 Notes to be $126.2 million and the excess of the principal amount of the debt over the liability component of $23.8 million was allocated to the conversion option, resulting in a discount on the debt and corresponding increase in equity as a result of the cash settlement feature. The Company also recorded a debt discount to reflect the value of the underwriter’s discounts and offering costs. The debt discount from underwriter’s discounts and offering costs was allocated to the equity and liability components of the 2012 Notes in proportion to the proceeds allocated to each component. The $23.8 million equity component allocated to the conversion option was reduced by the portion of offering costs allocated to the equity component, $10.1 million upon extinguishment of the 2012 Notes as part of the 2014 Notes exchange and $1.3 million upon extinguishment of the 2012 Notes as part of the 2015 Notes issuance, such that $11.5 million remained in equity as of both September 30, 2017 and December 31, 2016. The conversion option was not remeasured each reporting period as it continued to meet the criteria for equity classification, and will remain in equity hereafter as a result of the repayment in full of the related debt instrument during the first quarter of 2017.</w:t>
      </w:r>
    </w:p>
    <w:p>
      <w:pPr>
        <w:spacing w:after="0" w:line="169"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portion of the debt discount from underwriter’s discounts and offering costs allocated to the liability component as well as the discount created from allocating proceeds to the conversion option were amortized as interest expense over the estimated life of the 2012 Notes of twenty-four months. Such discounts were fully amortized prior to 2016. The carrying value of the 2012 Notes was nil and $15.1 million as of September 30, 2017 and December 31, 2016, respectively, included within current portion of exchangeable senior notes, net of discount, due to the holders’ January 19, 2017 optional put date.</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2014 Notes were recorded at fair value of $90.8 million representing a $27.9 million discount to par. In addition, the Company recognized a discount of $2.5 million in underwriter’s fees and offering costs. The 2015 Notes were recorded at fair value of $27.5 million representing a $3.8 million discount to par. In addition, the Company recognized a discount of $0.1 million in offering costs. These discounts were amortized as interest expense over the expected terms of the 2014 Notes and 2015 Notes, which was expected to be through the first optional put date in January 2019 for each. The carrying value of the 2014 Notes and 2015 Notes was nil as of September 30, 2017 and December 31, 2016.</w:t>
      </w:r>
    </w:p>
    <w:p>
      <w:pPr>
        <w:spacing w:after="0" w:line="18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2014 Notes and 2015 Notes contained a provision that if a fundamental change (as defined in the 2014 Notes and 2015 Notes) had occurred prior to the notes being exchanged, holders may have required the Company to repurchase all or part of their notes for cash at a fundamental change repurchase price equal to 100% of the aggregate principal amount of the 2014 Notes and 2015 Notes to be repurchased, plus accrued and unpaid interest to, but not including, the fundamental change repurchase date. The Company determined that these fundamental change redemption features represented embedded derivatives requiring bifurcation from the respective debt liabilities and allocated $3.5 million of the $90.8 million fair value of the 2014 Notes and $0.5 million of the $27.5 million fair value of the 2015 Notes to derivative liabilities. The fair value of these derivative liabilities was remeasured at each reporting period, with changes in fair value recognized in the statement of operations. During the nine months ended September 30, 2016, the Company recognized a $2.1 million gain and a $0.6 million gain on the change in fair value of the redemption features of the 2014 Notes and 2015 Notes, respectively.</w:t>
      </w:r>
    </w:p>
    <w:p>
      <w:pPr>
        <w:spacing w:after="0" w:line="16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Notes had a stated interest rate of 3.5% per year, payable semiannually in arrears on January 15 and July 15 of each year. During the nine months ended September 30, 2016, the Company recognized aggregate interest expense of $6.9 million related to the Notes, of which $4.0 million represents non-cash interest and $2.9 million represents contractual coupon interest. During the nine months ended September 30, 2017, the Company recognized cash interest expense of less than $0.1 million related to the Notes. As of September 30, 2017 and December 31, 2016, the Company had total accrued interest on the Notes of nil and $0.2 million, respectively, which is included in current portion of exchangeable senior notes, net of discount. The Company made the contractual interest payments due on the Notes during the nine months ended September 30, 2017 and 2016 of $0.3 million and $2.5 million, respectively.</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January 2017 Exchangeable Senior Notes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January 20, 2017, the Company and Corsicanto II Designated Activity Company (“Corsicanto II”), a designated activity company formed under the laws of Ireland and a wholly owned subsidiary of the Company, entered into separate, privately negotiated purchase agreements with certain investors pursuant to which Corsicanto II issued and sold $30.0 million in aggregate principal amount of 3.5% exchangeable senior notes due 2047 (the “2017 Notes”) at an issue price of 100%. The net proceeds from the offering were $28.8 million after deducting placement agent fees and offering expenses payable by the Company. The offering of the 2017 Notes closed on January 25, 2017. Corsicanto II has no assets, operations, revenues or cash flows other than those related to the issuance, administration and repayment of the 2017 Notes.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ind w:right="220"/>
        <w:spacing w:after="0" w:line="302" w:lineRule="auto"/>
        <w:rPr>
          <w:sz w:val="20"/>
          <w:szCs w:val="20"/>
          <w:color w:val="auto"/>
        </w:rPr>
      </w:pPr>
      <w:r>
        <w:rPr>
          <w:rFonts w:ascii="Arial" w:cs="Arial" w:eastAsia="Arial" w:hAnsi="Arial"/>
          <w:sz w:val="16"/>
          <w:szCs w:val="16"/>
          <w:color w:val="auto"/>
        </w:rPr>
        <w:t>The 2017 Notes were issued pursuant to an Indenture (the “Indenture”) entered into by the Company, Corsicanto II and Wilmington Trust, National Association, as trustee (the “Trustee”). The 2017 Notes are the senior unsecured obligations of Corsicanto II and are guaranteed by the Company. The 2017 Notes bear interest at a rate of 3.5% per annum from, and including, January 25, 2017, payable semi-annually in arrears on January 15 and July 15 of each year, beginning on July 15, 2017 and ending upon the 2017 Notes’ maturity date of January 15, 2047, unless earlier repurchased, redeemed or exchanged.</w:t>
      </w:r>
    </w:p>
    <w:p>
      <w:pPr>
        <w:spacing w:after="0" w:line="154"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At any time after the issuance of the 2017 Notes and prior to the close of business on the second business day immediately preceding January 15, 2047, holders may exchange their 2017 Notes for ADSs at their option and at the exchange rate described below. If prior to January 19, 2021, a make-whole fundamental change (as defined in the Indenture) occurs and a holder elects to exchange its 2017 Notes in connection with such make-whole fundamental change, such holder may be entitled to an increase in the exchange rate as described in the Indenture.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initial exchange rate is 257.2016 ADSs per $1,000 principal amount of the 2017 Notes (equivalent to an initial exchange price of approximately $3.89 per ADS (the “Exchange Price”)), subject to adjustment in certain circumstances. The initial exchange price for the 2017 Notes represents a premium of approximately 35% over the last reported sale price of $2.88 per share of the Company’s ADSs on The NASDAQ Global Market on January 19, 2017. Upon exchange, the 2017 Notes are to be settled in ADSs. The exchange rate is subject to adjustment from time to time upon the occurrence of certain events, including, but not limited to, the payment of cash dividends. In the event of physical settlement, the 2017 Notes would be exchangeable into a total of 7,716,048 ADSs. Based on the closing price of the Company’s stock as of September 30, 2017, the value of the shares if converted on that date did not exceed the principal value of the 2017 Notes.</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Prior to January 19, 2021, Corsicanto II may not redeem the 2017 Notes at its option other than in connection with certain changes in the tax law of a relevant taxing jurisdiction that results in additional amounts (as defined in the Indenture) becoming due with respect to payments and/or deliveries on the 2017 Notes. On or after January 19, 2021, Corsicanto II may redeem for cash all or a portion of the 2017 Notes at a redemption price of 100% of the aggregate principal amount of the 2017 Notes to be redeemed, plus accrued and unpaid interest to, but not including, the redemption date. If a Fundamental Change (as defined in the Indenture) occurs, holders may require Corsicanto II to repurchase all or part of their 2017 Notes for cash at a Fundamental Change repurchase price equal to 100% of the aggregate principal amount of the 2017 Notes to be repurchased, plus accrued and unpaid interest to, but not including, the Fundamental Change repurchase date. In addition, holders of the 2017 Notes may require Corsicanto II to repurchase all or any portion of the 2017 Notes on January 19, 2022 for cash at a price equal to 100% of the aggregate principal amount of the 2017 Notes to be repurchased, plus accrued and unpaid interest to, but not including, the repurchase date.</w:t>
      </w:r>
    </w:p>
    <w:p>
      <w:pPr>
        <w:spacing w:after="0" w:line="18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Corsicanto II may elect at its option to cause all or any portion of the 2017 Notes to be mandatorily exchanged in whole or in part at any time prior to the close of business on the business day preceding January 15, 2047 if the Daily VWAP (as defined in the Indenture) equals or exceeds 130% of the Exchange Price then in effect (which quotient equals approximately $5.05 on the date hereof) for at least 20 VWAP Trading Days (as defined in the Indenture) in any 30 consecutive VWAP Trading Day period. Corsicanto II may only exercise its optional exchange rights upon satisfaction of specified equity conditions, including that the ADSs issuable upon exchange of the 2017 Notes be eligible for resale without registration by non-affiliates and listed on The NASDAQ Global Market, its related exchanges or the New York Stock Exchange. If Corsicanto II elects to exercise its optional exchange rights on or prior to January 19, 2021, each holder whose 2017 Notes are exchanged may upon exchange receive a specified number of additional ADSs as set forth in the Indenture.</w:t>
      </w:r>
    </w:p>
    <w:p>
      <w:pPr>
        <w:spacing w:after="0" w:line="1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Indenture contains customary terms and covenants and events of default. If an event of default (other than certain events of bankruptcy, insolvency or reorganization involving Corsicanto II) occurs and is continuing, the Trustee by notice to Corsicanto II, or the holders of at least 25% in principal amount of the outstanding 2017 Notes by notice to Corsicanto II and the Trustee, may declare 100% of the principal of and accrued and unpaid interest, if any, on all of the 2017 Notes to be due and payable. Upon such a declaration of acceleration, such principal and accrued and unpaid interest, if any, will be due and payable immediately. Upon the occurrence of certain events of bankruptcy, insolvency or reorganization involving Corsicanto II, 100% of the principal of and accrued and unpaid interest, if any, on all of the 2017 Notes will become due and payable automatically. Notwithstanding the foregoing, the Indenture will provide that, to the extent Corsicanto II elects and for up to 360 days, the sole remedy for an event of default relating to certain failures by Corsicanto II or the Company, as the case may be, to comply with certain reporting covenants in the Indenture consists exclusively of the right to receive additional interest on the 2017 Notes.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Corsicanto II has agreed to use its commercially reasonable efforts to procure the listing of the 2017 Notes on the Global Exchange Market operated under the supervision of the Irish Stock Exchange (or on another recognized stock exchange for the purposes of Section 64 of the Taxes Consolidation Act 1997 of Ireland and within the meaning of Section 1005 ITA 2007 of the United Kingdom) prior to July 15, 2017, which will be the first interest payment date for the 2017 Notes.</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2017 Notes were recorded at par of $30.0 million. In addition, the Company recorded a discount of $1.2 million in placement agent fees and offering expenses. Such costs are presented as a direct deduction from the debt liability on the condensed consolidated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right="320"/>
        <w:spacing w:after="0" w:line="277" w:lineRule="auto"/>
        <w:rPr>
          <w:sz w:val="20"/>
          <w:szCs w:val="20"/>
          <w:color w:val="auto"/>
        </w:rPr>
      </w:pPr>
      <w:r>
        <w:rPr>
          <w:rFonts w:ascii="Arial" w:cs="Arial" w:eastAsia="Arial" w:hAnsi="Arial"/>
          <w:sz w:val="18"/>
          <w:szCs w:val="18"/>
          <w:color w:val="auto"/>
        </w:rPr>
        <w:t>balance sheet. This discount is being amortized as interest expense over the estimated life of the 2017 Notes, through the first optional put date in January 2022. As of September 30, 2017, the carrying value of the 2017 Notes, net of unamortized discount, was $28.9 million.</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Because the conversion option in the 2017 Notes receives an exception from derivative accounting and only requires gross physical settlement in shares, the embedded option does not require separate accounting and is therefore accounted for as part of the debt host at amortized cost. In addition, the Company determined that the fundamental change redemption feature is clearly and closely related to the debt host in accordance with ASC 815-15 and therefore does not require bifurcation.</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the nine months ended September 30, 2017, the Company recognized interest expense of $0.9 million related to the 2017 Notes, of which $0.1 million represents non-cash interest and $0.7 million represents contractual coupon interest. As of September 30, 2017, the Company had accrued interest of $0.2 million related to the 2017 Notes, which is presented as current portion of exchangeable senior notes, net of discount, on the condensed consolidated balance sheet. The Company made contractual interest payments due on the 2017 Notes during the nine months ended September 30, 2017 of $0.5 million.</w:t>
      </w:r>
    </w:p>
    <w:p>
      <w:pPr>
        <w:spacing w:after="0" w:line="258" w:lineRule="exact"/>
        <w:rPr>
          <w:sz w:val="20"/>
          <w:szCs w:val="20"/>
          <w:color w:val="auto"/>
        </w:rPr>
      </w:pPr>
    </w:p>
    <w:p>
      <w:pPr>
        <w:ind w:left="520" w:right="8320" w:hanging="512"/>
        <w:spacing w:after="0" w:line="378" w:lineRule="auto"/>
        <w:tabs>
          <w:tab w:leader="none" w:pos="51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Litigation</w:t>
      </w:r>
    </w:p>
    <w:p>
      <w:pPr>
        <w:ind w:right="20"/>
        <w:spacing w:after="0" w:line="288" w:lineRule="auto"/>
        <w:rPr>
          <w:sz w:val="20"/>
          <w:szCs w:val="20"/>
          <w:color w:val="auto"/>
        </w:rPr>
      </w:pPr>
      <w:r>
        <w:rPr>
          <w:rFonts w:ascii="Arial" w:cs="Arial" w:eastAsia="Arial" w:hAnsi="Arial"/>
          <w:sz w:val="16"/>
          <w:szCs w:val="16"/>
          <w:color w:val="auto"/>
        </w:rPr>
        <w:t>In the ordinary course of business, the Company is from time to time involved in lawsuits, claims, investigations, proceedings, and threats of litigation relating to intellectual property, commercial arrangements and other matters. “Item 3. Legal Proceedings” of the Company’s Annual Report on Form 10-K for the fiscal year ended December 31, 2016 and “Item 1. Legal Proceedings” of the Company’s Quarterly Report on Form 10-Q for the quarters ended</w:t>
      </w:r>
    </w:p>
    <w:p>
      <w:pPr>
        <w:ind w:right="40"/>
        <w:spacing w:after="0" w:line="261" w:lineRule="auto"/>
        <w:rPr>
          <w:sz w:val="20"/>
          <w:szCs w:val="20"/>
          <w:color w:val="auto"/>
        </w:rPr>
      </w:pPr>
      <w:r>
        <w:rPr>
          <w:rFonts w:ascii="Arial" w:cs="Arial" w:eastAsia="Arial" w:hAnsi="Arial"/>
          <w:sz w:val="18"/>
          <w:szCs w:val="18"/>
          <w:color w:val="auto"/>
        </w:rPr>
        <w:t>March 31, 2017 and June 30, 2017 include discussions of the Company’s current legal proceedings. There have been no material changes to those disclosures as of the date of this filing, other than as set forth below.</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On May 23, 2017, the Third Circuit Court of Appeals affirmed the May 26, 2016 judgment of the U.S. District Court for the District of New Jersey in connection with the district court’s grant of the Company’s motion to dismiss the putative consolidated class action lawsuit captioned </w:t>
      </w:r>
      <w:r>
        <w:rPr>
          <w:rFonts w:ascii="Arial" w:cs="Arial" w:eastAsia="Arial" w:hAnsi="Arial"/>
          <w:sz w:val="18"/>
          <w:szCs w:val="18"/>
          <w:i w:val="1"/>
          <w:iCs w:val="1"/>
          <w:color w:val="auto"/>
        </w:rPr>
        <w:t>In re Amarin</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Corporation plc, Securities Litigation</w:t>
      </w:r>
      <w:r>
        <w:rPr>
          <w:rFonts w:ascii="Arial" w:cs="Arial" w:eastAsia="Arial" w:hAnsi="Arial"/>
          <w:sz w:val="18"/>
          <w:szCs w:val="18"/>
          <w:color w:val="auto"/>
        </w:rPr>
        <w:t>, No. 3:13-cv-06663 (D.N.J. Nov. 1, 2013). Plaintiffs sought a rehearing and</w:t>
      </w:r>
      <w:r>
        <w:rPr>
          <w:rFonts w:ascii="Arial" w:cs="Arial" w:eastAsia="Arial" w:hAnsi="Arial"/>
          <w:sz w:val="18"/>
          <w:szCs w:val="18"/>
          <w:i w:val="1"/>
          <w:iCs w:val="1"/>
          <w:color w:val="auto"/>
        </w:rPr>
        <w:t xml:space="preserve"> en banc </w:t>
      </w:r>
      <w:r>
        <w:rPr>
          <w:rFonts w:ascii="Arial" w:cs="Arial" w:eastAsia="Arial" w:hAnsi="Arial"/>
          <w:sz w:val="18"/>
          <w:szCs w:val="18"/>
          <w:color w:val="auto"/>
        </w:rPr>
        <w:t>review of such affirmation,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were denied. The appeal period for this matter has expired. The Company considers this matter closed.</w:t>
      </w:r>
    </w:p>
    <w:p>
      <w:pPr>
        <w:spacing w:after="0" w:line="18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On August 30, 2017, Amarin Pharma, Inc. and Amarin Pharmaceuticals Ireland Limited, each wholly-owned subsidiaries of Amarin Corporation plc, filed a lawsuit with the United States International Trade Commission, or the ITC, captioned, </w:t>
      </w:r>
      <w:r>
        <w:rPr>
          <w:rFonts w:ascii="Arial" w:cs="Arial" w:eastAsia="Arial" w:hAnsi="Arial"/>
          <w:sz w:val="17"/>
          <w:szCs w:val="17"/>
          <w:i w:val="1"/>
          <w:iCs w:val="1"/>
          <w:color w:val="auto"/>
        </w:rPr>
        <w:t>In the Matter of Certain Synthetically Produced, Predominantly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EPA Omega-3 Products in Ethyl Ester or Re-esterified Triglyceride Form, </w:t>
      </w:r>
      <w:r>
        <w:rPr>
          <w:rFonts w:ascii="Arial" w:cs="Arial" w:eastAsia="Arial" w:hAnsi="Arial"/>
          <w:sz w:val="17"/>
          <w:szCs w:val="17"/>
          <w:color w:val="auto"/>
        </w:rPr>
        <w:t>USITC Docket 337-3247, against manufacturers, importers, and distributors of</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containing synthetically produced omega-3 products in ethyl ester or re-esterified triglyceride form that contain more EPA than DHA or any other single component, for use in, or as dietary supplements. The lawsuit seeks an investigation by the ITC under Section 337 of the Tariff Act of 1930 (19 U.S.C. §1337), which makes unlawful unfair methods of competition and unfair acts involving the importation and sale of articles in the United States that injure or threaten injury to a domestic industry. On October 27, 2017, the ITC determined to not institute the Company’s requested investigation. The Company is currently considering its next steps in this matter.</w:t>
      </w:r>
    </w:p>
    <w:p>
      <w:pPr>
        <w:spacing w:after="0" w:line="1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The Company introduced to the market its 500-mg dose strength of Vascepa in October 2016. In August 2017, as anticipated, the Company received a paragraph IV certification notice from Teva Pharmaceuticals USA, Inc. and Teva Pharmaceuticals Industries Limited, or collectively, Teva, contending that certain of the Company’s patents are invalid, unenforceable and/or will not be infringed by the manufacture, use, sale or offer for sale of a generic form of the 500-mg dose strength of Vascepa, as described in the Teva abbreviated new drug application, or ANDA. This Teva ANDA was filed as an amendment to the 1-gram Teva ANDA and is related to patents already at issue in the 1-gram Vascepa patent litigation. Accordingly, in October 2017, the Company filed a patent infringement lawsuit against Teva in the U.S. District Court for the District of Nevada. The case is captioned </w:t>
      </w:r>
      <w:r>
        <w:rPr>
          <w:rFonts w:ascii="Arial" w:cs="Arial" w:eastAsia="Arial" w:hAnsi="Arial"/>
          <w:sz w:val="17"/>
          <w:szCs w:val="17"/>
          <w:i w:val="1"/>
          <w:iCs w:val="1"/>
          <w:color w:val="auto"/>
        </w:rPr>
        <w:t>Amarin Pharma, Inc.</w:t>
      </w:r>
      <w:r>
        <w:rPr>
          <w:rFonts w:ascii="Arial" w:cs="Arial" w:eastAsia="Arial" w:hAnsi="Arial"/>
          <w:sz w:val="17"/>
          <w:szCs w:val="17"/>
          <w:color w:val="auto"/>
        </w:rPr>
        <w:t xml:space="preserve"> et al. </w:t>
      </w:r>
      <w:r>
        <w:rPr>
          <w:rFonts w:ascii="Arial" w:cs="Arial" w:eastAsia="Arial" w:hAnsi="Arial"/>
          <w:sz w:val="17"/>
          <w:szCs w:val="17"/>
          <w:i w:val="1"/>
          <w:iCs w:val="1"/>
          <w:color w:val="auto"/>
        </w:rPr>
        <w:t>v. Teva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Pharmaceuticals USA, Inc. </w:t>
      </w:r>
      <w:r>
        <w:rPr>
          <w:rFonts w:ascii="Arial" w:cs="Arial" w:eastAsia="Arial" w:hAnsi="Arial"/>
          <w:sz w:val="17"/>
          <w:szCs w:val="17"/>
          <w:color w:val="auto"/>
        </w:rPr>
        <w:t>et al.</w:t>
      </w:r>
      <w:r>
        <w:rPr>
          <w:rFonts w:ascii="Arial" w:cs="Arial" w:eastAsia="Arial" w:hAnsi="Arial"/>
          <w:sz w:val="17"/>
          <w:szCs w:val="17"/>
          <w:i w:val="1"/>
          <w:iCs w:val="1"/>
          <w:color w:val="auto"/>
        </w:rPr>
        <w:t xml:space="preserve">, </w:t>
      </w:r>
      <w:r>
        <w:rPr>
          <w:rFonts w:ascii="Arial" w:cs="Arial" w:eastAsia="Arial" w:hAnsi="Arial"/>
          <w:sz w:val="17"/>
          <w:szCs w:val="17"/>
          <w:color w:val="auto"/>
        </w:rPr>
        <w:t>Civ. A. No. 2:17-cv-2641 (D. Nev.). In this lawsuit, the Company is seeking, among other remedies, an order enjoining</w:t>
      </w:r>
      <w:r>
        <w:rPr>
          <w:rFonts w:ascii="Arial" w:cs="Arial" w:eastAsia="Arial" w:hAnsi="Arial"/>
          <w:sz w:val="17"/>
          <w:szCs w:val="17"/>
          <w:i w:val="1"/>
          <w:iCs w:val="1"/>
          <w:color w:val="auto"/>
        </w:rPr>
        <w:t xml:space="preserve"> </w:t>
      </w:r>
      <w:r>
        <w:rPr>
          <w:rFonts w:ascii="Arial" w:cs="Arial" w:eastAsia="Arial" w:hAnsi="Arial"/>
          <w:sz w:val="17"/>
          <w:szCs w:val="17"/>
          <w:color w:val="auto"/>
        </w:rPr>
        <w:t>Teva from marketing generic versions of the 500-mg dose strength of Vascepa before the last to expire of the asserted patents in 2030. The Company anticipates that this new lawsuit against Teva will be consolidated with the previously disclosed pending lawsuits against Teva, West-Ward-Pharmaceuticals Corp. et al., and Dr. Reddy’s Laboratories, Inc. et al. based on the 1-gram dose strength of Vascepa, and the Company anticipates that all four lawsuits will proceed on the same schedule. The Company intends to vigorously enforce its intellectual property rights relating to Vascepa, but cannot predict the outcome of these lawsuits or any subsequently filed lawsuits.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11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Company entered into long-term supply agreements with multiple FDA-approved API suppliers and encapsulators. Certain supply agreements require annual minimum volume commitments by the Company and certain volume shortfalls may require payments for such shortfalls, as detailed below.</w:t>
      </w:r>
    </w:p>
    <w:p>
      <w:pPr>
        <w:spacing w:after="0" w:line="12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entered into its initial Vascepa API supply agreement with Nisshin Pharma, Inc. (“Nisshin”) in 2010. In 2011, the Company entered into agreements with two additional suppliers, Chemport, Inc. (“Chemport”) and BASF (formerly Equateq Limited), for the supply of API. In 2012, the Company agreed to terms with a fourth API supplier, a consortium of companies led by Slanmhor Pharmaceutical, Inc. (“Slanmhor”). The API supply agreement with BASF terminated in February 2014. In July 2014, the Company terminated the supply agreement with Slanmhor and subsequently, in June 2015, entered into a new supply agreement with Finorga SAS (“Novasep”). These agreements included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 as described below.</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Nisshin, Chemport and Novasep are currently the three manufacturers from which the Company purchases API. As of September 30, 2017, the Company has no royalty, milestone or minimum purchase commitments with Nisshin.</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Chemport was approved by the FDA to manufacture API for commercial sale in April 2013 and the Company began purchasing commercial supply from Chemport in 2013. The agreement with Chemport contains a provision requiring the Company to pay Chemport a certain cash remedy for any shortfall in the minimum purchase obligations. The Company began purchasing commercial supply from Novasep in 2015. API manufactured by Novasep was previously approved by the FDA in July 2014. The 2015 supply agreement with Novasep contains a provision requiring the Company to pay Novasep a certain cash remedy for any shortfall in the minimum purchase obligations. The Company continues to meet its contractual purchase obligations.</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the 2004 share repurchase agreement with Laxdale Limited (“Laxdale”) upon receipt of marketing approval in Europe for the first indication for Vascepa (or first indication of any product containing Amarin Neuroscience Limited intellectual property acquired from Laxdale in 2004), the Company must make an aggregate stock or cash payment to the former shareholders of Laxdale (at the sole option of each of the sellers) of £7.5 million (approximately $10.0 million as of September 30, 2017). Also under the Laxdale agreement, upon receipt of a marketing approval in the United States or Europe for a further indication of Vascepa (or further indication of any other product using Amarin Neuroscience Limited intellectual property), the Company must make an aggregate stock or cash payment (at the sole option of each of the sellers) of £5 million (approximately $6.7 million as of September 30, 2017) for each of the two potential market approvals (i.e. £10 million maximum, or approximately $13.4 million as of September 30, 2017).</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 provision for any of the obligations above since the amounts are either not probable or able to be estimated as of September 30, 2017.</w:t>
      </w:r>
    </w:p>
    <w:p>
      <w:pPr>
        <w:spacing w:after="0" w:line="352" w:lineRule="exact"/>
        <w:rPr>
          <w:sz w:val="20"/>
          <w:szCs w:val="20"/>
          <w:color w:val="auto"/>
        </w:rPr>
      </w:pPr>
    </w:p>
    <w:p>
      <w:pPr>
        <w:ind w:left="520" w:right="9780" w:hanging="512"/>
        <w:spacing w:after="0" w:line="425" w:lineRule="auto"/>
        <w:tabs>
          <w:tab w:leader="none" w:pos="515"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i w:val="1"/>
          <w:iCs w:val="1"/>
          <w:u w:val="single" w:color="auto"/>
          <w:color w:val="auto"/>
        </w:rPr>
        <w:t>Preferred Stock</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March 5, 2015, the Company entered into a subscription agreement with four institutional investors (the “Purchasers”), including both existing and new investors, for the private placement of 352,150,790 restricted American Depositary Shares, each representing one (1) share of Amarin’s Series A Convertible Preference Shares, par value £0.05 per share, in the capital of the Company (“Series A Preference Shares”), resulting in gross proceeds to the Company of $52.8 million. The closing of the private placement occurred on March 30, 2015.</w:t>
      </w:r>
    </w:p>
    <w:p>
      <w:pPr>
        <w:spacing w:after="0" w:line="18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For each restricted American Depositary Share, the Purchasers paid a negotiated price of $0.15 (equating to $1.50 on an as-if-converted-to-ordinary-shares basis), resulting in $52.8 million in aggregate gross proceeds to the Company, before deducting estimated offering expenses of approximately $0.7 million. The net proceeds are reflected as preferred stock in the accompanying condensed consolidated balance sheets.</w:t>
      </w:r>
    </w:p>
    <w:p>
      <w:pPr>
        <w:spacing w:after="0" w:line="166"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Each ten (10) Series A Preference Shares may be consolidated and redesignated as one (1) ordinary share, par value £0.50 per share, in the capital of the Company, each ordinary share to be represented by American Depositary Shares (“ADSs”), provided that consolidation will be prohibited if, as a result, the holder of such Series A Preference Shares and its affiliates would beneficially own more than 4.99% of the total number of Amarin ordinary shares or ADSs outstanding following such redesignation (the “Beneficial Ownership Limitation”). By written notice 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ind w:right="340"/>
        <w:spacing w:after="0" w:line="279" w:lineRule="auto"/>
        <w:rPr>
          <w:sz w:val="20"/>
          <w:szCs w:val="20"/>
          <w:color w:val="auto"/>
        </w:rPr>
      </w:pPr>
      <w:r>
        <w:rPr>
          <w:rFonts w:ascii="Arial" w:cs="Arial" w:eastAsia="Arial" w:hAnsi="Arial"/>
          <w:sz w:val="17"/>
          <w:szCs w:val="17"/>
          <w:color w:val="auto"/>
        </w:rPr>
        <w:t>are eligible for sale under Rule 144, following the expiration of the one-year holding requirement under Rule 144. In 2015, at the request of the holders, a portion of the Series A Preference Shares were consolidated and redesignated, resulting in the issuance of 6,283,333 ADSs such that a maximum of 32,818,464 ordinary shares remain issuable upon future consolidation and redesignation of the remaining Series A Preference Shares as of September 30, 2017, inclusive of the shares issued in July 2015 as discussed below, subject to certain adjustments for dilutive events.</w:t>
      </w:r>
    </w:p>
    <w:p>
      <w:pPr>
        <w:spacing w:after="0" w:line="17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 of the holders of seventy-five percent</w:t>
      </w:r>
    </w:p>
    <w:p>
      <w:pPr>
        <w:ind w:right="340"/>
        <w:spacing w:after="0" w:line="261" w:lineRule="auto"/>
        <w:rPr>
          <w:sz w:val="20"/>
          <w:szCs w:val="20"/>
          <w:color w:val="auto"/>
        </w:rPr>
      </w:pPr>
      <w:r>
        <w:rPr>
          <w:rFonts w:ascii="Arial" w:cs="Arial" w:eastAsia="Arial" w:hAnsi="Arial"/>
          <w:sz w:val="18"/>
          <w:szCs w:val="18"/>
          <w:color w:val="auto"/>
        </w:rPr>
        <w:t>(75%) of the then outstanding Series A Preference Shares, alter or change adversely the powers, preferences or rights attaching to the Series A Preference Shares or enter into any agreement with respect to the foregoing.</w:t>
      </w:r>
    </w:p>
    <w:p>
      <w:pPr>
        <w:spacing w:after="0" w:line="18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Holders of the Series A Preference Shares are entitled to receive, and the Company is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are paid on the ordinary shares.</w:t>
      </w:r>
    </w:p>
    <w:p>
      <w:pPr>
        <w:spacing w:after="0" w:line="18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restricted American Depositary Shares and Series A Preference Shares were sold in a transaction exempt from the registration requirements under the Securities Act of 1933, as amended (the “Securities Act”). The Company filed a registration statement with the SEC covering the resale of the restricted American Depositary Shares and the ADSs representing ordinary shares created by the consolidation and redesignation of the Series A Preference Shares (the “Registrable Securities”) on April 9, 2015, which was declared effective by the SEC on May 1,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w:t>
      </w:r>
    </w:p>
    <w:p>
      <w:pPr>
        <w:spacing w:after="0" w:line="5" w:lineRule="exact"/>
        <w:rPr>
          <w:sz w:val="20"/>
          <w:szCs w:val="20"/>
          <w:color w:val="auto"/>
        </w:rPr>
      </w:pPr>
    </w:p>
    <w:p>
      <w:pPr>
        <w:ind w:right="240" w:firstLine="8"/>
        <w:spacing w:after="0" w:line="261"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March 11, 2017 or (b) the date on which all Registrable Securities held by Purchasers may be sold or transferred in compliance with Rule 144 under the Securities Act, without any volume or manner of sale restrictions.</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Series A Preference Shares contain a contingent beneficial conversion feature (“BCF”) because they contain a conversion feature at a fixed rate that was in-the-money when issued. The BCF was recorded in the quarter ended June 30, 2015 as a result of the related Form S-3 Registration Statement being declared effective, which represents the resolution of the contingency to convert the Series A Preference Shares. The BCF was recognized in stockholders’ deficit and was measured by allocating a portion of the proceeds equal to the intrinsic value of that feature to additional paid-in capital. The effective purchase price of the ordinary shares into which the preferred shares are convertible was $1.50, which was used to compute the intrinsic value. The intrinsic value was calculated as the difference between the effective purchase price of the ordinary shares and the market value ($2.39 per share) on the date the preferred shares were issued, multiplied by the number of shares into which the preferred shares are convertible. The BCF resulting from the issuance of the Series A Preference Shares was determined to be $31.3 million. The BCF was recorded as a non-cash dividend to preferred shareholders through accumulated deficit, and was therefore reflected as an adjustment to net loss applicable to common shareholders for earnings per common share purposes in accordance with GAAP for the year ended December 31, 2015.</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March 30, 2015, in connection with the closing of the private placement, and pursuant to a pre-existing contractual right to participate in certain private placement transactions effected by the Company, the Company entered into a separate subscription agreement with an existing investor, Sofinnova Venture Partners VII L.P. (Sofinnova), for the purchase of an additional $5.8 million of restricted American Depositary Shares, each representing one (1) share of the Company’s Series A Preference Shares, at the same price per share and otherwise on substantially the same terms as the initial private placement (the “Second Private Placement”). In accordance with applicable marketplace rules of the NASDAQ Stock Market, the consummation of the Second Private Placement was conditioned upon approval by the Company’s shareholders at a future meeting of the Company’s shareholders. Such approval was received at the Company’s Annual General Meeting of Shareholders on July 6, 2015 and as a result, the closing of the Second Private Placement occurred on July 10, 2015. The Company issued 38,867,180 restricted ADSs, each representing one Series A Preference Share, which may be consolidated and redesignated from time to time up to a maximum of 3,886,718 ordinary shares, each ordinary share to be represented by one ADS. For each restricted ADS, Sofinnova paid a negotiated price of $0.15 (equating to $1.50 on an as-if-converted-to-ordinary-shares basis) resulting in gross proceeds to the Company of $5.8 million. At the time of the transaction, Dr. James Healy was a member of the Company’s Board and a managing general partner of Sofinnova Management VII, L.L.C., which is the general partner of Sofinnova. Dr. Healy resigned as Director of the Company’s Board effective December 20, 2016.</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filed another registration statement with the SEC covering the resale of these restricted American Depositary Shares and the ADSs representing ordinary shares created by the consolidation and redesignation of the Series A Preference Shares (the “Sofinnova Registrable Securities”) on July 24, 2015, which was declared effective by the SEC on August 7,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 (a) July 10, 2017 or (b) the date on which all Sofinnova Registrable Securities held by Sofinnova may be sold or transferred in compliance with Rule 144 under the Securities Act, without any volume or manner of sale restrictions.</w:t>
      </w:r>
    </w:p>
    <w:p>
      <w:pPr>
        <w:spacing w:after="0" w:line="18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existence of this preferred stock purchase option was determined to be a derivative liability effective March 5, 2015, the date on which the private placement was initially subscribed. The fair value of this liability was calculated using a Black-Scholes model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was determined to be $0.9 million at inception and was charged to accumulated deficit as a deemed non-cash dividend to Sofinnova. The liability was then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marked to fair value as of March 30, 2015, the date on which the Company executed a subscription agreement with Sofinnova, resulting in a charge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$0.9 million through gain (loss) on change in fair value of derivatives. The liability of $1.8 million was reclassified to permanent equity (additional paid-in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capital) on such date. Subsequent to approval of the Second Private Placement at the Company’s Annual General Meeting of Shareholders in July 2015,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recorded the remaining value of the BCF related to this share issuance as a non-cash dividend to preferred shareholders through accumulated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deficit. The value of the BCF was determined on the same basis as the first private placement and amounted to $3.4 million less $1.8 million previously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recorded for the preferred stock purchase option for a net non-cash charge of $1.6 million in the year ended December 31, 2015.</w:t>
      </w:r>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11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As of September 30, 2017, there were an aggregate of 23,631,444 stock options and 11,887,491 restricted stock units (“RSUs”) outstanding, representing approximately 7% and 4%, respectively, of outstanding shares (including common and preferred shares) on a fully diluted basis.</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During the nine months ended September 30, 2017 and 2016, the Company issued 259,195 and 94,272 shares, respectively, as a result of the exercise of stock options, resulting in gross and net proceeds of $0.5 million during the nine months ended September 30, 2017 and $0.1 million during the nine months ended September 30, 2016.</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May 15, 2017, the Company granted a total of 91,504 RSUs and 131,575 stock options to members of the Company’s Board of Directors under the Amarin Corporation plc Stock Incentive Plan (the “2011 Plan”).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Also on May 15, 2017, the Company granted a total of 2,310,000 RSUs to employees under the 2011 Plan that vest over three years commencing after anticipated REDUCE-IT results upon the achievement of certain regulatory and sales performance conditions associated with the REDUCE-IT clinical trial and subsequent revenue growth.</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February 1, 2017, the Company granted a total of 1,575,000 RSUs and 2,642,500 stock options to employees under the 2011 Plan. The RSUs vest annually over a three-year period and the stock options vest over a four-year period. The issuance of 989,000 of these RSUs was contingent upon shareholder approval to increase the aggregate number of shares authorized for issuance under the 2011 Plan, which was obtained at the Company’s Annual General Meeting of Shareholders held on May 15, 2017.</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July 11, 2016, the Company granted a total of 148,403 RSUs and 208,340 stock options to members of the Company’s Board of Directors under the 2011 Plan.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93"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On February 1, 2016, the Company granted a total of 1,607,500 RSUs and 2,442,000 stock options to employees under the 2011 Plan. The RSUs vest annually over a three-year period and the stock options vest monthly over a four-year period. During the nine months ended September 30, 2017, the Company issued 494,885 common shares related to the vesting of these RSUs, of which 191,899 shares were retained as treasury shares as settlement of employee tax obligations.</w:t>
      </w:r>
    </w:p>
    <w:p>
      <w:pPr>
        <w:spacing w:after="0" w:line="291"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Co-Promotion Agreement</w:t>
      </w:r>
    </w:p>
    <w:p>
      <w:pPr>
        <w:spacing w:after="0" w:line="12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March 31, 2014, the Company entered into a Co-Promotion Agreement (the “Agreement”) with Kowa Pharmaceuticals America, Inc. related to the commercialization of Vascepa</w:t>
      </w:r>
      <w:r>
        <w:rPr>
          <w:rFonts w:ascii="Arial" w:cs="Arial" w:eastAsia="Arial" w:hAnsi="Arial"/>
          <w:sz w:val="13"/>
          <w:szCs w:val="13"/>
          <w:color w:val="auto"/>
        </w:rPr>
        <w:t>®</w:t>
      </w:r>
      <w:r>
        <w:rPr>
          <w:rFonts w:ascii="Arial" w:cs="Arial" w:eastAsia="Arial" w:hAnsi="Arial"/>
          <w:sz w:val="16"/>
          <w:szCs w:val="16"/>
          <w:color w:val="auto"/>
        </w:rPr>
        <w:t xml:space="preserve"> (icosapent ethyl) capsules in the United States. Under the terms of the Agreement, Amarin granted to Kowa Pharmaceuticals America, Inc. the right to be the sole co-promoter, together with the Company, of Vascepa in the United States during the term. The initial term of the Agreement extends through 2018. The Agreement was amended on July 25, 2017 to reflect evolving promotional needs, including refinement of target lists.</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term, Kowa Pharmaceuticals America, Inc. and Amarin have agreed to use commercially reasonable efforts to promote, detail and optimize sales of Vascepa in the United States. The performance requirements include a negotiated minimum number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right="40"/>
        <w:spacing w:after="0" w:line="257" w:lineRule="auto"/>
        <w:rPr>
          <w:sz w:val="20"/>
          <w:szCs w:val="20"/>
          <w:color w:val="auto"/>
        </w:rPr>
      </w:pPr>
      <w:r>
        <w:rPr>
          <w:rFonts w:ascii="Arial" w:cs="Arial" w:eastAsia="Arial" w:hAnsi="Arial"/>
          <w:sz w:val="18"/>
          <w:szCs w:val="18"/>
          <w:color w:val="auto"/>
        </w:rPr>
        <w:t>details to be delivered by each party in the first and second position, and the use of a negotiated number of minimum sales representatives from each party. Kowa Pharmaceuticals America, Inc. has agreed to bear the costs incurred for its sales force associated with the commercialization of Vascepa and to pay for certain incremental costs associated with the use of its sales force, such as sample costs and costs for promotional and marketing materials. Amarin will continue to recognize all revenue from sales of Vascepa and will use commercially reasonable efforts to maintain a minimum amount of inventory of Vascepa for use in the United States.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exchange for Kowa Pharmaceuticals America, Inc.’s co-promotional services, Kowa Pharmaceuticals America, Inc. is entitled to a quarterly co-promotion fee based on aggregate Vascepa gross margin that varies during the term. The percentage of aggregate Vascepa gross margin earned by Kowa Pharmaceuticals America, Inc. is scheduled, as amended, to be approximately eighteen percent (18%) in 2017, partially offset by certain other refinements. During 2018, which is the last year of the Agreement, as amended, the Company anticipates incurring expense for both the annual co-promotion fee, which in 2018 will again be calculated as a percentage of Vascepa gross margin at a modestly higher rate than in 2017, plus accrual for co-promotion tail payments. Assuming Kowa Pharmaceuticals America, Inc. fulfills its obligations in accordance with the terms of the Agreement, as amended, upon expiration of the Agreement, Kowa Pharmaceuticals America, Inc. is eligible to receive up to three years of co-promotion tail payments equal to declining percentages of the co-promotion fee earned in the final year of the Agreement.</w:t>
      </w:r>
    </w:p>
    <w:p>
      <w:pPr>
        <w:spacing w:after="0" w:line="17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As of September 30, 2017 and December 31, 2016, the Company had a net accrual of $6.0 million and $2.5 million, respectively, to Kowa Pharmaceuticals America, Inc. representing co-promotion fees accrued under the agreement with Kowa Pharmaceuticals America, Inc., net of reimbursable amounts incurred for samples and other marketing expenses. Under the terms of the Agreement, as amended, the Company anticipates paying the co-promotion fees quarterly going forward without multiple quarters being accrued without payment.</w:t>
      </w:r>
    </w:p>
    <w:p>
      <w:pPr>
        <w:spacing w:after="0" w:line="291"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Commercialization and Supply Agreements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Eddingpharm (Asia) Macao Commercial Offshore Limited</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February 2015, the Company entered into a Development, Commercialization and Supply Agreement (the “DCS Agreement”) with Eddingpharm (Asia) Macao Commercial Offshore Limited (“Eddingpharm”) related to the development and commercialization of Vascepa in Mainland China, Hong Kong, Macau and Taiwan, or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ongoing REDUCE-IT clinical trials of Vascepa.</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DCS Agreement, Eddingpharm will be solely responsible for development and commercialization activities in the China Territory and associated expenses. The Company will provide development assistance and be responsible for supplying finished and later bulk drug product at defined prices under negotiated terms. The Company will retain all Vascepa manufacturing rights. Eddingpharm has agreed to certain restrictions regarding the commercialization of competitive products globally and the Company has agreed to certain restrictions regarding the commercialization of competitive products in the China Territory.</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and Eddingpharm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will be paid by Eddingpharm to the extent such costs are incurred in connection with the negotiated development plan or otherwise incurred by Eddingpharm. Eddingpharm will be responsible for preparing and filing regulatory applications in all countries of the China Territory at Eddingpharm’s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18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6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Upon closing of the DCS Agreement, the Company received a non-refundable $15.0 million up-front payment, which it will recognize as revenue over the estimated period in which the Company is required to provide initial and on-going regulatory and development support and clinical supply for obtaining regulatory approvals in the China Territory and through the estimated period in which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 w:name="page28"/>
    <w:bookmarkEnd w:id="27"/>
    <w:p>
      <w:pPr>
        <w:spacing w:after="0" w:line="255" w:lineRule="auto"/>
        <w:rPr>
          <w:sz w:val="20"/>
          <w:szCs w:val="20"/>
          <w:color w:val="auto"/>
        </w:rPr>
      </w:pPr>
      <w:r>
        <w:rPr>
          <w:rFonts w:ascii="Arial" w:cs="Arial" w:eastAsia="Arial" w:hAnsi="Arial"/>
          <w:sz w:val="18"/>
          <w:szCs w:val="18"/>
          <w:color w:val="auto"/>
        </w:rPr>
        <w:t>Company is required to provide commercial supply, which is currently estimated to be a period of approximately 16 years. In March 2016, Eddingpharm submitted its clinical trial application (“CTA”) with respect to the MARINE indication for Vascepa to the Chinese regulatory authority. Following the CTA submission, the Company received a non-refundable $1.0 million milestone payment, which it will recognize as revenue over the estimated period in which the Company is required to provide on-going development support needed to support the successful approval for a new drug application, which is currently estimated to be a period of approximately four years. In March 2017, the CTA was approved by the Chinese regulatory authority, and Eddingpharm expects to initiate clinical trials by the end of 2017.</w:t>
      </w:r>
    </w:p>
    <w:p>
      <w:pPr>
        <w:spacing w:after="0" w:line="1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$1.0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 The Company recognizes contingent consideration from activities that is earned upon the achievement of a substantive milestone in the period in which the milestone is achieved.</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Biologix FZCo</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March 2016, the Company entered into an agreement with Biologix FZCo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payments based on product sales at an agreed-upon transfer price, which represents a percentage of gross selling price, subject to a minimum floor price.</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HLS Therapeutics, Inc.</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September 2017, the Company entered into an agreement with HLS Therapeutics Inc. (“HLS”), a company incorporated under the laws of Canada, to register, commercialize and distribute Vascepa in Canada. Under the agreement, HLS will be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Upon closing of the agreement, the Company received one-half of a non-refundable $5.0 million up-front payment, with the remaining half to be received upon the six-month anniversary of the closing. The up-front payment will be recognized as revenue over the estimated period in which the Company is required to provide initial and on-going regulatory support for obtaining regulatory approvals in Canada and through the estimated period in which the Company is required to provide commercial supply, which is currently estimated to be a period of approximately 12.5 years. In addition to the non-refundable, up-front payment, the Company is entitled to receive certain regulatory and sales-based milestone payments of up to an additional $60.0 million, the timing and achievability of which cannot be determined at least until discussions with Canadian regulatory authorities have commenced, as well as tiered double-digit royalties on net sales of Vascepa in Canada.</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Licensing and Deferred Revenues</w:t>
      </w:r>
    </w:p>
    <w:p>
      <w:pPr>
        <w:spacing w:after="0" w:line="11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Licensing and deferred revenues currently consist of revenue attributable to receipt of up-front, non-refundable payments and milestone payments as described above. Up-front and milestone payments under such agreements are typically recognized as licensing revenue over the estimated period in which the Company is required to provide regulatory and development support and clinical and commercial supply pursuant to the agreements. During the nine months ended September 30, 2017 and 2016, the Company recognized $0.9 million and $0.8 million of up-front and milestone payments as licensing revenue, respectively, and recorded $19.2 million and $15.1 million as deferred revenue as of September 30, 2017 and December 31, 2016, respectively.</w:t>
      </w:r>
    </w:p>
    <w:p>
      <w:pPr>
        <w:spacing w:after="0" w:line="262"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Company has evaluated subsequent events from September 30, 2017 through the date of the issuance of these condensed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2016 and below under Part II, Item IA, “Risk Factors”.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We are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Our lead product, Vascepa</w:t>
      </w:r>
      <w:r>
        <w:rPr>
          <w:rFonts w:ascii="Arial" w:cs="Arial" w:eastAsia="Arial" w:hAnsi="Arial"/>
          <w:sz w:val="13"/>
          <w:szCs w:val="13"/>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 mg/dL) hypertriglyceridemia. This FDA-approved indication for Vascepa, known as the MARINE indication, is based primarily on the successful results from the MARINE study of Vascepa in this approved patient population. In considering this approval, FDA also reviewed the successful results from our study of Vascepa in patients with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200 mg/dL and &lt;500 mg/dL) who are also on statin therapy for elevated low-density lipoprotein cholesterol, or LDL-C, levels which condition we refer to as mixed dyslipidemia or persistently high triglycerides. This study is known as the ANCHOR study. Safety data from both the MARINE and ANCHOR studies are reflected in FDA-approved labeling for Vascepa. In January 2013, we began selling and marketing Vascepa in the United States based on the FDA-approved MARINE indication. In August 2015, we also began communicating promotional information beyond the MARINE indication to healthcare professionals in the United States based on the federal court declaration described below. In March 2016, we reached agreement with the FDA and U.S. government under which they agreed to be bound by the terms of the August 2015 judicial declaration. Vascepa is available in the United States by prescription only.</w:t>
      </w:r>
    </w:p>
    <w:p>
      <w:pPr>
        <w:spacing w:after="0" w:line="169"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We market Vascepa in the United States through our direct sales force. In March 2014, we entered into a co-promotion agreement in the United States with Kowa Pharmaceuticals America, Inc. under which Kowa Pharmaceuticals America, Inc. began to co-promote Vascepa in conjunction with its promotion of its primary product, a branded statin for patients with high cholesterol, commencing in May 2014 and is scheduled to end in December 2018. Our direct sales force for the three and nine months ended September 30, 2017 and 2016 consisted of approximately 150 sales professionals, including sales representatives and their managers. We anticipate increasing our direct sales force to approximately 400 to 500 sales professionals after REDUCE-IT results, assuming success. While we intend to wait for REDUCE-IT results before adding the majority of these additional sales representatives, we plan to add approximately 10 to 20 sales representatives and expand sales management prior to REDUCE-IT results. We anticipate that this smaller increase in the number of sales representatives will begin in the fourth quarter of 2017. We are also considering engaging in direct-to-consumer advertising for Vascepa.</w:t>
      </w:r>
    </w:p>
    <w:p>
      <w:pPr>
        <w:spacing w:after="0" w:line="169"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February 2015, we entered into an exclusive agreement with Eddingpharm (Asia) Macao Commercial Offshore Limited, or Eddingpharm, to develop and commercialize Vascepa capsules in Mainland China, Hong Kong, Macau and Taiwan, or the China Territory. In March 2016, we entered into an agreement with Biologix FZCo, or Biologix, to register and commercialize Vascepa in countries within the Middle East and North Africa. In September 2017, we entered into an agreement with HLS Therapeutics Inc., or HLS, to register, commercialize and distribute Vascepa in Canada. We continue to assess other partnership opportunities for licensing Vascepa to partners outside of the United States.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ind w:right="40" w:firstLine="518"/>
        <w:spacing w:after="0" w:line="253" w:lineRule="auto"/>
        <w:rPr>
          <w:sz w:val="20"/>
          <w:szCs w:val="20"/>
          <w:color w:val="auto"/>
        </w:rPr>
      </w:pPr>
      <w:r>
        <w:rPr>
          <w:rFonts w:ascii="Arial" w:cs="Arial" w:eastAsia="Arial" w:hAnsi="Arial"/>
          <w:sz w:val="18"/>
          <w:szCs w:val="18"/>
          <w:color w:val="auto"/>
        </w:rPr>
        <w:t xml:space="preserve">Triglycerides are the main constituent of body fat in humans. Hypertriglyceridemia refers to a condition in which patients have high levels of triglycerides in the bloodstream. It is estimated that over 75 million adults in the United States have elevated triglyceride levels (TG </w:t>
      </w:r>
      <w:r>
        <w:rPr>
          <w:rFonts w:ascii="Arial" w:cs="Arial" w:eastAsia="Arial" w:hAnsi="Arial"/>
          <w:sz w:val="18"/>
          <w:szCs w:val="18"/>
          <w:u w:val="single" w:color="auto"/>
          <w:color w:val="auto"/>
        </w:rPr>
        <w:t>&gt;</w:t>
      </w:r>
      <w:r>
        <w:rPr>
          <w:rFonts w:ascii="Arial" w:cs="Arial" w:eastAsia="Arial" w:hAnsi="Arial"/>
          <w:sz w:val="18"/>
          <w:szCs w:val="18"/>
          <w:color w:val="auto"/>
        </w:rPr>
        <w:t xml:space="preserve">150 mg/dL), approximately 40 million adults in the United States have high triglyceride levels (TG </w:t>
      </w:r>
      <w:r>
        <w:rPr>
          <w:rFonts w:ascii="Arial" w:cs="Arial" w:eastAsia="Arial" w:hAnsi="Arial"/>
          <w:sz w:val="18"/>
          <w:szCs w:val="18"/>
          <w:u w:val="single" w:color="auto"/>
          <w:color w:val="auto"/>
        </w:rPr>
        <w:t>&gt;</w:t>
      </w:r>
      <w:r>
        <w:rPr>
          <w:rFonts w:ascii="Arial" w:cs="Arial" w:eastAsia="Arial" w:hAnsi="Arial"/>
          <w:sz w:val="18"/>
          <w:szCs w:val="18"/>
          <w:color w:val="auto"/>
        </w:rPr>
        <w:t xml:space="preserve">200 mg/dL), and approximately 4.0 million people in the United States have severely high triglyceride levels (TG </w:t>
      </w:r>
      <w:r>
        <w:rPr>
          <w:rFonts w:ascii="Arial" w:cs="Arial" w:eastAsia="Arial" w:hAnsi="Arial"/>
          <w:sz w:val="18"/>
          <w:szCs w:val="18"/>
          <w:u w:val="single" w:color="auto"/>
          <w:color w:val="auto"/>
        </w:rPr>
        <w:t>&gt;</w:t>
      </w:r>
      <w:r>
        <w:rPr>
          <w:rFonts w:ascii="Arial" w:cs="Arial" w:eastAsia="Arial" w:hAnsi="Arial"/>
          <w:sz w:val="18"/>
          <w:szCs w:val="18"/>
          <w:color w:val="auto"/>
        </w:rPr>
        <w:t xml:space="preserve">500 mg/dL), commonly known as very high triglyceride levels. Many patients with high triglyceride levels also have diabetes and other lipid level abnormalities such as high cholesterol. The patient condition of having more than one lipid level abnormality is referred to as mixed dyslipidemia. According to </w:t>
      </w:r>
      <w:r>
        <w:rPr>
          <w:rFonts w:ascii="Arial" w:cs="Arial" w:eastAsia="Arial" w:hAnsi="Arial"/>
          <w:sz w:val="18"/>
          <w:szCs w:val="18"/>
          <w:i w:val="1"/>
          <w:iCs w:val="1"/>
          <w:color w:val="auto"/>
        </w:rPr>
        <w:t>The American Heart Association Scientific Statement on Triglycerides and Cardiovascular Disease</w:t>
      </w:r>
      <w:r>
        <w:rPr>
          <w:rFonts w:ascii="Arial" w:cs="Arial" w:eastAsia="Arial" w:hAnsi="Arial"/>
          <w:sz w:val="18"/>
          <w:szCs w:val="18"/>
          <w:color w:val="auto"/>
        </w:rPr>
        <w:t xml:space="preserve"> (2011), triglycerides provide important information as a marker associated with the risk for heart 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9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are currently focused on completing the ongoing REDUCE-IT (Reduction of Cardiovascular Events with EPA—Intervention Trial) cardiovascular outcomes study of Vascepa, which we started in December 2011. REDUCE-IT, a multinational, prospective, randomized, double-blind, placebo-controlled study, is the first prospective cardiovascular outcomes study of any drug in a population of patients who, despite stable statin therapy, have elevated triglyceride levels. Based on the results of REDUCE-IT, we plan to seek additional indicated uses for Vascepa. In REDUCE-IT, cardiovascular event rates for patients on stable statin therapy plus four grams per day of Vascepa will be compared to cardiovascular event rates for patients on stable statin therapy plus placebo. In 2016, we completed patient enrollment and randomization of 8,175 individual patients into the REDUCE-IT study, exceeding the 8,000 patients targeted for the trial.</w:t>
      </w:r>
    </w:p>
    <w:p>
      <w:pPr>
        <w:spacing w:after="0" w:line="18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REDUCE-IT study is designed to be completed after reaching 1,612 aggregate primary cardiovascular events. Based on projected event rates, we estimate the onset of the target aggregate number of cardiovascular events to be reached before the end of the first quarter of 2018 with study results then expected to be available and made public before the end of the third quarter of 2018, followed by publication of the results. Between reaching the estimated onset of the target 1,612 aggregate primary cardiovascular events and study data being unblinded and disclosed, vital data will be collected from all remaining living patients in the study and data in the study will be rolled-up for evaluation by the independent data monitoring committee, or DMC, and creation of a final study report.</w:t>
      </w:r>
    </w:p>
    <w:p>
      <w:pPr>
        <w:spacing w:after="0" w:line="193"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The REDUCE-IT study, since its inception in 2011, has been conducted under a special protocol assessment, or SPA, agreement with the FDA. This SPA, as amended, provides for periodic safety reviews by the study’s DMC. In addition, the SPA, as amended, provided for interim efficacy and safety analyses by the study’s DMC at approximately 60% and at approximately 80% of the target aggregate number of primary cardiovascular events. The periodic safety reviews and interim efficacy and safety analyses are conducted confidentially by the study’s DMC. We remain blinded to all data from the study. Until the study is completed or the study is halted due to a patient safety concern (not expected), Amarin personnel will remain blinded to the efficacy and safety data from the REDUCE-IT study. Since patient enrollment commenced in 2011, over 30,000 patient years of study experience have been accumulated in the REDUCE-IT study. Following each periodic review of safety data to date, which have occurred quarterly since 2013, and following each of two interim efficacy and safety analyses, the DMC has communicated to us that we should continue the study as planned. The p-value used to assess the primary endpoint in REDUCE-IT at completion, assuming 1,612 aggregate primary cardiovascular events, is now p&lt;0.0436 based on adjustment following the actual number of targeted events assessed at the most recent 80% interim efficacy and safety analysis.</w:t>
      </w:r>
    </w:p>
    <w:p>
      <w:pPr>
        <w:spacing w:after="0" w:line="169"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 xml:space="preserve">The second of the two-interim efficacy and safety analysis was completed by the DMC in August 2017. As expected, upon completing its analysis, the DMC recommended that the REDUCE-IT study continue as planned without modification. </w:t>
      </w:r>
      <w:r>
        <w:rPr>
          <w:rFonts w:ascii="Arial" w:cs="Arial" w:eastAsia="Arial" w:hAnsi="Arial"/>
          <w:sz w:val="17"/>
          <w:szCs w:val="17"/>
          <w:color w:val="1E283A"/>
        </w:rPr>
        <w:t>Because REDUCE-IT is the first prospective clinical trial of any</w:t>
      </w:r>
      <w:r>
        <w:rPr>
          <w:rFonts w:ascii="Arial" w:cs="Arial" w:eastAsia="Arial" w:hAnsi="Arial"/>
          <w:sz w:val="17"/>
          <w:szCs w:val="17"/>
          <w:color w:val="auto"/>
        </w:rPr>
        <w:t xml:space="preserve"> </w:t>
      </w:r>
      <w:r>
        <w:rPr>
          <w:rFonts w:ascii="Arial" w:cs="Arial" w:eastAsia="Arial" w:hAnsi="Arial"/>
          <w:sz w:val="17"/>
          <w:szCs w:val="17"/>
          <w:color w:val="1E283A"/>
        </w:rPr>
        <w:t>therapy in the large patient population studied, the bars for stopping this trial early for overwhelming efficacy were intentionally set high with the understanding that a more robust result, based on a larger number of cardiovascular events, could be obtained by the study continuing to completion. The analysis and recommendation of the DMC at this interim look were made independently. Neither Amarin nor the FDA has reviewed the interim clinical results and neither participated in the DMC's closed session deliberation. Additional periodic safety reviews are planned by the DMC prior to study completion, but no additional interim efficacy and safety analysis is planned prior to study completion.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 w:name="page31"/>
    <w:bookmarkEnd w:id="30"/>
    <w:p>
      <w:pPr>
        <w:ind w:right="100" w:firstLine="518"/>
        <w:spacing w:after="0" w:line="271" w:lineRule="auto"/>
        <w:rPr>
          <w:sz w:val="20"/>
          <w:szCs w:val="20"/>
          <w:color w:val="auto"/>
        </w:rPr>
      </w:pPr>
      <w:r>
        <w:rPr>
          <w:rFonts w:ascii="Arial" w:cs="Arial" w:eastAsia="Arial" w:hAnsi="Arial"/>
          <w:sz w:val="17"/>
          <w:szCs w:val="17"/>
          <w:color w:val="auto"/>
        </w:rPr>
        <w:t>In the successful Phase 3 MARINE and ANCHOR clinical trials, Vascepa was studied at a daily dose of 2 grams and 4 grams. We sought approval of Vascepa at the more efficacious 4-gram dose for use in each patient population. These trials demonstrated favorable results in their respective patient populations, particularly with the 4-gram dose of Vascepa,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79"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In April 2015, we received a Complete Response Letter, or CRL, from the FDA in response to our supplemental new drug application, or sNDA, that sought approval of Vascepa for use in patients with mixed dyslipidemia, based on the successful ANCHOR study. The CRL followed an October 2013 rescission by the FDA of a special protocol assessment, or SPA, agreement and three failed attempts by us to appeal that rescission at FDA. The FDA has acknowledged the success of the ANCHOR study, which met all primary and secondary endpoints. However, FDA determined that there were insufficient data to conclude that drug-induced changes in serum triglycerides could be recognized by the FDA as a valid surrogate for reducing cardiovascular risk in the ANCHOR population for the purpose of regulatory approval of a drug targeted at a triglyceride-lowering indication in this population. The FDA has acknowledged that the standard of proof required by the FDA for approval of a new drug indication is higher than that generally used to inform patient treatment guidelines and that used by physicians in clinical practice. The FDA did not determine that the drug-induced effects of Vascepa, which go beyond triglyceride-lowering, would not actually reduce cardiovascular risk in this population and the FDA has encouraged us to complete the REDUCE-IT outcomes study. Based on our communications with the FDA, we expect that final positive results from the REDUCE-IT outcomes study will be required for label expansion for Vascepa.</w:t>
      </w:r>
    </w:p>
    <w:p>
      <w:pPr>
        <w:spacing w:after="0" w:line="183"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In May 2015, we and a group of independent physicians filed a lawsuit in federal court to permit us to promote to healthcare professionals the use of Vascepa in patients with mixed dyslipidemia so long as the promotion is truthful and non-misleading. This use reflects recognized medical practice but is not covered by current FDA-approved labeling for the drug. Historically, FDA has considered promotion of drug uses not covered by FDA-approved labelling to be illegal off-label promotion, even if such promotion is truthful and non-misleading. In August 2015, we were granted preliminary relief in the form of a declaratory judgment in this lawsuit. The court declaration permits us to promote to healthcare professionals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 In August 2015, we began to communicate promotional information beyond the MARINE indication to healthcare professionals in the United States as permitted by this court declaration and in March 2016, the parties obtained court approval of negotiated settlement terms under which the FDA and the U.S. government agreed to be bound by the court’s conclusions from the August 2015 declaration that we may engage in truthful and non-misleading speech promoting the off-label use of Vascepa and that certain statements and disclosures that we proposed to make to healthcare professionals were truthful and non-misleading. 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Commercialization – United States</w:t>
      </w:r>
    </w:p>
    <w:p>
      <w:pPr>
        <w:spacing w:after="0" w:line="117"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We commenced the commercial launch of 1-gram size Vascepa capsules in the United States in January 2013. We commenced sales and shipments of Vascepa at that time to our network of U.S.-based wholesalers. We currently market Vascepa in the United States through our direct sales force which for the three and nine months ended September 30, 2017 and 2016 consisted of approximately 150 sales professionals, including sales representatives and their managers. Commencing in May 2014, in addition to Vascepa promotion by our sales representatives, Kowa Pharmaceuticals America, Inc. began co-promoting Vascepa in conjunction with its promotion of its primary product, a branded statin for patients with high cholesterol. We anticipate increasing our sales force to a total of approximately 400 to 500 sales professionals after REDUCE-IT results, assuming success. While we intend to wait for REDUCE-IT results before adding the majority of these additional sales representatives, we plan to add approximately 10 to 20 sales representatives and expand sales management prior to REDUCE-IT results. We anticipate that this smaller increase in the number of sales representatives will begin in the fourth quarter of 2017. We also employ various marketing personnel to support our commercialization of Vascepa. We are also considering engaging in direct-to-consumer advertising for Vascepa.</w:t>
      </w:r>
    </w:p>
    <w:p>
      <w:pPr>
        <w:spacing w:after="0" w:line="178"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In October 2016, in addition to the original 1-gram capsule size for Vascepa, we introduced a smaller 500-mg capsule size, the first and only 500-mg prescription omega-3 alternative available on the market, for the subset of patients who prefer a smaller capsule. The FDA-approved dosing for Vascepa continues to be 4 grams per day, and we expect that the majority of new and existing patients taking Vascepa will continue to be prescribed the 1-gram size Vascepa capsule.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1" w:name="page32"/>
    <w:bookmarkEnd w:id="31"/>
    <w:p>
      <w:pPr>
        <w:ind w:firstLine="518"/>
        <w:spacing w:after="0" w:line="285" w:lineRule="auto"/>
        <w:rPr>
          <w:sz w:val="20"/>
          <w:szCs w:val="20"/>
          <w:color w:val="auto"/>
        </w:rPr>
      </w:pPr>
      <w:r>
        <w:rPr>
          <w:rFonts w:ascii="Arial" w:cs="Arial" w:eastAsia="Arial" w:hAnsi="Arial"/>
          <w:sz w:val="16"/>
          <w:szCs w:val="16"/>
          <w:color w:val="auto"/>
        </w:rPr>
        <w:t>Under our co-promotion agreement with Kowa Pharmaceuticals America, Inc., both parties have agreed to use commercially reasonable efforts to promote, detail and optimize sales of Vascepa in the United States and have agreed to specific performance requirements detailed in the related agreement. The performance requirements include a negotiated minimum number of sales details to be delivered by each party in the first and second position, the use of a negotiated number of minimum sales representatives from each party, and the achievement of minimum levels of Vascepa revenue in 2015 and beyond. First position refers to when a sales representative’s primary purpose in detailing is related to Vascepa, while second position refers to when a sales representative’s primary purpose in detailing is to promote another product, but they also devote time in the same sales call to promote Vascepa. Kowa Pharmaceuticals America, Inc. has also agreed to bear the costs incurred for its sales force associated with the commercialization of Vascepa and to pay for certain incremental costs associated with the use of its sales force, such as sample costs and costs for promotional and marketing materials. We will continue to recognize all revenue from sales of Vascepa. In exchange for Kowa Pharmaceuticals America, Inc.’s co-promotional services, Kowa Pharmaceuticals America, Inc. is entitled to a quarterly co-promotion fee based on a percentage of aggregate Vascepa gross margin that varies during the term. The percentage of aggregate Vascepa gross margin earned by Kowa Pharmaceuticals America, Inc. is scheduled, as amended, to be approximately eighteen percent (18%) in 2017, partially offset by certain other refinements. During 2018, which is the last year of the agreement, as amended, we anticipate incurring expense for both the annual co-promotion fee, which in 2018 will again be calculated as a percentage of Vascepa gross margin at a modestly higher rate than in 2017, plus accrual for co-promotion tail payments. Assuming Kowa Pharmaceuticals America, Inc. fulfills its obligations in accordance with the terms of the agreement, as amended, upon expiration of the agreement, Kowa Pharmaceuticals America, Inc. is eligible to receive up to three years of co-promotion tail payments equal to declining percentages of the co-promotion fee earned in the final year of the agreement.</w:t>
      </w:r>
    </w:p>
    <w:p>
      <w:pPr>
        <w:spacing w:after="0" w:line="178"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Based on monthly compilations of data provided by a third party, Symphony Health Solutions, the estimated number of normalized total Vascepa prescriptions for the three months ended September 30, 2017 was approximately 374,000 compared to 344,000, 305,000 and 260,000 in the three months ended June 30, 2017, March 31, 2017 and September 30, 2016, respectively. According to data from another third party, QuintilesIMS, the estimated number of normalized total Vascepa prescriptions for the three months ended September 30, 2017 was approximately 372,000 compared to 344,000, 307,000 and 257,000 in the three months ended June 30, 2017, March 31, 2017 and September 30, 2016, respectively. 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19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data reported above is based on information made available to us from third-party resources and may be subject to adjustment and may overstate or understate actual prescriptions.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We believe investors should consider our results over several quarters, or longer, before making an assessment about potential future performance.</w:t>
      </w:r>
    </w:p>
    <w:p>
      <w:pPr>
        <w:spacing w:after="0" w:line="17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commercialization of pharmaceutical products is a complex undertaking, and our ability to effectively and profitably commercialize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Factors—Risks Related to the Commercialization and Development of Vascepa.”</w:t>
      </w:r>
    </w:p>
    <w:p>
      <w:pPr>
        <w:spacing w:after="0" w:line="18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In August 2015, we and our co-promotion partner began communicating promotional information beyond MARINE clinical trial data to targeted healthcare professionals. Such qualified communications are being made pursuant to the August 2015 federal district court declaration and related March 2016 settlement allowing truthful and non-misleading promotion of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i w:val="1"/>
          <w:iCs w:val="1"/>
          <w:color w:val="auto"/>
        </w:rPr>
        <w:t>Commercialization – Outside the United States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February 2015, we announced an exclusive agreement with Eddingpharm to develop and commercialize Vascepa capsules in what we refer to as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China Territory, consisting of the territories of Mainland China, Hong Kong, Macau and Taiwan, for uses that are currently commercialized and under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development by us in the United States based on the MARINE, ANCHOR and ongoing REDUCE-IT clinical trials of Vascepa. Under the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Eddingpharm is responsible for development and commercialization activities in the China Territory and associated expenses. We will provide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assistance and be responsible for supplying the product. Terms of the agreement include up-front and milestone payments to us of up to $169.0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including a non-refundable $15.0 million up-front payment received at closing, a non-refundable milestone payment of $1.0 million received upon successful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submission of a clinical trial application with respect to the MARINE indication for Vascepa to the Chinese regulatory authority in March 2016, and future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regulatory and sales-based milestone payments of up to an additional $153.0 million. The regulatory milestone events relate to the submission and approval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applications to the applicable regulatory authority, such as a clinical trial application, clinical trial exemption, or import drug license application.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to be received upon achievement of the regulatory milestone events relate to the submission and approval for three indications, and range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to $15.0 million for a total of $33.0 million. The sales-based milestone events occur when annual aggregate net sales of Vascepa in the territory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equals or exceeds certain specified thresholds, and range from $5.0 million to $50.0 million for a total of $120.0 million. Eddingpharm will also pay us tiered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double-digit percentage royalties on net sales of Vascepa in the China Territory escalating to the high teens. We will supply finished product to Eddingpharm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negotiated terms.</w:t>
      </w:r>
    </w:p>
    <w:p>
      <w:pPr>
        <w:spacing w:after="0" w:line="21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March 2016, we entered into an agreement with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Upon closing of the agreement, we received a non-refundable up-front payment, which will be recognized as revenue over 10 years commencing upon first marketing approval of Vascepa in the territory. We are entitled to receive payments based on product sales at an agreed-upon transfer price, which represents a percentage of gross selling price, subject to a minimum floor price.</w:t>
      </w:r>
    </w:p>
    <w:p>
      <w:pPr>
        <w:spacing w:after="0" w:line="193"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In September 2017, we entered into an agreement with HLS to register, commercialize and distribute Vascepa in Canada. Under the agreement, HLS will be responsible for regulatory and commercialization activities and associated costs. We will be responsible for providing assistance towards local filings, supplying finished product under negotiated supply terms, maintaining intellectual property, and continuing the development and funding of REDUCE-IT. Terms of the agreement include up-front and milestone payments to us of up to $65.0 million. These payments include a non-refundable $5.0 million up-front payment to be received in two equal installments, the first of which was received at closing with the second to be received upon the six-month anniversary of the closing. In addition to the non-refundable, up-front payment, we are entitled to receive certain regulatory and sales-based milestone payments of up to an additional $60.0 million, the timing and achievability of which cannot be determined at least until discussions with Canadian regulatory authorities have commenced, as well as tiered double-digit royalties on net sales of Vascepa in Canada.</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continue to assess other partnership opportunities for licensing Vascepa to partners outside of the United States.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REDUCE-IT is the first prospective cardiovascular outcomes study of any drug in a population of patients who, despite stable statin therapy, have elevated triglyceride levels. REDUCE-IT is a multinational, prospective, randomized, double-blind, placebo-controlled study designed to assess the cumulative effect on the rate of cardiovascular events for patients treated with Vascepa as an add-on to statin therapy compared to the corresponding rate of cardiovascular events for patients treated with placebo on top of statin therapy. REDUCE-IT is not designed to demonstrate that lowering triglycerides alone in the study population is sufficient to lower the rate of major adverse cardiovascular events compared to placebo. Rather, it is designed to test the hypothesis that the clinical effects of Vascepa, including its impact on triglyceride lowering, are effective in lowering the rate of major adverse cardiovascular events compared to placebo in patients who despite statin therapy have risk factors for cardiovascular disease, including elevated triglyceride levels. Based on the results of REDUCE-IT, we may seek additional indications for Vascepa beyond the indications studied in the ANCHOR or MARINE trials.</w:t>
      </w:r>
    </w:p>
    <w:p>
      <w:pPr>
        <w:spacing w:after="0" w:line="166"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In 2016, we completed patient enrollment and randomization of 8,175 individual patients into the REDUCE-IT study, exceeding the 8,000 patients targeted for the trial.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ind w:firstLine="518"/>
        <w:spacing w:after="0" w:line="297" w:lineRule="auto"/>
        <w:rPr>
          <w:sz w:val="20"/>
          <w:szCs w:val="20"/>
          <w:color w:val="auto"/>
        </w:rPr>
      </w:pPr>
      <w:r>
        <w:rPr>
          <w:rFonts w:ascii="Arial" w:cs="Arial" w:eastAsia="Arial" w:hAnsi="Arial"/>
          <w:sz w:val="16"/>
          <w:szCs w:val="16"/>
          <w:color w:val="auto"/>
        </w:rPr>
        <w:t>The REDUCE-IT study is designed to be completed after reaching 1,612 aggregate primary cardiovascular events. Based on projected event rates, we estimate the onset of the target aggregate number of cardiovascular events to be reached before the end of the first quarter of 2018 with study results then expected to be available and made public before the end of the third quarter of 2018, followed by publication of the results. Between reaching the estimated onset of the target 1,612 aggregate primary cardiovascular events and study data being unblinded and disclosed, vital data will be collected from all remaining living patients in the study and data in the study will be rolled-up for evaluation by the DMC and creation of a final study report.</w:t>
      </w:r>
    </w:p>
    <w:p>
      <w:pPr>
        <w:spacing w:after="0" w:line="158"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The REDUCE-IT study, since its inception in 2011, has been conducted under a SPA agreement with the FDA. This SPA, as amended, provides for periodic safety reviews by the study’s DMC. In addition, the SPA, as amended, provided for interim efficacy and safety analyses by the study’s DMC at approximately 60% and at approximately 80% of the target aggregate number of primary cardiovascular events. The periodic safety reviews and interim efficacy and safety analyses are conducted confidentially by the study’s DMC. We remain blinded to all data from the study. Until the study is completed or the study is halted due to a patient safety concern (not expected), Amarin personnel will remain blinded to the efficacy and safety data from the REDUCE-IT study. Since patient enrollment commenced in 2011, over 30,000 patient years of study experience have been accumulated in the REDUCE-IT study. Following each periodic review of safety data to date, which have occurred quarterly since 2013, and following each of two interim efficacy and safety analyses, the DMC has communicated to us that we should continue the study as planned. The p-value used to assess the primary endpoint in REDUCE-IT at completion, assuming 1,612 aggregate primary cardiovascular events, is now p&lt;0.0436 based on adjustment following the actual number of targeted events assessed at the most recent 80% interim efficacy and safety analysis.</w:t>
      </w:r>
    </w:p>
    <w:p>
      <w:pPr>
        <w:spacing w:after="0" w:line="178"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 xml:space="preserve">The second of the two-interim efficacy and safety analysis was completed by the DMC in August 2017. As expected, upon completing its analysis, the DMC recommended that the REDUCE-IT study continue as planned without modification. </w:t>
      </w:r>
      <w:r>
        <w:rPr>
          <w:rFonts w:ascii="Arial" w:cs="Arial" w:eastAsia="Arial" w:hAnsi="Arial"/>
          <w:sz w:val="17"/>
          <w:szCs w:val="17"/>
          <w:color w:val="1E283A"/>
        </w:rPr>
        <w:t>Because REDUCE-IT is the first prospective clinical trial of any</w:t>
      </w:r>
      <w:r>
        <w:rPr>
          <w:rFonts w:ascii="Arial" w:cs="Arial" w:eastAsia="Arial" w:hAnsi="Arial"/>
          <w:sz w:val="17"/>
          <w:szCs w:val="17"/>
          <w:color w:val="auto"/>
        </w:rPr>
        <w:t xml:space="preserve"> </w:t>
      </w:r>
      <w:r>
        <w:rPr>
          <w:rFonts w:ascii="Arial" w:cs="Arial" w:eastAsia="Arial" w:hAnsi="Arial"/>
          <w:sz w:val="17"/>
          <w:szCs w:val="17"/>
          <w:color w:val="1E283A"/>
        </w:rPr>
        <w:t>therapy in the large patient population studied, the bars for stopping this trial early for overwhelming efficacy were intentionally set high with the understanding that a more robust result, based on a larger number of cardiovascular events, could be obtained by the study continuing to completion. The analysis and recommendation of the DMC at this interim look were made independently. Neither Amarin nor the FDA has reviewed the interim clinical results and neither participated in the DMC's closed session deliberation. Additional periodic safety reviews are planned by the DMC prior to study completion, but no additional interim efficacy and safety analysis is planned prior to study completion.</w:t>
      </w:r>
    </w:p>
    <w:p>
      <w:pPr>
        <w:spacing w:after="0" w:line="178"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Our scientific rationale for the REDUCE-IT study is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 (iii) clinical data that suggest substantial triglyceride reduction in patients with elevated baseline triglyceride levels correlates with reduced cardiovascular risk. Our scientific rationale for the REDUCE-IT study is also supported by research on the putative cardioprotective effects of EPA as presented in scientific literature. It is possible that the effects of EPA may be due not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 Supply</w:t>
      </w:r>
    </w:p>
    <w:p>
      <w:pPr>
        <w:spacing w:after="0" w:line="117"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Prior to 2015, all of our active pharmaceutical ingredient, or API, that has been utilized in product sold was manufactured by two suppliers: Nisshin Pharma, Inc., or Nisshin, and Chemport, Inc., or Chemport. During 2015, we began purchasing API from a third supplier, Finorga SAS, or Novasep.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Financial Position</w:t>
      </w:r>
    </w:p>
    <w:p>
      <w:pPr>
        <w:spacing w:after="0" w:line="117"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We believe that our cash and cash equivalents of $79.1 million as of September 30, 2017 will be sufficient to fund our projected operations through results of the REDUCE-IT study, which we anticipate will be available before the end of the third quarter of 2018. Depending on the level of cash generated from operations, additional capital may be required to sustain operations, fund debt obligations or expand promotion of Vascepa as contemplated following anticipated successful results of the REDUCE-IT study. We anticipate that quarterly net cash outflows in future periods will be variable.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i w:val="1"/>
          <w:iCs w:val="1"/>
          <w:color w:val="auto"/>
        </w:rPr>
        <w:t>Product Revenue, net</w:t>
      </w:r>
      <w:r>
        <w:rPr>
          <w:rFonts w:ascii="Arial" w:cs="Arial" w:eastAsia="Arial" w:hAnsi="Arial"/>
          <w:sz w:val="16"/>
          <w:szCs w:val="16"/>
          <w:color w:val="auto"/>
        </w:rPr>
        <w:t>. All of our product revenue is derived from product sales of 1-gram and 500-mg size capsules of Vascepa, net of allowances,</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discounts, incentives, rebates, chargebacks and returns. We sell product to a limited number of major wholesalers, as well as selected regional wholesalers and specialty pharmacy providers, or collectively, our Distributors or our customers, who resell the product to retail pharmacies for purposes of their reselling the product to fill patient prescriptions. We commenced our commercial launch of 1-gram size Vascepa capsules in the United States in January 2013, and introduced a smaller 500-mg capsule size in October 2016. In accordance with U.S. Generally Accepted Accounting Principles, or GAAP, during 2013, before we had the ability to reliably estimate returns of Vascepa from our Distributors, revenue was recognized based on the resale of Vascepa for the purposes of filling patient prescriptions, and not based on our sales to such Distributors. In 2014, we concluded that we had developed sufficient history such that we can reliably estimate returns and as a result, began to recognize revenue based on sales to our Distributors.</w:t>
      </w:r>
    </w:p>
    <w:p>
      <w:pPr>
        <w:spacing w:after="0" w:line="166"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i w:val="1"/>
          <w:iCs w:val="1"/>
          <w:color w:val="auto"/>
        </w:rPr>
        <w:t>Licensing revenue</w:t>
      </w:r>
      <w:r>
        <w:rPr>
          <w:rFonts w:ascii="Arial" w:cs="Arial" w:eastAsia="Arial" w:hAnsi="Arial"/>
          <w:sz w:val="18"/>
          <w:szCs w:val="18"/>
          <w:color w:val="auto"/>
        </w:rPr>
        <w:t>. Licensing revenue currently consists of revenue attributable to receipt of up-front, non-refundable payments and milestone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related to license and distribution agreements for Vascepa outside the United States. Up-front and milestone payments under such agreements are typically recognized as licensing revenue over the estimated period in which we are required to provide regulatory and development support and clinical and commercial supply pursuant to the agreements.</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includes the cost of API for Vascepa on which revenue was recognized during the period,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w:t>
      </w:r>
    </w:p>
    <w:p>
      <w:pPr>
        <w:spacing w:after="0" w:line="18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consists primarily of salaries and other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stock-based compensation expense, for personnel in our sales, marketing, executive, business development, finance and information technology functions, as well as co-promotion fees accrued under the agreement with Kowa Pharmaceuticals America, Inc. Other costs primarily include facility costs and professional fees for accounting, consulting and legal services.</w:t>
      </w:r>
    </w:p>
    <w:p>
      <w:pPr>
        <w:spacing w:after="0" w:line="187"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i w:val="1"/>
          <w:iCs w:val="1"/>
          <w:color w:val="auto"/>
        </w:rPr>
        <w:t>Research and Development Expense</w:t>
      </w:r>
      <w:r>
        <w:rPr>
          <w:rFonts w:ascii="Arial" w:cs="Arial" w:eastAsia="Arial" w:hAnsi="Arial"/>
          <w:sz w:val="16"/>
          <w:szCs w:val="16"/>
          <w:color w:val="auto"/>
        </w:rPr>
        <w:t>. Research and development expense consists primarily of fees paid to professional service providers in</w:t>
      </w:r>
      <w:r>
        <w:rPr>
          <w:rFonts w:ascii="Arial" w:cs="Arial" w:eastAsia="Arial" w:hAnsi="Arial"/>
          <w:sz w:val="16"/>
          <w:szCs w:val="16"/>
          <w:i w:val="1"/>
          <w:iCs w:val="1"/>
          <w:color w:val="auto"/>
        </w:rPr>
        <w:t xml:space="preserve"> </w:t>
      </w:r>
      <w:r>
        <w:rPr>
          <w:rFonts w:ascii="Arial" w:cs="Arial" w:eastAsia="Arial" w:hAnsi="Arial"/>
          <w:sz w:val="16"/>
          <w:szCs w:val="16"/>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as well as costs of product supply received from suppliers when such receipt by us is prior to regulatory approval of the supplier. We expense research and development costs as incurred.</w:t>
      </w:r>
    </w:p>
    <w:p>
      <w:pPr>
        <w:spacing w:after="0" w:line="16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i w:val="1"/>
          <w:iCs w:val="1"/>
          <w:color w:val="auto"/>
        </w:rPr>
        <w:t>Gain on Change in Fair Value of Derivative Liabilities</w:t>
      </w:r>
      <w:r>
        <w:rPr>
          <w:rFonts w:ascii="Arial" w:cs="Arial" w:eastAsia="Arial" w:hAnsi="Arial"/>
          <w:sz w:val="18"/>
          <w:szCs w:val="18"/>
          <w:color w:val="auto"/>
        </w:rPr>
        <w:t>. Gain on change in fair value of derivative liabilities is comprised of: (i) the change in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derivative liability related to the change in control provision associated with the December 2012 financing with BioPharma Secured Debt Fund II Holdings Cayman LP, or BioPharma, and (ii) the change in fair value of the derivative liabilities related to the change in control provisions associated with the May 2014 and November 2015 exchangeable senior notes.</w:t>
      </w:r>
    </w:p>
    <w:p>
      <w:pPr>
        <w:spacing w:after="0" w:line="18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i w:val="1"/>
          <w:iCs w:val="1"/>
          <w:color w:val="auto"/>
        </w:rPr>
        <w:t>Interest and Other Income (Expense), Net</w:t>
      </w:r>
      <w:r>
        <w:rPr>
          <w:rFonts w:ascii="Arial" w:cs="Arial" w:eastAsia="Arial" w:hAnsi="Arial"/>
          <w:sz w:val="17"/>
          <w:szCs w:val="17"/>
          <w:color w:val="auto"/>
        </w:rPr>
        <w:t>. Interest expense consists of interest incurred under lease obligations, interest incurred under our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2012 financing arrangement with BioPharma and interest incurred under our 3.5% exchangeable notes. Interest expense under our BioPharma financing arrangement is calculated based on an estimated repayment schedule. Interest expense under our exchangeable notes includes the amortization of the conversion option related to our exchangeable debt, the amortization of the related debt discounts and debt obligation coupon interest. Interest expense under our BioPharma financing arrangement is calculated based on an estimated repayment schedule. Interest income consists of interest earned on our cash and cash equivalents. Other interest (expense), net, consists primarily of foreign exchange losses and gains.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Our discussion and analysis of our financial condition and results of operations is based on our condensed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Estimates are assessed each period and updated to reflect current information. A summary of our significant accounting policies is contained in Note 2 to our condensed consolidated financial statements included elsewhere in this Quarterly Report on Form 10-Q. A summary of our critical accounting policies, significant judgments and estimates is presented in Part II, Item 7 of our Annual Report on Form 10-K for the year ended December 31, 2016. There were no material changes to our critical accounting policies, significant judgments and estimates during the nine months ended September 30, 2017, other than as set forth below.</w:t>
      </w:r>
    </w:p>
    <w:p>
      <w:pPr>
        <w:spacing w:after="0" w:line="183" w:lineRule="exact"/>
        <w:rPr>
          <w:sz w:val="20"/>
          <w:szCs w:val="20"/>
          <w:color w:val="auto"/>
        </w:rPr>
      </w:pPr>
    </w:p>
    <w:p>
      <w:pPr>
        <w:jc w:val="both"/>
        <w:ind w:right="60" w:firstLine="518"/>
        <w:spacing w:after="0" w:line="286"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—Deferred tax assets and liabilities are recognized for the future tax consequences of differences between the carrying amounts and tax</w:t>
      </w:r>
      <w:r>
        <w:rPr>
          <w:rFonts w:ascii="Arial" w:cs="Arial" w:eastAsia="Arial" w:hAnsi="Arial"/>
          <w:sz w:val="17"/>
          <w:szCs w:val="17"/>
          <w:i w:val="1"/>
          <w:iCs w:val="1"/>
          <w:color w:val="auto"/>
        </w:rPr>
        <w:t xml:space="preserve"> </w:t>
      </w:r>
      <w:r>
        <w:rPr>
          <w:rFonts w:ascii="Arial" w:cs="Arial" w:eastAsia="Arial" w:hAnsi="Arial"/>
          <w:sz w:val="17"/>
          <w:szCs w:val="17"/>
          <w:color w:val="auto"/>
        </w:rPr>
        <w:t>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66"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us in our tax filings or positions is more likely than not to be realized, assuming that the matter in question will be decided based on its technical merits. Our policy is to record interest and penalties in the provision for income taxes.</w:t>
      </w:r>
    </w:p>
    <w:p>
      <w:pPr>
        <w:spacing w:after="0" w:line="18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We assess our ability to realize deferred tax assets at each reporting period. The realization of deferred tax assets depends on generating future taxable income during the periods in which the tax benefits are deductible or creditable. We have historically generated annual positive taxable income in the United States. When making our assessment about the realization of our U.S. deferred tax assets at September 30, 2017, we considered all available evidence, placing particular weight on evidence that could be objectively verified. The evidence considered included the (i) historical profitability of our U.S. operations,</w:t>
      </w:r>
    </w:p>
    <w:p>
      <w:pPr>
        <w:spacing w:after="0" w:line="2" w:lineRule="exact"/>
        <w:rPr>
          <w:sz w:val="20"/>
          <w:szCs w:val="20"/>
          <w:color w:val="auto"/>
        </w:rPr>
      </w:pPr>
    </w:p>
    <w:p>
      <w:pPr>
        <w:ind w:right="60" w:firstLine="8"/>
        <w:spacing w:after="0" w:line="287" w:lineRule="auto"/>
        <w:tabs>
          <w:tab w:leader="none" w:pos="265" w:val="left"/>
        </w:tabs>
        <w:numPr>
          <w:ilvl w:val="0"/>
          <w:numId w:val="16"/>
        </w:numPr>
        <w:rPr>
          <w:rFonts w:ascii="Arial" w:cs="Arial" w:eastAsia="Arial" w:hAnsi="Arial"/>
          <w:sz w:val="16"/>
          <w:szCs w:val="16"/>
          <w:color w:val="auto"/>
        </w:rPr>
      </w:pPr>
      <w:r>
        <w:rPr>
          <w:rFonts w:ascii="Arial" w:cs="Arial" w:eastAsia="Arial" w:hAnsi="Arial"/>
          <w:sz w:val="16"/>
          <w:szCs w:val="16"/>
          <w:color w:val="auto"/>
        </w:rPr>
        <w:t>sources of future taxable income, giving weight to sources according to the extent to which they can be objectively verified, and (iii) the risks to our business related to the commercialization and development of Vascepa. Based on our assessment, we concluded that the recorded net U.S. deferred tax assets of $11.1 million are more likely than not to be realizable as of September 30, 2017. Any changes in the available evidence used to assess realizability of our U.S. deferred tax assets could result in a material change to the carrying value of such deferred tax assets in future periods. The majority of our deferred tax assets are held outside of the United States, for which we have established a full valuation allowance. Changes in historical earnings performance, future earnings projections, and changes in tax laws and tax rates, among other factors, may cause us to adjust our valuation allowance on deferred tax assets, which would impact our income tax expense in the period in which we determine that these factors have changed. In the event sufficient taxable income is not generated in future periods, additional valuation allowances could be required relating to these U.S. deferred tax assets.</w:t>
      </w:r>
    </w:p>
    <w:p>
      <w:pPr>
        <w:spacing w:after="0" w:line="170"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Excess tax benefits and deficiencies that arise upon vesting or exercise of share-based payments are recognized as an income tax benefit and expense, respectively, in the condensed consolidated statement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See Note 2—Significant Accounting Policies of the Notes to Condensed Consolidated Financial Statements included in Item 1 of this Quarterly Report on Form 10-Q for additional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2017 and September 30, 2016</w:t>
      </w:r>
    </w:p>
    <w:p>
      <w:pPr>
        <w:spacing w:after="0" w:line="117"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i w:val="1"/>
          <w:iCs w:val="1"/>
          <w:color w:val="auto"/>
        </w:rPr>
        <w:t xml:space="preserve">Product Revenue, net. </w:t>
      </w:r>
      <w:r>
        <w:rPr>
          <w:rFonts w:ascii="Arial" w:cs="Arial" w:eastAsia="Arial" w:hAnsi="Arial"/>
          <w:sz w:val="17"/>
          <w:szCs w:val="17"/>
          <w:color w:val="auto"/>
        </w:rPr>
        <w:t>We recorded net product revenue of $47.1 million and $32.4 million during the three months ended September 30, 2017 and</w:t>
      </w:r>
      <w:r>
        <w:rPr>
          <w:rFonts w:ascii="Arial" w:cs="Arial" w:eastAsia="Arial" w:hAnsi="Arial"/>
          <w:sz w:val="17"/>
          <w:szCs w:val="17"/>
          <w:i w:val="1"/>
          <w:iCs w:val="1"/>
          <w:color w:val="auto"/>
        </w:rPr>
        <w:t xml:space="preserve"> </w:t>
      </w:r>
      <w:r>
        <w:rPr>
          <w:rFonts w:ascii="Arial" w:cs="Arial" w:eastAsia="Arial" w:hAnsi="Arial"/>
          <w:sz w:val="17"/>
          <w:szCs w:val="17"/>
          <w:color w:val="auto"/>
        </w:rPr>
        <w:t>2016, respectively, an increase of $14.6 million, or 45%. This increase in revenue was driven primarily by an increase in estimated normalized total Vascepa prescriptions. Based on data provided by Symphony Health Solutions and QuintilesIMS, estimated normalized total Vascepa prescriptions increased by approximately 115,000 and 114,000, respectively, over the three months ended September 30, 2016, representing growth of 44%. The increase in net product revenue driven by the increase in estimated normalized total Vascepa prescriptions was partially offset by a slightly lower net average selling price for Vascepa during the three months ended September 30, 2017 driven primarily by a higher proportion of revenues derived for Vascepa prescriptions filled by patients covered by Medicare insurance, the rebate levels for which are on average higher than rebates under commercial managed care insurance plans. We believe that changes in channel inventory, which were minimal for the quarters ended September 30, 2017 and 2016 calculated based on estimated days of Vascepa sales on hand, at independent wholesalers and retail pharmacies are common and are impacted by numerous factors, including holiday timing and recent order trends. We also believe, based on information available to us, that channel inventory levels at the end of the third quarters of 2017 and 2016 were within ordinary ranges.</w:t>
      </w:r>
    </w:p>
    <w:p>
      <w:pPr>
        <w:spacing w:after="0" w:line="183"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All of our product revenue in the three months ended September 30, 2017 and 2016 was derived from product sales of Vascepa, net of allowances, discounts, incentives, rebates, chargebacks and returns. Included in 2017 net product revenue are sales of 500-mg size Vascepa capsules, which were introduced in October 2016, for the subset of patients who prefer a smaller capsule. Sales of Vascepa 500-mg size capsules have not been significant to date. The FDA-approved dosing for Vascepa continues to be 4 grams per day and we expect that the majority of new and existing patients taking Vascepa will continue to be prescribed the 1-gram size Vascepa capsules. Timing of shipments to wholesalers, as used for revenue recognition, and timing of prescriptions as estimated by third-party sources such as Symphony Health Solutions and QuintilesIMS may differ from period to period.</w:t>
      </w:r>
    </w:p>
    <w:p>
      <w:pPr>
        <w:spacing w:after="0" w:line="165"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During the quarters ended September 30, 2017 and 2016,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quarters ended September 30, 2017 and 2016 was up to $70 per 30-day prescription filled and also included up to $140 per 90-day prescription filled during the third quarter of 2017.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78"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i w:val="1"/>
          <w:iCs w:val="1"/>
          <w:color w:val="auto"/>
        </w:rPr>
        <w:t>Licensing Revenue</w:t>
      </w:r>
      <w:r>
        <w:rPr>
          <w:rFonts w:ascii="Arial" w:cs="Arial" w:eastAsia="Arial" w:hAnsi="Arial"/>
          <w:sz w:val="17"/>
          <w:szCs w:val="17"/>
          <w:color w:val="auto"/>
        </w:rPr>
        <w:t>. Licensing revenue during the three months ended September 30, 2017 and 2016 was $0.3 million in each period. Licensing</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relates to the amortization of a $15.0 million up-front payment received in February 2015 and a $1.0 million milestone payment achieved in March 2016, both associated with a Vascepa licensing agreement for the China Territory, as well as amortization of a $5.0 million up-front amount associated with a Vascepa licensing agreement for Canada, which was reached in September 2017. The up-front and milestone payments are being recognized over the estimated period in which we are required to provide regulatory and development support and clinical and commercial supply under the agreements. The amount of licensing revenue recorded may be variable from period to period based on changes in estimates of the timing and level of support required. We do not anticipate significant revenues related to the Biologix agreement in 2017.</w:t>
      </w:r>
    </w:p>
    <w:p>
      <w:pPr>
        <w:spacing w:after="0" w:line="178"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three months ended September 30, 2017 and 2016 was $11.9 million and $8.5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$3.5 million, or 41%.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API included in the calculation of the average cost of goods sold during the quarters ended September 30, 2017 and 2016 was sourced from three API suppliers. The contracted cost of supply from our initial API supplier was higher than the contracted cost from our other API suppliers. In the future, we anticipate making continued purchases from this initial supplier and to make additional lower unit cost purchases of Vascepa API from other API suppliers, with the amount of such purchases dependent on the rate of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revenue growth. The average cost may be variable from period to period depending upon the timing and quantity of API purchased from each supplier.</w:t>
      </w:r>
    </w:p>
    <w:p>
      <w:pPr>
        <w:spacing w:after="0" w:line="23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Our gross margin on product sales for the three months ended September 30, 2017 and 2016 was 75% and 74%, respectively. This improvement was primarily driven by lower unit cost API purchases.</w:t>
      </w:r>
    </w:p>
    <w:p>
      <w:pPr>
        <w:spacing w:after="0" w:line="170"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for the three months ended September 30, 2017 and 2016</w:t>
      </w:r>
      <w:r>
        <w:rPr>
          <w:rFonts w:ascii="Arial" w:cs="Arial" w:eastAsia="Arial" w:hAnsi="Arial"/>
          <w:sz w:val="18"/>
          <w:szCs w:val="18"/>
          <w:i w:val="1"/>
          <w:iCs w:val="1"/>
          <w:color w:val="auto"/>
        </w:rPr>
        <w:t xml:space="preserve"> </w:t>
      </w:r>
      <w:r>
        <w:rPr>
          <w:rFonts w:ascii="Arial" w:cs="Arial" w:eastAsia="Arial" w:hAnsi="Arial"/>
          <w:sz w:val="18"/>
          <w:szCs w:val="18"/>
          <w:color w:val="auto"/>
        </w:rPr>
        <w:t>was $33.2 million and $26.1 million, respectively, an increase of $7.1 million, or 27%. Selling, general and administrative expenses for the three months ended September 30, 2017 and 2016 are summarized in the table below:</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4"/>
                <w:szCs w:val="14"/>
                <w:color w:val="auto"/>
              </w:rPr>
            </w:pPr>
          </w:p>
        </w:tc>
        <w:tc>
          <w:tcPr>
            <w:tcW w:w="240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0" w:type="dxa"/>
            <w:vAlign w:val="bottom"/>
          </w:tcPr>
          <w:p>
            <w:pPr>
              <w:spacing w:after="0"/>
              <w:rPr>
                <w:sz w:val="1"/>
                <w:szCs w:val="1"/>
                <w:color w:val="auto"/>
              </w:rPr>
            </w:pPr>
          </w:p>
        </w:tc>
      </w:tr>
      <w:tr>
        <w:trPr>
          <w:trHeight w:val="156"/>
        </w:trPr>
        <w:tc>
          <w:tcPr>
            <w:tcW w:w="5460" w:type="dxa"/>
            <w:vAlign w:val="bottom"/>
            <w:tcBorders>
              <w:bottom w:val="single" w:sz="8" w:color="CFF0FC"/>
            </w:tcBorders>
            <w:vMerge w:val="continue"/>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 (1)</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24,295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Co-promotion fees (2)</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5,928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(3)</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selling, general and administrative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480" w:hanging="377"/>
        <w:spacing w:after="0" w:line="254" w:lineRule="auto"/>
        <w:tabs>
          <w:tab w:leader="none" w:pos="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Selling, general and administrative expense, excluding co-promotion fees and non-cash compensation charges for stock compensation and warrants, for the three months ended September 30, 2017 and 2016 was $24.3 million and $18.7 million, respectively, an increase of $5.6 million, or 30%. The increase is due primarily to increased promotional activities, including commercial spend for anticipated expansion following successful REDUCE-IT results, and increased legal costs, which are subject to quarterly variability.</w:t>
      </w:r>
    </w:p>
    <w:p>
      <w:pPr>
        <w:spacing w:after="0" w:line="2" w:lineRule="exact"/>
        <w:rPr>
          <w:rFonts w:ascii="Arial" w:cs="Arial" w:eastAsia="Arial" w:hAnsi="Arial"/>
          <w:sz w:val="18"/>
          <w:szCs w:val="18"/>
          <w:color w:val="auto"/>
        </w:rPr>
      </w:pPr>
    </w:p>
    <w:p>
      <w:pPr>
        <w:ind w:left="480" w:right="160" w:hanging="377"/>
        <w:spacing w:after="0" w:line="281" w:lineRule="auto"/>
        <w:tabs>
          <w:tab w:leader="none" w:pos="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Co-promotion fees accrued under our agreement with Kowa Pharmaceuticals America, Inc. for the three months ended September 30, 2017 and 2016 were $5.9 million and $4.6 million, respectively, an increase of $1.4 million, or 30%. The increase is due primarily to an increase in gross margin on product sales for the third quarter of 2017 compared to the same period in 2016, offset as a result of amended contract terms in 2017 related to the percentage of aggregate Vascepa gross margin earned by Kowa Pharmaceuticals America, Inc. and certain other refinements.</w:t>
      </w:r>
    </w:p>
    <w:p>
      <w:pPr>
        <w:spacing w:after="0" w:line="2" w:lineRule="exact"/>
        <w:rPr>
          <w:rFonts w:ascii="Arial" w:cs="Arial" w:eastAsia="Arial" w:hAnsi="Arial"/>
          <w:sz w:val="16"/>
          <w:szCs w:val="16"/>
          <w:color w:val="auto"/>
        </w:rPr>
      </w:pPr>
    </w:p>
    <w:p>
      <w:pPr>
        <w:ind w:left="520" w:right="920" w:hanging="512"/>
        <w:spacing w:after="0" w:line="261"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Non-cash stock-based compensation expense for the three months ended September 30, 2017 and 2016 was $3.0 million and $2.8 million, respectively, an increase of $0.1 million, or 4%.</w:t>
      </w:r>
    </w:p>
    <w:p>
      <w:pPr>
        <w:spacing w:after="0" w:line="184"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for the three months ended September 30, 2017 and 2016 was $10.7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$13.5 million, respectively, a decrease of $2.8 million, or 21%. Research and development expenses for the three months ended September 30, 2017 and 2016 are summarized in the table below:</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REDUCE-IT study (1)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Internal staffing, overhead and other (3)</w:t>
            </w: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10,170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(4)</w:t>
            </w: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decrease in research and development expenses for the quarter ended September 30, 2017, as compared to the prior year period, is primarily due to quarterly variability in costs related to the REDUCE-IT study.</w:t>
      </w:r>
    </w:p>
    <w:p>
      <w:pPr>
        <w:spacing w:after="0" w:line="62" w:lineRule="exact"/>
        <w:rPr>
          <w:sz w:val="20"/>
          <w:szCs w:val="20"/>
          <w:color w:val="auto"/>
        </w:rPr>
      </w:pPr>
    </w:p>
    <w:p>
      <w:pPr>
        <w:ind w:left="520" w:right="20" w:hanging="512"/>
        <w:spacing w:after="0" w:line="287"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December 2011, we announced commencement of patient dosing in our cardiovascular outcomes study of Vascepa, titled REDUCE-IT, which is designed to evaluate the efficacy of Vascepa, including its impact on triglyceride lowering and its other clinical effects, in reducing major adverse cardiovascular events compared to placebo in patients who despite statin therapy have risk factors for cardiovascular disease, including elevated triglyceride levels. In 2016, we completed patient enrollment and randomization of 8,175 individual patients into the REDUCE-IT study, exceeding the 8,000 patients targeted for the trial. The study duration is dependent on the rate of clinical events in the study, which rate may be affected by the epidemiology of the patients enrolled in the study and the length of time that the enrolled patients are followed.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For the three months ended September 30, 2017 and 2016, we incurred expenses through our CRO in connection with this trial of approximately $6.6 million and $7.5 million, respectively. Inclusive of CTM costs, the combined CRO and CTM costs during the three months ended September 30, 2017 and 2016 for REDUCE-IT were approximately $7.7 million and $9.9 million,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 w:name="page39"/>
    <w:bookmarkEnd w:id="38"/>
    <w:p>
      <w:pPr>
        <w:ind w:left="520" w:right="20"/>
        <w:spacing w:after="0" w:line="267" w:lineRule="auto"/>
        <w:rPr>
          <w:sz w:val="20"/>
          <w:szCs w:val="20"/>
          <w:color w:val="auto"/>
        </w:rPr>
      </w:pPr>
      <w:r>
        <w:rPr>
          <w:rFonts w:ascii="Arial" w:cs="Arial" w:eastAsia="Arial" w:hAnsi="Arial"/>
          <w:sz w:val="17"/>
          <w:szCs w:val="17"/>
          <w:color w:val="auto"/>
        </w:rPr>
        <w:t>respectively. The decrease in expenses in 2017 as compared to 2016 is primarily the result of timing variability for REDUCE-IT costs. We expense costs for CTM when allocated to clinical research. The aggregate cost of this outcomes study will depend on the rate of clinical events in the study. We currently estimate that we will incur $30 million to $40 million in annual costs through study completion and the rate at which we incur such costs will vary from quarter to quarter. The study is designed to be completed after reaching 1,612 aggregate primary cardiovascular events. Based on projected event rates, we estimate the onset of the target aggregate number of cardiovascular events to be reached before the end of the first quarter of 2018 with study results then expected to be available and made public before the end of the third quarter of 2018, followed by publication of the results. We anticipate that our costs for this outcomes study will continue to represent the most significant component of our research and development expenditures until the results of this study are published.</w:t>
      </w:r>
    </w:p>
    <w:p>
      <w:pPr>
        <w:spacing w:after="0" w:line="3" w:lineRule="exact"/>
        <w:rPr>
          <w:sz w:val="20"/>
          <w:szCs w:val="20"/>
          <w:color w:val="auto"/>
        </w:rPr>
      </w:pPr>
    </w:p>
    <w:p>
      <w:pPr>
        <w:ind w:left="520" w:right="160" w:hanging="512"/>
        <w:spacing w:after="0" w:line="250"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regulatory filing fees in each of the quarters ended September 30, 2017 and 2016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1"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w:t>
      </w:r>
    </w:p>
    <w:p>
      <w:pPr>
        <w:spacing w:after="0" w:line="1" w:lineRule="exact"/>
        <w:rPr>
          <w:rFonts w:ascii="Arial" w:cs="Arial" w:eastAsia="Arial" w:hAnsi="Arial"/>
          <w:sz w:val="18"/>
          <w:szCs w:val="18"/>
          <w:color w:val="auto"/>
        </w:rPr>
      </w:pPr>
    </w:p>
    <w:p>
      <w:pPr>
        <w:ind w:left="520" w:right="320" w:hanging="512"/>
        <w:spacing w:after="0" w:line="261"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84"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i w:val="1"/>
          <w:iCs w:val="1"/>
          <w:color w:val="auto"/>
        </w:rPr>
        <w:t>Gain on Change in Fair Value of Derivative Liabilities</w:t>
      </w:r>
      <w:r>
        <w:rPr>
          <w:rFonts w:ascii="Arial" w:cs="Arial" w:eastAsia="Arial" w:hAnsi="Arial"/>
          <w:sz w:val="18"/>
          <w:szCs w:val="18"/>
          <w:color w:val="auto"/>
        </w:rPr>
        <w:t>. Gain on change in fair value of derivative liabilities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was nil versus a gain of $3.6 million in the prior year period. Gain on change in fair value of derivative liabilities for the three months ended September 30, 2017 and 2016 is comprised of (i) the change in fair value of the derivative liability related to the change in control provision associated with the December 2012 BioPharma financing, and (ii) the change in fair value of the derivative liabilities related to the change in control provisions associated with the May 2014 and November 2015 exchangeable senior notes.</w:t>
      </w:r>
    </w:p>
    <w:p>
      <w:pPr>
        <w:spacing w:after="0" w:line="188" w:lineRule="exact"/>
        <w:rPr>
          <w:sz w:val="20"/>
          <w:szCs w:val="20"/>
          <w:color w:val="auto"/>
        </w:rPr>
      </w:pPr>
    </w:p>
    <w:p>
      <w:pPr>
        <w:ind w:right="40" w:firstLine="518"/>
        <w:spacing w:after="0" w:line="284" w:lineRule="auto"/>
        <w:rPr>
          <w:sz w:val="20"/>
          <w:szCs w:val="20"/>
          <w:color w:val="auto"/>
        </w:rPr>
      </w:pPr>
      <w:r>
        <w:rPr>
          <w:rFonts w:ascii="Arial" w:cs="Arial" w:eastAsia="Arial" w:hAnsi="Arial"/>
          <w:sz w:val="16"/>
          <w:szCs w:val="16"/>
          <w:color w:val="auto"/>
        </w:rPr>
        <w:t>Our December 2012 financing agreement with BioPharma contains a redemption feature whereby, upon a change of control, we would be required to repay $150.0 million, less any previously repaid amount, which net remaining unpaid amount as of September 30, 2017 was $113.8 million. Unless this early redemption feature is triggered, the remaining amount, without additional interest accumulation, is anticipated to be paid based on the royalty provisions of the agreement.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No gain or loss on change in fair value of derivative liability was recognized for the three months ended September 30, 2017 as the fair value of the derivative was determined to be nil based on underlying assumptions as of both June 30, 2017 and September 30, 2017. As of June 30, 2016, the fair value of the derivative was determined to be</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$2.8 million, and as of September 30, 2016, the fair value of the derivative was determined to be nil. As such, we recognized a $2.8 million gain on change in fair value of derivative liability for the three months ended September 30, 2016.</w:t>
      </w:r>
    </w:p>
    <w:p>
      <w:pPr>
        <w:spacing w:after="0" w:line="184"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Our 3.5% May 2014 exchangeable senior notes due 2032, or 2014 Notes, contained a redemption feature whereby, upon occurrence of a change in control, we would have been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In September 2016, we exercised our optional exchange rights upon satisfaction of specified equity conditions set forth in the 2014 Notes indenture to mandatorily exchange the 2014 Notes into ADSs (see Note 5—Debt). As such, the related derivative liability was derecognized at that time and we recognized a $0.6 million gain on change in fair value of derivative liability for the three months ended September 30, 2016. There was no such change in fair value of derivative liability for the three months ended September 30, 2017.</w:t>
      </w:r>
    </w:p>
    <w:p>
      <w:pPr>
        <w:spacing w:after="0" w:line="192"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Our 3.5% November 2015 exchangeable senior notes due 2032, or 2015 Notes, contained the same redemption feature as the 2014 Notes and the related derivative liability was calculated utilizing the same methodology. In September 2016, we exercised our optional exchange rights upon satisfaction of specified equity conditions consistent with the terms of the 2015 Notes to mandatorily exchange the 2015 Notes into ADSs (see Note 5—Debt). As such, the related derivative liability was derecognized at that time and we recognized a $0.2 million gain on change in fair value of derivative liability for the three months ended September 30, 2016. There was no such change in fair value of derivative liability for the three months ended September 30, 2017.</w:t>
      </w:r>
    </w:p>
    <w:p>
      <w:pPr>
        <w:spacing w:after="0" w:line="158"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change in fair value of the derivative liability related to the BioPharma financing agreement is largely related to our projections for future estimated revenues, management estimates of the probability of a change in control occurring, and the terms of debt issues of similar companies. The change in fair value of the derivative liabilities related to the 2014 Notes and 2015 Notes was largely related to changes in quoted bond prices. Any changes in the assumptions used to value the derivative liabilities could result in a material change to the carrying value of such liabilities.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ind w:right="60" w:firstLine="518"/>
        <w:spacing w:after="0" w:line="342"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Net interest expense for the three months ended September 30, 2017 and 2016 was $2.4 million and $5.1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$2.7 million, or 52%. Net interest expense for the three months ended September 30, 2017 and 2016 is summarized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gridSpan w:val="3"/>
            <w:vMerge w:val="restart"/>
          </w:tcPr>
          <w:p>
            <w:pPr>
              <w:ind w:left="940"/>
              <w:spacing w:after="0"/>
              <w:rPr>
                <w:sz w:val="20"/>
                <w:szCs w:val="20"/>
                <w:color w:val="auto"/>
              </w:rPr>
            </w:pPr>
            <w:r>
              <w:rPr>
                <w:rFonts w:ascii="Arial" w:cs="Arial" w:eastAsia="Arial" w:hAnsi="Arial"/>
                <w:sz w:val="14"/>
                <w:szCs w:val="14"/>
                <w:b w:val="1"/>
                <w:bCs w:val="1"/>
                <w:i w:val="1"/>
                <w:iCs w:val="1"/>
                <w:color w:val="auto"/>
              </w:rPr>
              <w:t>In thousands</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156"/>
        </w:trPr>
        <w:tc>
          <w:tcPr>
            <w:tcW w:w="656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5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Exchangeable senior notes (1):</w:t>
            </w:r>
          </w:p>
        </w:tc>
        <w:tc>
          <w:tcPr>
            <w:tcW w:w="5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Amortization of debt discounts</w:t>
            </w:r>
          </w:p>
        </w:tc>
        <w:tc>
          <w:tcPr>
            <w:tcW w:w="8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Contractual coupon interest</w:t>
            </w:r>
          </w:p>
        </w:tc>
        <w:tc>
          <w:tcPr>
            <w:tcW w:w="5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gridSpan w:val="3"/>
          </w:tcPr>
          <w:p>
            <w:pPr>
              <w:ind w:left="940"/>
              <w:spacing w:after="0"/>
              <w:rPr>
                <w:sz w:val="20"/>
                <w:szCs w:val="20"/>
                <w:color w:val="auto"/>
              </w:rPr>
            </w:pPr>
            <w:r>
              <w:rPr>
                <w:rFonts w:ascii="Arial" w:cs="Arial" w:eastAsia="Arial" w:hAnsi="Arial"/>
                <w:sz w:val="18"/>
                <w:szCs w:val="18"/>
                <w:color w:val="auto"/>
              </w:rPr>
              <w:t>Total exchangeable senior notes interest expense</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 from royalty-bearing instrument (2):</w:t>
            </w: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tcPr>
          <w:p>
            <w:pPr>
              <w:ind w:left="240"/>
              <w:spacing w:after="0"/>
              <w:rPr>
                <w:sz w:val="20"/>
                <w:szCs w:val="20"/>
                <w:color w:val="auto"/>
              </w:rPr>
            </w:pPr>
            <w:r>
              <w:rPr>
                <w:rFonts w:ascii="Arial" w:cs="Arial" w:eastAsia="Arial" w:hAnsi="Arial"/>
                <w:sz w:val="18"/>
                <w:szCs w:val="18"/>
                <w:color w:val="auto"/>
              </w:rPr>
              <w:t>Cash interest</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Non-cash interest</w:t>
            </w:r>
          </w:p>
        </w:tc>
        <w:tc>
          <w:tcPr>
            <w:tcW w:w="5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gridSpan w:val="3"/>
          </w:tcPr>
          <w:p>
            <w:pPr>
              <w:ind w:left="940"/>
              <w:spacing w:after="0"/>
              <w:rPr>
                <w:sz w:val="20"/>
                <w:szCs w:val="20"/>
                <w:color w:val="auto"/>
              </w:rPr>
            </w:pPr>
            <w:r>
              <w:rPr>
                <w:rFonts w:ascii="Arial" w:cs="Arial" w:eastAsia="Arial" w:hAnsi="Arial"/>
                <w:sz w:val="18"/>
                <w:szCs w:val="18"/>
                <w:color w:val="auto"/>
              </w:rPr>
              <w:t>Total long-term debt from royalty-bearing instrument interest expense</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5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gridSpan w:val="3"/>
          </w:tcPr>
          <w:p>
            <w:pPr>
              <w:ind w:left="940"/>
              <w:spacing w:after="0"/>
              <w:rPr>
                <w:sz w:val="20"/>
                <w:szCs w:val="20"/>
                <w:color w:val="auto"/>
              </w:rPr>
            </w:pPr>
            <w:r>
              <w:rPr>
                <w:rFonts w:ascii="Arial" w:cs="Arial" w:eastAsia="Arial" w:hAnsi="Arial"/>
                <w:sz w:val="18"/>
                <w:szCs w:val="18"/>
                <w:color w:val="auto"/>
              </w:rPr>
              <w:t>Total interest expense</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 (3)</w:t>
            </w: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6560" w:type="dxa"/>
            <w:vAlign w:val="bottom"/>
            <w:gridSpan w:val="3"/>
          </w:tcPr>
          <w:p>
            <w:pPr>
              <w:ind w:left="940"/>
              <w:spacing w:after="0"/>
              <w:rPr>
                <w:sz w:val="20"/>
                <w:szCs w:val="20"/>
                <w:color w:val="auto"/>
              </w:rPr>
            </w:pPr>
            <w:r>
              <w:rPr>
                <w:rFonts w:ascii="Arial" w:cs="Arial" w:eastAsia="Arial" w:hAnsi="Arial"/>
                <w:sz w:val="18"/>
                <w:szCs w:val="18"/>
                <w:color w:val="auto"/>
              </w:rPr>
              <w:t>Total interest expense, net</w:t>
            </w:r>
          </w:p>
        </w:tc>
        <w:tc>
          <w:tcPr>
            <w:tcW w:w="5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9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20" w:right="540" w:hanging="512"/>
        <w:spacing w:after="0" w:line="288"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Cash and non-cash interest expense related to the exchangeable senior notes for the three months ended September 30, 2017 and 2016 was $0.3 million and $2.9 million, respectively. The decrease in cash and non-cash interest expense is the result of the decrease in principal amount of exchangeable senior notes from $165.1 million outstanding as of September 30, 2016 to $30.0 million outstanding as of September 30, 2017.</w:t>
      </w:r>
    </w:p>
    <w:p>
      <w:pPr>
        <w:ind w:left="520" w:right="20" w:hanging="512"/>
        <w:spacing w:after="0" w:line="281"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Cash and non-cash interest expense related to the BioPharma royalty-bearing instrument for the three months ended September 30, 2017 and 2016 was $2.1 million and $2.2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3" w:lineRule="exact"/>
        <w:rPr>
          <w:rFonts w:ascii="Arial" w:cs="Arial" w:eastAsia="Arial" w:hAnsi="Arial"/>
          <w:sz w:val="16"/>
          <w:szCs w:val="16"/>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income represents income earned on cash balances.</w:t>
      </w:r>
    </w:p>
    <w:p>
      <w:pPr>
        <w:spacing w:after="0" w:line="211"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(expense), net, for the three months ended September 30, 2017 and 2016 was income of $25 thousand and</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$78 thousand, respectively. Other income (expense), net, primarily consists of losses and gains on foreign exchange transactions.</w:t>
      </w:r>
    </w:p>
    <w:p>
      <w:pPr>
        <w:spacing w:after="0" w:line="12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Benefit from Income Taxes</w:t>
      </w:r>
      <w:r>
        <w:rPr>
          <w:rFonts w:ascii="Arial" w:cs="Arial" w:eastAsia="Arial" w:hAnsi="Arial"/>
          <w:sz w:val="18"/>
          <w:szCs w:val="18"/>
          <w:color w:val="auto"/>
        </w:rPr>
        <w:t>. Benefit from income taxes for the three months ended September 30, 2017 and 2016 was nil and $1.0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In applying the estimated annual effective tax rate approach prescribed under ASC 740-270 and based on present evidence and conclusions around the realizability of deferred tax assets, we determined that any tax benefit related to the pretax losses generated during the third quarter of 2017 is neither more likely than not to be realized in the current year nor realizable as a deferred tax asset at the end of the year. Therefore, the appropriate amount of income tax benefit to recognize during the three months ended September 30, 2017 is zero. The benefit recognized during the three months ended September 30, 2016 related entirely to the U.S. subsidiary operations. We are profitable in the United States as a result of intercompany transactions between our U.S. subsidiary and our other companies.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2017 and September 30, 2016</w:t>
      </w:r>
    </w:p>
    <w:p>
      <w:pPr>
        <w:spacing w:after="0" w:line="117"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We recorded net product revenue of $126.3 million and $90.6 million during the nine months ended September 30, 2017 and</w:t>
      </w:r>
      <w:r>
        <w:rPr>
          <w:rFonts w:ascii="Arial" w:cs="Arial" w:eastAsia="Arial" w:hAnsi="Arial"/>
          <w:sz w:val="16"/>
          <w:szCs w:val="16"/>
          <w:i w:val="1"/>
          <w:iCs w:val="1"/>
          <w:color w:val="auto"/>
        </w:rPr>
        <w:t xml:space="preserve"> </w:t>
      </w:r>
      <w:r>
        <w:rPr>
          <w:rFonts w:ascii="Arial" w:cs="Arial" w:eastAsia="Arial" w:hAnsi="Arial"/>
          <w:sz w:val="16"/>
          <w:szCs w:val="16"/>
          <w:color w:val="auto"/>
        </w:rPr>
        <w:t>2016, respectively, an increase of $35.8 million, or 40%. This increase in revenue was driven primarily by an increase in estimated normalized total Vascepa prescriptions. Based on data provided by Symphony Health Solutions and QuintilesIMS, estimated normalized total Vascepa prescriptions increased by approximately 333,000 and 308,000, respectively, over the nine months ended September 30, 2016, representing growth of 48% and 43%, respectively. During the nine months ended September 30, 2017, overall wholesaler inventory levels decreased from year-end 2016 levels calculated based on estimated days of Vascepa sales on hand. Consequently, we estimate that this decrease in wholesaler inventory levels adversely impacted net product revenue by approximately $2.7 million to $3.0 million for the nine months ended September 30, 2017. During the nine months ended September 30, 2016, an increase in wholesaler inventory levels resulted in a net overall increase in net product revenue of approximately $0.9 million to $1.2 million calculated based on estimated days of Vascepa sales on hand. We believe that changes in channel inventory at these independent wholesalers and retail pharmacies are common and are impacted by numerous factors, including holiday timing and recent order trends. We also believe, based on information available to us, that channel inventory levels at the end of September 30, 2017 and 2016 were within ordinary ranges.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ind w:right="80" w:firstLine="518"/>
        <w:spacing w:after="0" w:line="293" w:lineRule="auto"/>
        <w:rPr>
          <w:sz w:val="20"/>
          <w:szCs w:val="20"/>
          <w:color w:val="auto"/>
        </w:rPr>
      </w:pPr>
      <w:r>
        <w:rPr>
          <w:rFonts w:ascii="Arial" w:cs="Arial" w:eastAsia="Arial" w:hAnsi="Arial"/>
          <w:sz w:val="16"/>
          <w:szCs w:val="16"/>
          <w:color w:val="auto"/>
        </w:rPr>
        <w:t>All of our product revenue in the nine months ended September 30, 2017 and 2016 was derived from product sales of Vascepa, net of allowances, discounts, incentives, rebates, chargebacks and returns. Included in 2017 net product revenue are sales of 500-mg size Vascepa capsules, which were introduced in October 2016, for the subset of patients who prefer a smaller capsule. Sales of Vascepa 500-mg size capsules have not been significant to date. The FDA-approved dosing for Vascepa continues to be 4 grams per day and we expect that the majority of new and existing patients taking Vascepa will continue to be prescribed the 1-gram size Vascepa capsules. Timing of shipments to wholesalers, as used for revenue recognition, and timing of prescriptions as estimated by third-party sources such as Symphony Health Solutions and QuintilesIMS may differ from period to period.</w:t>
      </w:r>
    </w:p>
    <w:p>
      <w:pPr>
        <w:spacing w:after="0" w:line="165"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During the nine months ended September 30, 2017 and 2016,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during the nine months ended September 30, 2017 and 2016 was up to $70 per 30-day prescription filled and, beginning in March 2017, included up to $140 per 90-day prescription filled.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w:t>
      </w:r>
    </w:p>
    <w:p>
      <w:pPr>
        <w:spacing w:after="0" w:line="178"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i w:val="1"/>
          <w:iCs w:val="1"/>
          <w:color w:val="auto"/>
        </w:rPr>
        <w:t>Licensing Revenue</w:t>
      </w:r>
      <w:r>
        <w:rPr>
          <w:rFonts w:ascii="Arial" w:cs="Arial" w:eastAsia="Arial" w:hAnsi="Arial"/>
          <w:sz w:val="16"/>
          <w:szCs w:val="16"/>
          <w:color w:val="auto"/>
        </w:rPr>
        <w:t>. Licensing revenue during the nine months ended September 30, 2017 and 2016 was $0.9 million and $0.8 million, respectively,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$0.1 million, or 8%. Licensing revenue relates to the amortization of a $15.0 million up-front payment received in February 2015 and a</w:t>
      </w:r>
    </w:p>
    <w:p>
      <w:pPr>
        <w:ind w:right="100"/>
        <w:spacing w:after="0" w:line="292" w:lineRule="auto"/>
        <w:rPr>
          <w:sz w:val="20"/>
          <w:szCs w:val="20"/>
          <w:color w:val="auto"/>
        </w:rPr>
      </w:pPr>
      <w:r>
        <w:rPr>
          <w:rFonts w:ascii="Arial" w:cs="Arial" w:eastAsia="Arial" w:hAnsi="Arial"/>
          <w:sz w:val="16"/>
          <w:szCs w:val="16"/>
          <w:color w:val="auto"/>
        </w:rPr>
        <w:t>$1.0 million milestone payment achieved in March 2016, both associated with a Vascepa licensing agreement for the China Territory, as well as amortization of a $5.0 million up-front amount associated with a Vascepa licensing agreement for Canada, which was reached in September 2017. The up-front and milestone payments are being recognized over the estimated period in which we are required to provide regulatory and development support and clinical and commercial supply under the agreements. The amount of licensing revenue recorded may be variable from period to period based on changes in estimates of the timing and level of support required. We do not anticipate significant revenues related to the Biologix agreement in 2017.</w:t>
      </w:r>
    </w:p>
    <w:p>
      <w:pPr>
        <w:spacing w:after="0" w:line="16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nine months ended September 30, 2017 and 2016 was $31.5 million and $24.2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$7.3 million, or 30%.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 API included in the calculation of the average cost of goods sold during the nine months ended September 30, 2017 and 2016 was sourced from three API suppliers. The contracted cost of supply from our initial API supplier was higher than the contracted cost from our other API suppliers. In the future, we anticipate making continued purchases from this initial supplier and to make additional lower unit cost purchases of Vascepa API from other API suppliers, with the amount of such purchases dependent on the rate of our revenue growth. The average cost may be variable from period to period depending upon the timing and quantity of API purchased from each supplier.</w:t>
      </w:r>
    </w:p>
    <w:p>
      <w:pPr>
        <w:spacing w:after="0" w:line="188"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Our gross margin on product sales for the nine months ended September 30, 2017 and 2016 was 75% and 73%, respectively. This improvement was primarily driven by lower unit cost API purchases.</w:t>
      </w:r>
    </w:p>
    <w:p>
      <w:pPr>
        <w:spacing w:after="0" w:line="170" w:lineRule="exact"/>
        <w:rPr>
          <w:sz w:val="20"/>
          <w:szCs w:val="20"/>
          <w:color w:val="auto"/>
        </w:rPr>
      </w:pPr>
    </w:p>
    <w:p>
      <w:pPr>
        <w:jc w:val="both"/>
        <w:ind w:right="280" w:firstLine="518"/>
        <w:spacing w:after="0" w:line="264"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for the nine months ended September 30, 2017 and 2016</w:t>
      </w:r>
      <w:r>
        <w:rPr>
          <w:rFonts w:ascii="Arial" w:cs="Arial" w:eastAsia="Arial" w:hAnsi="Arial"/>
          <w:sz w:val="18"/>
          <w:szCs w:val="18"/>
          <w:i w:val="1"/>
          <w:iCs w:val="1"/>
          <w:color w:val="auto"/>
        </w:rPr>
        <w:t xml:space="preserve"> </w:t>
      </w:r>
      <w:r>
        <w:rPr>
          <w:rFonts w:ascii="Arial" w:cs="Arial" w:eastAsia="Arial" w:hAnsi="Arial"/>
          <w:sz w:val="18"/>
          <w:szCs w:val="18"/>
          <w:color w:val="auto"/>
        </w:rPr>
        <w:t>was $98.9 million and $80.1 million, respectively, an increase of $18.8 million, or 23%. Selling, general and administrative expenses for the nine months ended September 30, 2017 and 2016 are summarized in the table below:</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4"/>
                <w:szCs w:val="14"/>
                <w:color w:val="auto"/>
              </w:rPr>
            </w:pPr>
          </w:p>
        </w:tc>
        <w:tc>
          <w:tcPr>
            <w:tcW w:w="24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340" w:type="dxa"/>
            <w:vAlign w:val="bottom"/>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Selling, general and administrative expense (1)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74,315</w:t>
            </w:r>
          </w:p>
        </w:tc>
        <w:tc>
          <w:tcPr>
            <w:tcW w:w="20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58,917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Co-promotion fees (2)</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Non-cash stock-based compensation expense (3)</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8,866</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8,623</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selling, general and administrative expense</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98,910</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80,147</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right="60" w:hanging="512"/>
        <w:spacing w:after="0" w:line="259"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Selling, general and administrative expense, excluding co-promotion fees and non-cash compensation charges for stock compensation and warrants, for the nine months ended September 30, 2017 and 2016 was $74.3 million and $58.9 million, respectively, an increase of $15.4 million, or 26%. The increase is due primarily to increased promotional activities, including commercial spend for anticipated expansion following successful REDUCE-IT results, and increased legal costs, which are subject to quarterly variability.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 w:name="page42"/>
    <w:bookmarkEnd w:id="41"/>
    <w:p>
      <w:pPr>
        <w:ind w:left="520" w:hanging="512"/>
        <w:spacing w:after="0" w:line="286"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Co-promotion fees accrued under our agreement with Kowa Pharmaceuticals America, Inc. for the nine months ended September 30, 2017 and 2016 were $15.7 million and $12.6 million, respectively, an increase of $3.1 million, or 25%. The increase is due primarily to an increase in gross margin on product sales for the nine months ended September 30, 2017 compared to the same period of 2016, offset as a result of amended contract terms in 2017 related to the percentage of aggregate Vascepa gross margin earned by Kowa Pharmaceuticals America, Inc. and certain other refinements.</w:t>
      </w:r>
    </w:p>
    <w:p>
      <w:pPr>
        <w:spacing w:after="0" w:line="1" w:lineRule="exact"/>
        <w:rPr>
          <w:rFonts w:ascii="Arial" w:cs="Arial" w:eastAsia="Arial" w:hAnsi="Arial"/>
          <w:sz w:val="16"/>
          <w:szCs w:val="16"/>
          <w:color w:val="auto"/>
        </w:rPr>
      </w:pPr>
    </w:p>
    <w:p>
      <w:pPr>
        <w:ind w:left="520" w:right="40" w:hanging="512"/>
        <w:spacing w:after="0" w:line="261"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Non-cash stock-based compensation expense for the nine months ended September 30, 2017 and 2016 was $8.9 million and $8.6 million, respectively, an increase of $0.2 million, or 3%.</w:t>
      </w:r>
    </w:p>
    <w:p>
      <w:pPr>
        <w:spacing w:after="0" w:line="184"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for the nine months ended September 30, 2017 and 2016 was $35.2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$39.8 million, respectively, a decrease of $4.6 million, or 12%. Research and development expenses for the nine months ended September 30, 2017 and 2016 are summarized in the table below:</w:t>
      </w:r>
    </w:p>
    <w:p>
      <w:pPr>
        <w:spacing w:after="0" w:line="254" w:lineRule="exact"/>
        <w:rPr>
          <w:sz w:val="20"/>
          <w:szCs w:val="20"/>
          <w:color w:val="auto"/>
        </w:rPr>
      </w:pPr>
    </w:p>
    <w:tbl>
      <w:tblPr>
        <w:tblLayout w:type="fixed"/>
        <w:tblInd w:w="1400" w:type="dxa"/>
        <w:tblCellMar>
          <w:top w:w="0" w:type="dxa"/>
          <w:left w:w="0" w:type="dxa"/>
          <w:bottom w:w="0" w:type="dxa"/>
          <w:right w:w="0" w:type="dxa"/>
        </w:tblCellMar>
      </w:tblPr>
      <w:tr>
        <w:trPr>
          <w:trHeight w:val="171"/>
        </w:trPr>
        <w:tc>
          <w:tcPr>
            <w:tcW w:w="53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5300" w:type="dxa"/>
            <w:vAlign w:val="bottom"/>
            <w:tcBorders>
              <w:bottom w:val="single" w:sz="8" w:color="CFF0FC"/>
            </w:tcBorders>
            <w:vMerge w:val="continue"/>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REDUCE-IT study (1)</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25,824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Internal staffing, overhead and other (3)</w:t>
            </w:r>
          </w:p>
        </w:tc>
        <w:tc>
          <w:tcPr>
            <w:tcW w:w="6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w w:val="99"/>
              </w:rPr>
              <w:t>Research and development expense, excluding non-cash expense</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33,606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(4)</w:t>
            </w:r>
          </w:p>
        </w:tc>
        <w:tc>
          <w:tcPr>
            <w:tcW w:w="6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6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decrease in research and development expenses for the nine months ended September 30, 2017, as compared to the prior year period, is primarily due to timing of REDUCE-IT and related costs.</w:t>
      </w:r>
    </w:p>
    <w:p>
      <w:pPr>
        <w:spacing w:after="0" w:line="62" w:lineRule="exact"/>
        <w:rPr>
          <w:sz w:val="20"/>
          <w:szCs w:val="20"/>
          <w:color w:val="auto"/>
        </w:rPr>
      </w:pPr>
    </w:p>
    <w:p>
      <w:pPr>
        <w:ind w:left="520" w:right="20" w:hanging="512"/>
        <w:spacing w:after="0" w:line="266"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December 2011, we announced commencement of patient dosing in our cardiovascular outcomes study of Vascepa, titled REDUCE-IT, which is designed to evaluate the efficacy of Vascepa, including its impact on triglyceride lowering and its other clinical effects, in reducing major adverse cardiovascular events compared to placebo in patients who despite statin therapy have risk factors for cardiovascular disease, including elevated triglyceride levels. In 2016, we completed patient enrollment and randomization of 8,175 individual patients into the REDUCE-IT study, exceeding the 8,000 patients targeted for the trial. The study duration is dependent on the rate of clinical events in the study, which rate may be affected by the epidemiology of the patients enrolled in the study and the length of time that the enrolled patients are followed.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For the nine months ended September 30, 2017 and 2016, we incurred expenses through our CRO in connection with this trial of approximately $22.4 million and $22.6 million, respectively. Inclusive of CTM costs, the combined CRO and CTM costs during the nine months ended September 30, 2017 and 2016 for REDUCE-IT were approximately $25.8 million and $28.0 million, respectively. The decrease in expenses in 2017 as compared to 2016 is primarily the result of timing variability for REDUCE-IT costs. We expense costs for CTM when allocated to clinical research. The aggregate cost of this outcomes study will depend on the rate of clinical events in the study. We currently estimate that we will incur $30 million to $40 million in annual costs through study completion and the rate at which we incur such costs will vary from quarter to quarter. The study is designed to be completed after reaching 1,612 aggregate primary cardiovascular events. Based on projected event rates, we estimate the onset of the target aggregate number of cardiovascular events to be reached before the end of the first quarter of 2018 with study results then expected to be available and made public before the end of the third quarter of 2018, followed by publication of the results. We anticipate that our costs for this outcomes study will continue to represent the most significant component of our research and development expenditures until the results of this study are published.</w:t>
      </w:r>
    </w:p>
    <w:p>
      <w:pPr>
        <w:spacing w:after="0" w:line="3" w:lineRule="exact"/>
        <w:rPr>
          <w:rFonts w:ascii="Arial" w:cs="Arial" w:eastAsia="Arial" w:hAnsi="Arial"/>
          <w:sz w:val="17"/>
          <w:szCs w:val="17"/>
          <w:color w:val="auto"/>
        </w:rPr>
      </w:pPr>
    </w:p>
    <w:p>
      <w:pPr>
        <w:ind w:left="520" w:right="260" w:hanging="512"/>
        <w:spacing w:after="0" w:line="250"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regulatory filing fees in each of the nine months ended September 30, 2017 and 2016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1"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w:t>
      </w:r>
    </w:p>
    <w:p>
      <w:pPr>
        <w:spacing w:after="0" w:line="1" w:lineRule="exact"/>
        <w:rPr>
          <w:rFonts w:ascii="Arial" w:cs="Arial" w:eastAsia="Arial" w:hAnsi="Arial"/>
          <w:sz w:val="18"/>
          <w:szCs w:val="18"/>
          <w:color w:val="auto"/>
        </w:rPr>
      </w:pPr>
    </w:p>
    <w:p>
      <w:pPr>
        <w:ind w:left="520" w:right="320" w:hanging="512"/>
        <w:spacing w:after="0" w:line="261"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84"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i w:val="1"/>
          <w:iCs w:val="1"/>
          <w:color w:val="auto"/>
        </w:rPr>
        <w:t>Gain on Change in Fair Value of Derivative Liabilities</w:t>
      </w:r>
      <w:r>
        <w:rPr>
          <w:rFonts w:ascii="Arial" w:cs="Arial" w:eastAsia="Arial" w:hAnsi="Arial"/>
          <w:sz w:val="18"/>
          <w:szCs w:val="18"/>
          <w:color w:val="auto"/>
        </w:rPr>
        <w:t>. Gain on change in fair value of derivative liabilities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was nil versus a gain of $8.2 million in the prior year period. Gain on change in fair value of derivative liabilities for the nine months ended September 30, 2017 and 2016 is comprised of (i) the change in fair value of the derivative liability related to the change in control provision associated with the December 2012 BioPharma financing, and (ii) the change in fair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value of the derivative liabilities related to the change in control provisions associated with the May 2014 and November 2015 exchangeable senior notes.</w:t>
      </w:r>
    </w:p>
    <w:p>
      <w:pPr>
        <w:spacing w:after="0" w:line="248"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Our December 2012 financing agreement with BioPharma contains a redemption feature whereby, upon a change of control, we would be required to repay $150.0 million, less any previously repaid amount, which net remaining unpaid amount as of September 30, 2017 was $113.8 million. Unless this early redemption feature is triggered, the remaining amount, without additional interest accumulation, is anticipated to be paid based on the royalty provisions of the agreement.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No gain or loss on change in fair value of derivative liability was recognized for the nine months ended September 30, 2017 as the fair value of the derivative was determined to be nil based on underlying assumptions as of both December 31, 2016 and September 30, 2017. As of December 31, 2015, the fair value of the derivative was determined to be $5.5 million, and as of September 30, 2016, the fair value of the derivative was determined to be nil. As such, we recognized a $5.5 million gain on change in fair value of derivative liability for the nine months ended September 30, 2016.</w:t>
      </w:r>
    </w:p>
    <w:p>
      <w:pPr>
        <w:spacing w:after="0" w:line="178"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Our 3.5% May 2014 exchangeable senior notes due 2032, or 2014 Notes, contained a redemption feature whereby, upon occurrence of a change in control, we would have been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In September 2016, we exercised our optional exchange rights upon satisfaction of specified equity conditions set forth in the 2014 Notes indenture to mandatorily exchange the 2014 Notes into ADSs (see Note 5—Debt). As such, the related derivative liability was derecognized at that time and we recognized a $2.1 million gain on change in fair value of derivative liability for the nine months ended September 30, 2016. There was no such change in fair value of derivative liability for the nine months ended September 30, 2017.</w:t>
      </w:r>
    </w:p>
    <w:p>
      <w:pPr>
        <w:spacing w:after="0" w:line="192"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Our 3.5% November 2015 exchangeable senior notes due 2032, or 2015 Notes, contained the same redemption feature as the 2014 Notes and the related derivative liability was calculated utilizing the same methodology. In September 2016, we exercised our optional exchange rights upon satisfaction of specified equity conditions consistent with the terms of the 2015 Notes to mandatorily exchange the 2015 Notes into ADSs (see Note 5—Debt). As such, the related derivative liability was derecognized at that time and we recognized a $0.6 million gain on change in fair value of derivative liability for the nine months ended September 30, 2016. There was no such change in fair value of derivative liability for the nine months ended September 30, 2017.</w:t>
      </w:r>
    </w:p>
    <w:p>
      <w:pPr>
        <w:spacing w:after="0" w:line="158"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The change in fair value of the derivative liability related to the BioPharma financing agreement is largely related to our projections for future estimated revenues, management estimates of the probability of a change in control occurring, and the terms of debt issues of similar companies. The change in fair value of the derivative liabilities related to the 2014 Notes and 2015 Notes was largely related to changes in quoted bond prices. Any changes in the assumptions used to value the derivative liabilities could result in a material change to the carrying value of such liabilities.</w:t>
      </w:r>
    </w:p>
    <w:p>
      <w:pPr>
        <w:spacing w:after="0" w:line="171"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Net interest expense for the nine months ended September 30, 2017 and 2016 was $7.1 million and $16.3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$9.2 million, or 56%. Net interest expense for the nine months ended September 30, 2017 and 2016 is summarized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gridSpan w:val="3"/>
            <w:vMerge w:val="restart"/>
          </w:tcPr>
          <w:p>
            <w:pPr>
              <w:ind w:left="1100"/>
              <w:spacing w:after="0"/>
              <w:rPr>
                <w:sz w:val="20"/>
                <w:szCs w:val="20"/>
                <w:color w:val="auto"/>
              </w:rPr>
            </w:pPr>
            <w:r>
              <w:rPr>
                <w:rFonts w:ascii="Arial" w:cs="Arial" w:eastAsia="Arial" w:hAnsi="Arial"/>
                <w:sz w:val="14"/>
                <w:szCs w:val="14"/>
                <w:b w:val="1"/>
                <w:bCs w:val="1"/>
                <w:i w:val="1"/>
                <w:iCs w:val="1"/>
                <w:color w:val="auto"/>
              </w:rPr>
              <w:t>In thousands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 September 30,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2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5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Exchangeable senior notes (1):</w:t>
            </w:r>
          </w:p>
        </w:tc>
        <w:tc>
          <w:tcPr>
            <w:tcW w:w="5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500" w:type="dxa"/>
            <w:vAlign w:val="bottom"/>
            <w:gridSpan w:val="2"/>
          </w:tcPr>
          <w:p>
            <w:pPr>
              <w:ind w:left="240"/>
              <w:spacing w:after="0"/>
              <w:rPr>
                <w:sz w:val="20"/>
                <w:szCs w:val="20"/>
                <w:color w:val="auto"/>
              </w:rPr>
            </w:pPr>
            <w:r>
              <w:rPr>
                <w:rFonts w:ascii="Arial" w:cs="Arial" w:eastAsia="Arial" w:hAnsi="Arial"/>
                <w:sz w:val="18"/>
                <w:szCs w:val="18"/>
                <w:color w:val="auto"/>
              </w:rPr>
              <w:t>Amortization of debt discounts</w:t>
            </w:r>
          </w:p>
        </w:tc>
        <w:tc>
          <w:tcPr>
            <w:tcW w:w="7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9"/>
                <w:szCs w:val="19"/>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5,703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Contractual coupon interest</w:t>
            </w:r>
          </w:p>
        </w:tc>
        <w:tc>
          <w:tcPr>
            <w:tcW w:w="5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gridSpan w:val="3"/>
          </w:tcPr>
          <w:p>
            <w:pPr>
              <w:ind w:left="1100"/>
              <w:spacing w:after="0"/>
              <w:rPr>
                <w:sz w:val="20"/>
                <w:szCs w:val="20"/>
                <w:color w:val="auto"/>
              </w:rPr>
            </w:pPr>
            <w:r>
              <w:rPr>
                <w:rFonts w:ascii="Arial" w:cs="Arial" w:eastAsia="Arial" w:hAnsi="Arial"/>
                <w:sz w:val="18"/>
                <w:szCs w:val="18"/>
                <w:color w:val="auto"/>
              </w:rPr>
              <w:t>Total exchangeable senior notes interest expense</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9,775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 from royalty-bearing instrument (2):</w:t>
            </w: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500" w:type="dxa"/>
            <w:vAlign w:val="bottom"/>
            <w:gridSpan w:val="2"/>
          </w:tcPr>
          <w:p>
            <w:pPr>
              <w:ind w:left="240"/>
              <w:spacing w:after="0"/>
              <w:rPr>
                <w:sz w:val="20"/>
                <w:szCs w:val="20"/>
                <w:color w:val="auto"/>
              </w:rPr>
            </w:pPr>
            <w:r>
              <w:rPr>
                <w:rFonts w:ascii="Arial" w:cs="Arial" w:eastAsia="Arial" w:hAnsi="Arial"/>
                <w:sz w:val="18"/>
                <w:szCs w:val="18"/>
                <w:color w:val="auto"/>
              </w:rPr>
              <w:t>Cash interest</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Non-cash interest</w:t>
            </w:r>
          </w:p>
        </w:tc>
        <w:tc>
          <w:tcPr>
            <w:tcW w:w="5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gridSpan w:val="3"/>
          </w:tcPr>
          <w:p>
            <w:pPr>
              <w:ind w:left="1100"/>
              <w:spacing w:after="0"/>
              <w:rPr>
                <w:sz w:val="20"/>
                <w:szCs w:val="20"/>
                <w:color w:val="auto"/>
              </w:rPr>
            </w:pPr>
            <w:r>
              <w:rPr>
                <w:rFonts w:ascii="Arial" w:cs="Arial" w:eastAsia="Arial" w:hAnsi="Arial"/>
                <w:sz w:val="18"/>
                <w:szCs w:val="18"/>
                <w:color w:val="auto"/>
                <w:w w:val="99"/>
              </w:rPr>
              <w:t>Total long-term debt from royalty-bearing instrument interest expense</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6,581</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5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gridSpan w:val="3"/>
          </w:tcPr>
          <w:p>
            <w:pPr>
              <w:ind w:left="1100"/>
              <w:spacing w:after="0"/>
              <w:rPr>
                <w:sz w:val="20"/>
                <w:szCs w:val="20"/>
                <w:color w:val="auto"/>
              </w:rPr>
            </w:pPr>
            <w:r>
              <w:rPr>
                <w:rFonts w:ascii="Arial" w:cs="Arial" w:eastAsia="Arial" w:hAnsi="Arial"/>
                <w:sz w:val="18"/>
                <w:szCs w:val="18"/>
                <w:color w:val="auto"/>
              </w:rPr>
              <w:t>Total interest expense</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16,368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 (3)</w:t>
            </w:r>
          </w:p>
        </w:tc>
        <w:tc>
          <w:tcPr>
            <w:tcW w:w="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gridSpan w:val="3"/>
          </w:tcPr>
          <w:p>
            <w:pPr>
              <w:ind w:left="1100"/>
              <w:spacing w:after="0"/>
              <w:rPr>
                <w:sz w:val="20"/>
                <w:szCs w:val="20"/>
                <w:color w:val="auto"/>
              </w:rPr>
            </w:pPr>
            <w:r>
              <w:rPr>
                <w:rFonts w:ascii="Arial" w:cs="Arial" w:eastAsia="Arial" w:hAnsi="Arial"/>
                <w:sz w:val="18"/>
                <w:szCs w:val="18"/>
                <w:color w:val="auto"/>
              </w:rPr>
              <w:t>Total interest expense, net</w:t>
            </w:r>
          </w:p>
        </w:tc>
        <w:tc>
          <w:tcPr>
            <w:tcW w:w="5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gridSpan w:val="2"/>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40" w:type="dxa"/>
            <w:vAlign w:val="bottom"/>
            <w:tcBorders>
              <w:bottom w:val="single" w:sz="8" w:color="auto"/>
            </w:tcBorders>
            <w:gridSpan w:val="2"/>
          </w:tcPr>
          <w:p>
            <w:pPr>
              <w:spacing w:after="0"/>
              <w:rPr>
                <w:sz w:val="10"/>
                <w:szCs w:val="10"/>
                <w:color w:val="auto"/>
              </w:rPr>
            </w:pPr>
          </w:p>
        </w:tc>
        <w:tc>
          <w:tcPr>
            <w:tcW w:w="5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6"/>
        </w:trPr>
        <w:tc>
          <w:tcPr>
            <w:tcW w:w="6620" w:type="dxa"/>
            <w:vAlign w:val="bottom"/>
            <w:gridSpan w:val="3"/>
          </w:tcPr>
          <w:p>
            <w:pPr>
              <w:ind w:left="5620"/>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43" w:name="page44"/>
    <w:bookmarkEnd w:id="43"/>
    <w:p>
      <w:pPr>
        <w:ind w:left="520" w:right="40" w:hanging="512"/>
        <w:spacing w:after="0" w:line="271"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Cash and non-cash interest expense related to the exchangeable senior notes for the nine months ended September 30, 2017 and 2016 was $0.9 million and $9.8 million, respectively. The decrease in cash and non-cash interest expense is the result of the decrease in principal amount of exchangeable senior notes from $165.1 million outstanding as of September 30, 2016 to $30.0 million outstanding as of September 30, 2017.</w:t>
      </w:r>
    </w:p>
    <w:p>
      <w:pPr>
        <w:ind w:left="520" w:right="80" w:hanging="512"/>
        <w:spacing w:after="0" w:line="281" w:lineRule="auto"/>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Cash and non-cash interest expense related to the BioPharma royalty-bearing instrument for the nine months ended September 30, 2017 and 2016 was $6.4 million and $6.6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3" w:lineRule="exact"/>
        <w:rPr>
          <w:rFonts w:ascii="Arial" w:cs="Arial" w:eastAsia="Arial" w:hAnsi="Arial"/>
          <w:sz w:val="16"/>
          <w:szCs w:val="16"/>
          <w:color w:val="auto"/>
        </w:rPr>
      </w:pPr>
    </w:p>
    <w:p>
      <w:pPr>
        <w:ind w:left="520" w:right="260" w:hanging="512"/>
        <w:spacing w:after="0" w:line="26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income for the nine months ended September 30, 2017 and 2016 was $0.2 million and $0.1 million, respectively. Interest income represents income earned on cash balances.</w:t>
      </w:r>
    </w:p>
    <w:p>
      <w:pPr>
        <w:spacing w:after="0" w:line="184"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(expense), net, for the nine months ended September 30, 2017 and 2016 was income of $0.1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$0.4 million, respectively. Other income (expense), net, primarily consists of losses and gains on foreign exchange transactions.</w:t>
      </w:r>
    </w:p>
    <w:p>
      <w:pPr>
        <w:spacing w:after="0" w:line="124" w:lineRule="exact"/>
        <w:rPr>
          <w:sz w:val="20"/>
          <w:szCs w:val="20"/>
          <w:color w:val="auto"/>
        </w:rPr>
      </w:pPr>
    </w:p>
    <w:p>
      <w:pPr>
        <w:ind w:firstLine="476"/>
        <w:spacing w:after="0" w:line="255" w:lineRule="auto"/>
        <w:rPr>
          <w:sz w:val="20"/>
          <w:szCs w:val="20"/>
          <w:color w:val="auto"/>
        </w:rPr>
      </w:pPr>
      <w:r>
        <w:rPr>
          <w:rFonts w:ascii="Arial" w:cs="Arial" w:eastAsia="Arial" w:hAnsi="Arial"/>
          <w:sz w:val="18"/>
          <w:szCs w:val="18"/>
          <w:i w:val="1"/>
          <w:iCs w:val="1"/>
          <w:color w:val="auto"/>
        </w:rPr>
        <w:t>Benefit from Income Taxes</w:t>
      </w:r>
      <w:r>
        <w:rPr>
          <w:rFonts w:ascii="Arial" w:cs="Arial" w:eastAsia="Arial" w:hAnsi="Arial"/>
          <w:sz w:val="18"/>
          <w:szCs w:val="18"/>
          <w:color w:val="auto"/>
        </w:rPr>
        <w:t>. Benefit from income taxes for the nine months ended September 30, 2017 and 2016 was nil and $2.3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In applying the estimated annual effective tax rate approach prescribed under ASC 740-270 and based on present evidence and conclusions around the realizability of deferred tax assets, we determined that any tax benefit related to the pretax losses generated during the nine months ended September 30, 2017 is neither more likely than not to be realized in the current year nor realizable as a deferred tax asset at the end of the year. Therefore, the appropriate amount of income tax benefit to recognize during the nine months ended September 30, 2017 is zero. The benefit recognized during the nine months ended September 30, 2016 related entirely to the U.S. subsidiary operations. We are profitable in the United States as a result of intercompany transactions between our U.S. subsidiary and our other companies.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40" w:firstLine="518"/>
        <w:spacing w:after="0" w:line="259" w:lineRule="auto"/>
        <w:rPr>
          <w:sz w:val="20"/>
          <w:szCs w:val="20"/>
          <w:color w:val="auto"/>
        </w:rPr>
      </w:pPr>
      <w:r>
        <w:rPr>
          <w:rFonts w:ascii="Arial" w:cs="Arial" w:eastAsia="Arial" w:hAnsi="Arial"/>
          <w:sz w:val="18"/>
          <w:szCs w:val="18"/>
          <w:color w:val="auto"/>
        </w:rPr>
        <w:t>Our sources of liquidity as of September 30, 2017 include cash and cash equivalents of $79.1 million. Our projected uses of cash include commercialization of Vascepa, the continued funding of the REDUCE-IT cardiovascular outcomes study, working capital and other general corporate activities. Our cash flows from operating, investing and financing activities, as reflected in the condensed consolidated statements of cash flows, are summarized in the following table:</w:t>
      </w:r>
    </w:p>
    <w:p>
      <w:pPr>
        <w:spacing w:after="0" w:line="19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4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56"/>
        </w:trPr>
        <w:tc>
          <w:tcPr>
            <w:tcW w:w="4480" w:type="dxa"/>
            <w:vAlign w:val="bottom"/>
            <w:tcBorders>
              <w:bottom w:val="single" w:sz="8" w:color="CFF0FC"/>
            </w:tcBorders>
            <w:vMerge w:val="continue"/>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Cash (used in) provided by:</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(30.7)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10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(Decrease) increase in cash and cash equivalents</w:t>
            </w: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(19.2)</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518"/>
        <w:spacing w:after="0" w:line="312" w:lineRule="auto"/>
        <w:rPr>
          <w:sz w:val="20"/>
          <w:szCs w:val="20"/>
          <w:color w:val="auto"/>
        </w:rPr>
      </w:pPr>
      <w:r>
        <w:rPr>
          <w:rFonts w:ascii="Arial" w:cs="Arial" w:eastAsia="Arial" w:hAnsi="Arial"/>
          <w:sz w:val="16"/>
          <w:szCs w:val="16"/>
          <w:color w:val="auto"/>
        </w:rPr>
        <w:t>Net cash used in operating activities during the nine months ended September 30, 2017 compared to the same period in 2016 decreased primarily as a result of increased collections due to higher revenues, which resulted in decreased net loss. Increased sales and marketing spending through the nine months ended September 30, 2017 in support of expanded Vascepa promotion was more than offset by higher collections from product sales.</w:t>
      </w:r>
    </w:p>
    <w:p>
      <w:pPr>
        <w:spacing w:after="0" w:line="147" w:lineRule="exact"/>
        <w:rPr>
          <w:sz w:val="20"/>
          <w:szCs w:val="20"/>
          <w:color w:val="auto"/>
        </w:rPr>
      </w:pPr>
    </w:p>
    <w:p>
      <w:pPr>
        <w:ind w:right="60" w:firstLine="518"/>
        <w:spacing w:after="0" w:line="287" w:lineRule="auto"/>
        <w:rPr>
          <w:sz w:val="20"/>
          <w:szCs w:val="20"/>
          <w:color w:val="auto"/>
        </w:rPr>
      </w:pPr>
      <w:r>
        <w:rPr>
          <w:rFonts w:ascii="Arial" w:cs="Arial" w:eastAsia="Arial" w:hAnsi="Arial"/>
          <w:sz w:val="16"/>
          <w:szCs w:val="16"/>
          <w:color w:val="auto"/>
        </w:rPr>
        <w:t>In December 2012, we entered into a financing agreement with BioPharma. Under this agreement, we granted to BioPharma a security interest in future receivables and all related rights to Vascepa, in exchange for $100.0 million received at the closing of the agreement which closing occurred in December 2012. We have agreed to repay BioPharma up to $150.0 million of future revenue and receivables. As of September 30, 2017, the net remaining amount to be repaid to BioPharma is $113.8 million. To date, our revenues have been below the contractual threshold amount such that each payment made has reflected the calculated optional reduction amount as opposed to the contractual threshold payments for each quarterly period. As of September 30, 2017, there are no quarterly contractual threshold payments remaining, such that the maximum amount payable is subject only to the calculated threshold limitation based on quarterly Vascepa revenues. In accordance with the agreement with BioPharma, quarterly differences between the calculated optional reduction amounts and the contractual threshold amounts were rescheduled for payment beginning in the second quarter of 2017 and any such deferred payments will remain subject to continued application of the quarterly ceiling in amounts due established by the calculated threshold for royalty based on quarterly Vascepa revenues. No additional interest expense or liability is incurred as a result of such deferred repayments. The agreement does not expire until $150.0 million in aggregate has been repaid. We can prepay an amount equal to $150.0 million less any previously repaid amount.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ind w:right="80" w:firstLine="518"/>
        <w:spacing w:after="0" w:line="302" w:lineRule="auto"/>
        <w:rPr>
          <w:sz w:val="20"/>
          <w:szCs w:val="20"/>
          <w:color w:val="auto"/>
        </w:rPr>
      </w:pPr>
      <w:r>
        <w:rPr>
          <w:rFonts w:ascii="Arial" w:cs="Arial" w:eastAsia="Arial" w:hAnsi="Arial"/>
          <w:sz w:val="16"/>
          <w:szCs w:val="16"/>
          <w:color w:val="auto"/>
        </w:rPr>
        <w:t>In January 2017, we, through our wholly-owned subsidiary Corsicanto II Designated Activity Company, or Corsicanto II, a private designated activity company incorporated under the laws of Ireland, entered into separate, privately negotiated purchase agreements with certain investors pursuant to which we issued and sold $30.0 million in aggregate principal amount of 3.5% exchangeable senior notes due 2047, or the 2017 Notes. The net proceeds we received from the January 2017 offering were approximately $28.8 million, after deducting placement agent fees and estimated offering expenses.</w:t>
      </w:r>
    </w:p>
    <w:p>
      <w:pPr>
        <w:spacing w:after="0" w:line="154"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 2017 Notes were issued pursuant to an indenture dated as of January 25, 2017, by and among Corsicanto II, us as guarantor, and Wilmington Trust, National Association, as trustee. The 2017 Notes are the senior unsecured obligations of the Issuer and are guaranteed by us. The 2017 Notes bear interest at a rate of 3.5% per annum from, and including, January 25, 2017, payable semi-annually in arrears on January 15 and July 15 of each year, beginning on July 15, 2017. The 2017 Notes will mature on January 15, 2047, unless earlier repurchased, redeemed or exchanged. On or after January 19, 2021, we may redeem for cash all or a portion of the 2017 Notes at a redemption price of 100% of the aggregate principal amount of the 2017 Notes to be redeemed, plus accrued and unpaid interest. On January 19, 2022, holders of the 2017 Notes may require that we repurchase in cash all or any portion of the 2017 Notes at a price equal to 100% of the aggregate principal amount of the 2017 Notes to be repurchased, plus accrued and unpaid interest. At any time prior to January 15, 2047, the holders may exchange their 2017 Notes for ADSs at their option, and we may mandatorily exchange the 2017 Notes if the price of our shares trades above 130% of the exchange price then in effect for 20 VWAP trading days in any 30 consecutive VWAP trading day period (as defined in the indenture). The initial exchange rate for such conversion is 257.2016 ADSs per $1,000 principal amount of the 2017 Notes (equivalent to an initial exchange price of approximately $3.89 per ADS), subject to adjustment upon the occurrence of certain events, including the payment of cash dividends. Upon exchange, the 2017 Notes are to be settled in ADSs.</w:t>
      </w:r>
    </w:p>
    <w:p>
      <w:pPr>
        <w:spacing w:after="0" w:line="18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As of September 30, 2017, we had cash and cash equivalents of $79.1 million, a decrease of $19.2 million from December 31, 2016. The decrease is primarily due to net cash used in operating activities in support of the commercialization of Vascepa and funding of REDUCE-IT, substantially offset by accounts receivable collections and the net effect of financing activities related to the repayment of the 2012 Notes and issuance of the 2017 Notes. We have incurred annual operating losses since our inception and, as a result, we had an accumulated deficit of $1.2 billion as of September 30, 2017. We believe that our net cash flow from operations in 2017, excluding financings and debt issuance, interest, royalties and R&amp;D costs, the majority of which are associated with REDUCE-IT, will be positive for 2017. On this basis, we have been cash flow positive for the nine months ended September 30, 2017. We anticipate that quarterly net cash outflows in future periods will continue to be variable as a result of the timing of certain items, including our purchases of API and payments to our Vascepa co-promotion partner. We believe that our cash and cash equivalents will be sufficient to fund our projected operations through the results of the REDUCE-IT study, which we anticipate will be available before the end of the third quarter of 2018. Depending on the level of cash generated from operations, additional capital may be required to sustain operations, fund debt obligations or expand promotion of Vascepa as contemplated based on anticipated successful results of the REDUCE-IT study.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We have Vascepa API supply agreements with three independent companies from which we purchase qualified API supply: Nisshin, Chemport, and Finorga SAS, or Novasep. We also have encapsulation agreements with three FDA-approved commercial API encapsulators for Vascepa manufacturing: Patheon, Inc. (formerly Banner Pharmacaps), Catalent Pharma Solutions, and Capsugel Plöermel SAS, LLC, or Capsugel. Our agreements with Chemport, Novasep, and Capsugel contain minimum annual purchase levels to enable us to maintain certain supply exclusivity and also contain a provision that any shortfall in the minimum purchase commitments is payable through certain cash remedies. Each supplier is required to meet certain performance obligations and the agreements may be terminated by us in the event of non-performance.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operating lease costs consisting of leases for facilities in Dublin, Ireland and Bedminster, NJ, offset by sublease rental income.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firstLine="518"/>
        <w:spacing w:after="0" w:line="288" w:lineRule="auto"/>
        <w:rPr>
          <w:sz w:val="20"/>
          <w:szCs w:val="20"/>
          <w:color w:val="auto"/>
        </w:rPr>
      </w:pPr>
      <w:r>
        <w:rPr>
          <w:rFonts w:ascii="Arial" w:cs="Arial" w:eastAsia="Arial" w:hAnsi="Arial"/>
          <w:sz w:val="16"/>
          <w:szCs w:val="16"/>
          <w:color w:val="auto"/>
        </w:rPr>
        <w:t>Under the terms of the agreement with BioPharma, we agreed to repay up to $150.0 million of future revenue and receivables. As of September 30, 2017, the net remaining amount to be repaid to BioPharma is $113.8 million. To date, our revenues have been below the contractual threshold amount such that each payment made has reflected the calculated optional reduction amount as opposed to the contractual threshold payments for each quarterly period. As of September 30, 2017, there are no quarterly contractual threshold payments remaining, such that the maximum amount payable is subject only to the calculated threshold limitation based on quarterly Vascepa revenues. In accordance with the agreement with BioPharma, quarterly differences between the calculated optional reduction amounts and the contractual threshold amounts were rescheduled for payment beginning in the second quarter of 2017 and any such deferred payments will remain subject to continued application of the quarterly ceiling in amounts due established by the calculated threshold based on quarterly Vascepa revenues. No additional interest expense or liability is incurred as a result of such deferred repayments and no cliff payment of the remaining balance is due except in the event of Company default or Company change of control. The agreement does not expire until $150.0 million in aggregate has been repaid. We can prepay an amount equal to $150.0 million less any previously repaid amount.</w:t>
      </w:r>
    </w:p>
    <w:p>
      <w:pPr>
        <w:spacing w:after="0" w:line="169"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We have scheduled interest payments due under the terms of the 2017 Notes, assuming that they remain outstanding through January 19, 2022 and have not been exchanged for ADSs.</w:t>
      </w:r>
    </w:p>
    <w:p>
      <w:pPr>
        <w:spacing w:after="0" w:line="170"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payment of $11.6 million as a component of other long-term assets. This long-term asset is being amortized over the estimated useful life of the intellectual property we acquired from Laxdale and we recognized amortization expense of $0.5 million in each of the nine months ended September 30, 2017 and 2016. Also under the Laxdale agreement, upon receipt of marketing approval in Europe for the first indication for Vascepa (or first indication of any product containing Amarin Neuroscience Limited intellectual property acquired from Laxdale in 2004), we must make an aggregate stock or cash payment to the former shareholders of Laxdale (at the sole option of each of the sellers) of £7.5 million (approximately $10.0 million as of September 30, 2017). Additionally, upon receipt of a marketing approval in the United States or Europe for a further indication of Vascepa (or further indication of any other product using Amarin Neuroscience Limited intellectual property), we must make an aggregate stock or cash payment (at the sole option of each of the sellers) of £5 million (approximately $6.7 million as of September 30, 2017) for each of the two potential market approvals (i.e. £10 million maximum, or approximately $13.4 million as of September 30, 2017).</w:t>
      </w:r>
    </w:p>
    <w:p>
      <w:pPr>
        <w:spacing w:after="0" w:line="183"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We do not enter into financial instruments for trading or speculative purposes. As of September 30, 2017, we had no outstanding forward exchange contracts.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There have been no material changes with respect to the information appearing in PART II, Item 7A “Quantitative and Qualitative Disclosures about Market Risk” of our Annual Report on Form 10-K filed with the Securities and Exchange Commission on March 1, 2017.</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71"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As of September 30, 2017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has concluded, based upon the evaluation described above that, as of September 30, 2017, our disclosure controls and procedures were effective at the reasonable assurance level.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During the quarter ended September 30, 2017,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45" w:right="35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on Form 10-K for the fiscal year ended December 31, 2016 and “Item 1. Legal Proceedings” of our Quarterly Report on Form 10-Q for the quarters ended March 31, 2017 and June 30, 2017 include discussions of our current legal proceedings. There have been no material changes to those disclosures as of the date of this filing, other than as set forth below.</w:t>
      </w:r>
    </w:p>
    <w:p>
      <w:pPr>
        <w:spacing w:after="0" w:line="18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 xml:space="preserve">On May 23, 2017, the Third Circuit Court of Appeals affirmed the May 26, 2016 judgment of the U.S. District Court for the District of New Jersey in connection with the district court’s grant of our motion to dismiss the putative consolidated class action lawsuit captioned </w:t>
      </w:r>
      <w:r>
        <w:rPr>
          <w:rFonts w:ascii="Arial" w:cs="Arial" w:eastAsia="Arial" w:hAnsi="Arial"/>
          <w:sz w:val="18"/>
          <w:szCs w:val="18"/>
          <w:i w:val="1"/>
          <w:iCs w:val="1"/>
          <w:color w:val="auto"/>
        </w:rPr>
        <w:t>In re Amarin Corporation plc,</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Litigation</w:t>
      </w:r>
      <w:r>
        <w:rPr>
          <w:rFonts w:ascii="Arial" w:cs="Arial" w:eastAsia="Arial" w:hAnsi="Arial"/>
          <w:sz w:val="18"/>
          <w:szCs w:val="18"/>
          <w:color w:val="auto"/>
        </w:rPr>
        <w:t>, No. 3:13-cv-06663 (D.N.J. Nov. 1, 2013). Plaintiffs sought a rehearing and</w:t>
      </w:r>
      <w:r>
        <w:rPr>
          <w:rFonts w:ascii="Arial" w:cs="Arial" w:eastAsia="Arial" w:hAnsi="Arial"/>
          <w:sz w:val="18"/>
          <w:szCs w:val="18"/>
          <w:i w:val="1"/>
          <w:iCs w:val="1"/>
          <w:color w:val="auto"/>
        </w:rPr>
        <w:t xml:space="preserve"> en banc </w:t>
      </w:r>
      <w:r>
        <w:rPr>
          <w:rFonts w:ascii="Arial" w:cs="Arial" w:eastAsia="Arial" w:hAnsi="Arial"/>
          <w:sz w:val="18"/>
          <w:szCs w:val="18"/>
          <w:color w:val="auto"/>
        </w:rPr>
        <w:t>review of such affirmation, each of which were</w:t>
      </w:r>
      <w:r>
        <w:rPr>
          <w:rFonts w:ascii="Arial" w:cs="Arial" w:eastAsia="Arial" w:hAnsi="Arial"/>
          <w:sz w:val="18"/>
          <w:szCs w:val="18"/>
          <w:i w:val="1"/>
          <w:iCs w:val="1"/>
          <w:color w:val="auto"/>
        </w:rPr>
        <w:t xml:space="preserve"> </w:t>
      </w:r>
      <w:r>
        <w:rPr>
          <w:rFonts w:ascii="Arial" w:cs="Arial" w:eastAsia="Arial" w:hAnsi="Arial"/>
          <w:sz w:val="18"/>
          <w:szCs w:val="18"/>
          <w:color w:val="auto"/>
        </w:rPr>
        <w:t>denied. The appeal period for this matter has expired. We consider this matter closed.</w:t>
      </w:r>
    </w:p>
    <w:p>
      <w:pPr>
        <w:spacing w:after="0" w:line="18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 xml:space="preserve">On August 30, 2017, Amarin Pharma, Inc. and Amarin Pharmaceuticals Ireland Limited, each wholly-owned subsidiaries of Amarin Corporation plc, filed a lawsuit with the United States International Trade Commission, or the ITC, captioned, </w:t>
      </w:r>
      <w:r>
        <w:rPr>
          <w:rFonts w:ascii="Arial" w:cs="Arial" w:eastAsia="Arial" w:hAnsi="Arial"/>
          <w:sz w:val="17"/>
          <w:szCs w:val="17"/>
          <w:i w:val="1"/>
          <w:iCs w:val="1"/>
          <w:color w:val="auto"/>
        </w:rPr>
        <w:t>In the Matter of Certain Synthetically Produced, Predominantly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EPA Omega-3 Products in Ethyl Ester or Re-esterified Triglyceride Form, </w:t>
      </w:r>
      <w:r>
        <w:rPr>
          <w:rFonts w:ascii="Arial" w:cs="Arial" w:eastAsia="Arial" w:hAnsi="Arial"/>
          <w:sz w:val="17"/>
          <w:szCs w:val="17"/>
          <w:color w:val="auto"/>
        </w:rPr>
        <w:t>USITC Docket 337-3247, against manufacturers, importers, and distributors of</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containing synthetically produced omega-3 products in ethyl ester or re-esterified triglyceride form that contain more EPA than DHA or any other single component, for use in, or as dietary supplements. The lawsuit seeks an investigation by the ITC under Section 337 of the Tariff Act of 1930 (19 U.S.C. §1337), which makes unlawful unfair methods of competition and unfair acts involving the importation and sale of articles in the United States that injure or threaten injury to a domestic industry. On October 27, 2017, the ITC determined to not institute our requested investigation. We are currently considering our next steps in this matter.</w:t>
      </w:r>
    </w:p>
    <w:p>
      <w:pPr>
        <w:spacing w:after="0" w:line="179"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 xml:space="preserve">We introduced to the market our 500-mg dose strength of Vascepa in October 2016. In August 2017, as anticipated, we received a paragraph IV certification notice from Teva Pharmaceuticals USA, Inc. and Teva Pharmaceuticals Industries Limited, or collectively, Teva, contending that certain of our patents are invalid, unenforceable and/or will not be infringed by the manufacture, use, sale or offer for sale of a generic form of the 500-mg dose strength of Vascepa, as described in the Teva abbreviated new drug application, or ANDA. This Teva ANDA was filed as an amendment to the 1-gram Teva ANDA and is related to patents already at issue in the 1-gram Vascepa patent litigation. Accordingly, in October 2017, we filed a patent infringement lawsuit against Teva in the U.S. District Court for the District of Nevada. The case is captioned </w:t>
      </w:r>
      <w:r>
        <w:rPr>
          <w:rFonts w:ascii="Arial" w:cs="Arial" w:eastAsia="Arial" w:hAnsi="Arial"/>
          <w:sz w:val="16"/>
          <w:szCs w:val="16"/>
          <w:i w:val="1"/>
          <w:iCs w:val="1"/>
          <w:color w:val="auto"/>
        </w:rPr>
        <w:t>Amarin Pharma, Inc.</w:t>
      </w:r>
      <w:r>
        <w:rPr>
          <w:rFonts w:ascii="Arial" w:cs="Arial" w:eastAsia="Arial" w:hAnsi="Arial"/>
          <w:sz w:val="16"/>
          <w:szCs w:val="16"/>
          <w:color w:val="auto"/>
        </w:rPr>
        <w:t xml:space="preserve"> et al. </w:t>
      </w:r>
      <w:r>
        <w:rPr>
          <w:rFonts w:ascii="Arial" w:cs="Arial" w:eastAsia="Arial" w:hAnsi="Arial"/>
          <w:sz w:val="16"/>
          <w:szCs w:val="16"/>
          <w:i w:val="1"/>
          <w:iCs w:val="1"/>
          <w:color w:val="auto"/>
        </w:rPr>
        <w:t>v. Teva Pharmaceuticals USA, Inc.</w:t>
      </w:r>
      <w:r>
        <w:rPr>
          <w:rFonts w:ascii="Arial" w:cs="Arial" w:eastAsia="Arial" w:hAnsi="Arial"/>
          <w:sz w:val="16"/>
          <w:szCs w:val="16"/>
          <w:color w:val="auto"/>
        </w:rPr>
        <w:t xml:space="preserve"> et al.</w:t>
      </w:r>
      <w:r>
        <w:rPr>
          <w:rFonts w:ascii="Arial" w:cs="Arial" w:eastAsia="Arial" w:hAnsi="Arial"/>
          <w:sz w:val="16"/>
          <w:szCs w:val="16"/>
          <w:i w:val="1"/>
          <w:iCs w:val="1"/>
          <w:color w:val="auto"/>
        </w:rPr>
        <w:t>,</w:t>
      </w:r>
      <w:r>
        <w:rPr>
          <w:rFonts w:ascii="Arial" w:cs="Arial" w:eastAsia="Arial" w:hAnsi="Arial"/>
          <w:sz w:val="16"/>
          <w:szCs w:val="16"/>
          <w:color w:val="auto"/>
        </w:rPr>
        <w:t xml:space="preserve"> Civ. A. No. 2:17-cv-2641 (D. Nev.). In this lawsuit, we are seeking, among other remedies, an order enjoining Teva from marketing generic versions of the 500-mg dose strength of Vascepa before the last to expire of the asserted patents in 2030. We anticipate that this new lawsuit against Teva will be consolidated with the previously disclosed pending lawsuits against Teva, West-Ward Pharmaceuticals Corp. et al., and Dr. Reddy’s Laboratories, Inc. et al. based on the 1-gram dose strength of Vascepa, and we anticipate that all four lawsuits will proceed on the same schedule. We intend to vigorously enforce our intellectual property rights relating to Vascepa, but cannot predict the outcome of these lawsuits or any subsequently filed lawsuits.</w:t>
      </w:r>
    </w:p>
    <w:p>
      <w:pPr>
        <w:spacing w:after="0" w:line="2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9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Annual Report on 10-K for the year ended December 31, 2016 filed with the SEC on March 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substantially dependent upon sales of Vascepa in the United States.</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As a result of our reliance on a single product,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and our primary focus on the U.S. market in the near-term, much of our near-term results and value as a company depends on our ability to execute our commercial strategy for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Vascepa in the United States. If commercialization efforts for Vascepa are not successful, our business will be materially and adversely affected.</w:t>
      </w:r>
    </w:p>
    <w:p>
      <w:pPr>
        <w:spacing w:after="0" w:line="23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Even if we are able to successfully develop Vascepa outside the United States or develop additional products from our research and development efforts, the development time cycle for products typically takes several years. This restricts our ability to respond to adverse business conditions for Vascepa. If we are not successful with development, or if there is not adequate 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301" w:lineRule="exact"/>
        <w:rPr>
          <w:sz w:val="20"/>
          <w:szCs w:val="20"/>
          <w:color w:val="auto"/>
        </w:rPr>
      </w:pPr>
    </w:p>
    <w:p>
      <w:pPr>
        <w:ind w:left="260" w:right="160"/>
        <w:spacing w:after="0" w:line="277" w:lineRule="auto"/>
        <w:rPr>
          <w:sz w:val="20"/>
          <w:szCs w:val="20"/>
          <w:color w:val="auto"/>
        </w:rPr>
      </w:pPr>
      <w:r>
        <w:rPr>
          <w:rFonts w:ascii="Arial" w:cs="Arial" w:eastAsia="Arial" w:hAnsi="Arial"/>
          <w:sz w:val="18"/>
          <w:szCs w:val="18"/>
          <w:b w:val="1"/>
          <w:bCs w:val="1"/>
          <w:i w:val="1"/>
          <w:iCs w:val="1"/>
          <w:color w:val="auto"/>
        </w:rPr>
        <w:t>The uncertain effect of Vascepa on its ultimate targeted clinical benefit makes it more difficult to achieve a level of market acceptance by physicians, patients, healthcare payors and others in the medical community necessary for commercial success.</w:t>
      </w:r>
    </w:p>
    <w:p>
      <w:pPr>
        <w:spacing w:after="0" w:line="6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 xml:space="preserve">In January 2013, we launched Vascepa based on the U.S. Food and Drug Administration, or FDA, approval of our MARINE indication,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 500 mg/dL) hypertriglyceridemia. Approximately 4.0 million people in the United States have severely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 500 mg/dL), commonly known as very high triglyceride levels. Guidelines for the management of very high triglyceride levels suggest that the primary goal of reducing triglyceride levels in this patient population is reduction in the risk of acute pancreatitis. A secondary goal for this patient population is to reduce cardiovascular risk. The effect of Vascepa on cardiovascular mortality and morbidity, or the risk for pancreatitis, in patients with hypertriglyceridemia has not been determined and our FDA-approved labeling and promotional efforts state these facts.</w:t>
      </w:r>
    </w:p>
    <w:p>
      <w:pPr>
        <w:spacing w:after="0" w:line="165"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 xml:space="preserve">In August 2015, based on a federal court order, we also began communicating promotional information beyond the MARINE indication to healthcare professionals in the United States for the treatment of patients with high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200 mg/dL and &lt;500 mg/dL) triglyceride levels who are also on statin therapy for elevated low-density lipoprotein cholesterol, or LDL-C, levels, based on results from the ANCHOR study of Vascepa. It is estimated that approximately 40 million adults in the United States have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200 mg/dL), and many patients with high triglycerides also have other lipid level abnormalities such as high cholesterol and are on statin therapy. FDA did not approve Vascepa for use in this population due to the uncertain effect of pharmaceutically induced triglyceride reduction in this patient population on cardiovascular risk reduction, the ultimate targeted clinical benefit. Our promotional efforts disclose this fact and what we view as truthful and non-misleading information on the current state of research on both triglyceride reduction and the active pharmaceutical ingredient, or API, in Vascepa, EPA, as each relate to the potential of Vascepa to reduce cardiovascular risk.</w:t>
      </w:r>
    </w:p>
    <w:p>
      <w:pPr>
        <w:spacing w:after="0" w:line="166"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uncertainties around the ultimate clinical benefit of Vascepa make it more difficult for Vascepa to gain market acceptance by physicians, patients, healthcare payors and others in the medical community. If Vascepa does not achieve an adequate level of acceptance, we may not generate product revenues sufficient to become profitable. The degree of market acceptance of Vascepa for the MARINE indication and in ANCHOR patients and in any future approved indications and uses will depend on a number of factors, including:</w:t>
      </w:r>
    </w:p>
    <w:p>
      <w:pPr>
        <w:spacing w:after="0" w:line="79"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perceived efficacy, safety and potential advantages of Vascepa, as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scope, effectiveness and strength of product education, marketing and distribution support, including our sales and marketing team;</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continually promote Vascepa in the United States outside of FDA-approved labeling and the related perception thereof;</w:t>
      </w:r>
    </w:p>
    <w:p>
      <w:pPr>
        <w:spacing w:after="0" w:line="12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sufficient third-party coverage or reimbursement for on-label use, and for permitted off-label use, the third-party coverage or reimbursement for which was not addressed in the scope of the August 2015 court declaration;</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disasters that can inhibit our ability to promote Vascepa regionally and can negatively affect product demand by creating obstacles for patients to seek treatment and fill prescriptions;</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laws affecting Vascepa sales, such as state and federal efforts to affect drug pricing and provide or remove healthcare coverage that includes reimbursement for prescription drugs;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9" w:name="page50"/>
    <w:bookmarkEnd w:id="49"/>
    <w:p>
      <w:pPr>
        <w:ind w:left="1040" w:right="62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actual efficacy of the product and the prevalence and severity of any side effects, including any limitations or warnings contained in Vascepa’s approved labeling.</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current and planned commercialization efforts in the United States may not be successful in increasing sales of Vascepa.</w:t>
      </w:r>
    </w:p>
    <w:p>
      <w:pPr>
        <w:spacing w:after="0" w:line="11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Since late 2013, our sales team has consisted of approximately 150 sales professionals, including sales representatives and their managers. This sales team promotes Vascepa to a limited group of physicians and other healthcare professionals in select geographies in the United States. This sales team is not large enough to call upon all physicians. In January 2013, when we initially began selling Vascepa in the United States through our own then newly established sales and marketing teams and through a newly established third-party commercial distribution infrastructure, our sales team was larger. In October 2013, following an FDA advisory committee recommendation against approval for the ANCHOR indication, we implemented a plan to reduce our workforce and our team of sales professionals by half.</w:t>
      </w:r>
    </w:p>
    <w:p>
      <w:pPr>
        <w:spacing w:after="0" w:line="193"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May 2014, we began co-promoting Vascepa in the United States with Kowa Pharmaceuticals America, Inc. under a co-promotion agreement we entered into in March 2014, which we amended in July 2017. Under the agreement, Kowa Pharmaceuticals America, Inc. co-promotes Vascepa in conjunction with its promotion of its primary product, a branded statin for patients with high cholesterol, along with our approximately 150 sales professionals, including sales representatives and their managers, based on a plan designed to focus on select sales territories that we believe have demonstrated the greatest potential for Vascepa sales growth and increase both the number of sales targets reached and the frequency of sales calls on existing sales targets. However, the commercialization of pharmaceutical products is a complex undertaking, and we have very limited experience as a company operating in this area and co-promoting a pharmaceutical product with a partner.</w:t>
      </w:r>
    </w:p>
    <w:p>
      <w:pPr>
        <w:spacing w:after="0" w:line="178"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If the results of the REDUCE-IT outcomes study are successful, we plan to expand our promotion of Vascepa, including increasing the size of our team. We anticipate increasing our sales force to a total of approximately 400 to 500 sales professionals after REDUCE-IT results, assuming success. While we intend to wait for REDUCE-IT results before adding the majority of these additional sales representatives, we plan to add approximately 10 to 20 sales representatives and expand sales management prior to REDUCE-IT results. We anticipate that this smaller increase in the number of sales representatives will begin in the fourth quarter of 2017. If REDUCE-IT is successful, we will again need to overcome challenges associated with rapidly hiring and training personnel and managing larger teams of people. Furthermore, our agreement with Kowa Pharmaceuticals America, Inc. is designed such that its co-promotion of Vascepa ceases after 2018. If we do not extend this co-promotion agreement, enter into a co-promotion agreement with an equally capable company or hire equally capable sales representatives, our sales may be negatively impacted.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Factors related to building and managing a sales and marketing organization that can inhibit our efforts to successfully commercialize Vascepa include:</w:t>
      </w:r>
    </w:p>
    <w:p>
      <w:pPr>
        <w:spacing w:after="0" w:line="140"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117" w:lineRule="exact"/>
        <w:rPr>
          <w:rFonts w:ascii="Arial" w:cs="Arial" w:eastAsia="Arial" w:hAnsi="Arial"/>
          <w:sz w:val="18"/>
          <w:szCs w:val="18"/>
          <w:color w:val="auto"/>
        </w:rPr>
      </w:pPr>
    </w:p>
    <w:p>
      <w:pPr>
        <w:jc w:val="both"/>
        <w:ind w:left="1040" w:right="480" w:hanging="519"/>
        <w:spacing w:after="0" w:line="286"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inability to adequately train our sales and marketing personnel, in particular as it relates to various healthcare regulatory requirements applicable to the marketing and sale of pharmaceutical products and the court declaration that we believe enables us to expand marketing efforts for Vascepa, and our inability to adequately monitor compliance with these requirements;</w:t>
      </w:r>
    </w:p>
    <w:p>
      <w:pPr>
        <w:spacing w:after="0" w:line="57"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inability by us or our partners to obtain regulatory and marketing approval or establish marketing channels in foreign jurisdictions;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225" w:lineRule="exact"/>
        <w:rPr>
          <w:sz w:val="20"/>
          <w:szCs w:val="20"/>
          <w:color w:val="auto"/>
        </w:rPr>
      </w:pPr>
    </w:p>
    <w:p>
      <w:pPr>
        <w:ind w:right="120" w:firstLine="518"/>
        <w:spacing w:after="0" w:line="342" w:lineRule="auto"/>
        <w:rPr>
          <w:sz w:val="20"/>
          <w:szCs w:val="20"/>
          <w:color w:val="auto"/>
        </w:rPr>
      </w:pPr>
      <w:r>
        <w:rPr>
          <w:rFonts w:ascii="Arial" w:cs="Arial" w:eastAsia="Arial" w:hAnsi="Arial"/>
          <w:sz w:val="16"/>
          <w:szCs w:val="16"/>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expect final positive results from the REDUCE-IT outcomes study will be required for FDA-approved label expansion for Vascepa.</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January 2013, we have marketed Vascepa for use in the FDA-approved MARINE indication in the United States.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ind w:firstLine="518"/>
        <w:spacing w:after="0" w:line="270" w:lineRule="auto"/>
        <w:rPr>
          <w:sz w:val="20"/>
          <w:szCs w:val="20"/>
          <w:color w:val="auto"/>
        </w:rPr>
      </w:pPr>
      <w:r>
        <w:rPr>
          <w:rFonts w:ascii="Arial" w:cs="Arial" w:eastAsia="Arial" w:hAnsi="Arial"/>
          <w:sz w:val="17"/>
          <w:szCs w:val="17"/>
          <w:color w:val="auto"/>
        </w:rPr>
        <w:t xml:space="preserve">In April 2015, we received a Complete Response Letter, or CRL, from the FDA on our supplemental new drug application, or sNDA, that sought approval for the use of Vascepa in patients with high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 xml:space="preserve"> 200 mg/dL and &lt;500 mg/dL) who are also on statin therapy, which we refer to as the ANCHOR indication. In regulatory communications, the FDA acknowledged that the results of the ANCHOR trial as we presented them to FDA were valid and truthful in that, for example, Vascepa reduced triglyceride levels compared to placebo in patients treated in the ANCHOR study. The clinical rationale for reducing serum triglycerides with Vascepa and modifying other lipid/lipoprotein parameters shown in ANCHOR among statin-treated patients with triglycerides 200-499 mg/dL is to reduce cardiovascular risk. In not approving our ANCHOR sNDA, the FDA concluded that, for regulatory approval purposes, there were insufficient data to support a drug-induced change in serum triglycerides as a surrogate for reducing cardiovascular risk in the ANCHOR population. The FDA did not determine that the drug-induced effects of Vascepa, which go beyond triglyceride-lowering, would not actually reduce cardiovascular risk in this population.</w:t>
      </w:r>
    </w:p>
    <w:p>
      <w:pPr>
        <w:spacing w:after="0" w:line="182"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In August 2015, based on a federal court order, we began communicating promotional information beyond the MARINE indication to healthcare professionals in the United States through use of a set of qualified statements that we believe reflect the state of research related to the use of Vascepa in the ANCHOR population and the supportive but not conclusive research on the use of Vascepa to reduce cardiovascular risk in this population. In March 2016, we settled the litigation related to this court order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An FDA-approved indication for this patient population has not been granted. If new clinical information is demonstrated which changes what we understand today to be truthful and non-misleading, our promotion of Vascepa will need to be modified to ensure that our promotion remains truthful and non-misleading. Our ability to reach full potential in the commercialization of Vascepa in the United States is dependent upon marketing claims associated with Vascepa that are granted with the approval of an indication statement by the FDA.</w:t>
      </w:r>
    </w:p>
    <w:p>
      <w:pPr>
        <w:spacing w:after="0" w:line="178"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Based on our communications with the FDA, we expect that final positive results from the REDUCE-IT outcomes study will be required for FDA approval of a new indication or other label expansion for Vascepa. Any delay in obtaining, or an inability to obtain, further expansion of our marketing approval rights with an FDA approval could prevent us from growing revenue at all or greater than our current pace and could therefore have a material adverse effect on our operations and financial condition, including our ability to reach profitability. Even if we obtain additional regulatory approvals for Vascepa, the timing or scope of any approvals may prohibit or reduce our ability to commercialize the product successfully. For example, if the approval process for any expanded indication takes too long, we may miss market opportunities and give other companies the ability to develop competing products or establish market dominance. If the FDA does not approve any expanded indication at all, it could have a material impact on our future results of operations and financial condition. Additionally, the terms of any approvals beyond the approval received from the FDA in July 2012 for the MARINE indication may prove to not have the scope or breadth needed for us to successfully commercialize Vascepa or become profitable.</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off-label promotion of Vascepa could subject us to additional regulatory scrutiny and present unforeseen risks.</w:t>
      </w:r>
    </w:p>
    <w:p>
      <w:pPr>
        <w:spacing w:after="0" w:line="117"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color w:val="auto"/>
        </w:rPr>
        <w:t>The Federal Food, Drug, and Cosmetic Act, or FDCA, has been interpreted by the FDA to make it illegal for pharmaceutical companies to promote their FDA-approved products for uses that have not been approved by the FDA. Companies that market drugs for off-label uses or indications have been subject to related costly litigation, criminal penalties and civil liability under the FDCA and the False Claims Act.</w:t>
      </w:r>
    </w:p>
    <w:p>
      <w:pPr>
        <w:spacing w:after="0" w:line="166"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 xml:space="preserve">In May 2015, we and a group of independent physicians filed a lawsuit against the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reflects recognized medical practice but was not approved by the FDA and is thus not covered by current FDA-approved labeling for the drug. Promotion of an off-label use is considered by the FDA to be illegal under the FDCA. The lawsuit, captioned </w:t>
      </w:r>
      <w:r>
        <w:rPr>
          <w:rFonts w:ascii="Arial" w:cs="Arial" w:eastAsia="Arial" w:hAnsi="Arial"/>
          <w:sz w:val="17"/>
          <w:szCs w:val="17"/>
          <w:i w:val="1"/>
          <w:iCs w:val="1"/>
          <w:color w:val="auto"/>
        </w:rPr>
        <w:t>Amarin Pharma, Inc., et al. v. Food &amp; Drug Administration, et al.</w:t>
      </w:r>
      <w:r>
        <w:rPr>
          <w:rFonts w:ascii="Arial" w:cs="Arial" w:eastAsia="Arial" w:hAnsi="Arial"/>
          <w:sz w:val="17"/>
          <w:szCs w:val="17"/>
          <w:color w:val="auto"/>
        </w:rPr>
        <w:t>, 119 F. Supp. 3d 196 (S.D.N.Y. 2015), was filed in the United States District Court for the Southern District of New York. In the lawsuit, we contended principally that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FDA opposed this lawsuit but did not dispute the veracity of the subject ANCHOR clinical trial data, the safety data from which is already in FDA-approved labeling of Vascepa, or the peer-reviewed research related to Vascepa and the potential for cardiovascular risk reduction.</w:t>
      </w:r>
    </w:p>
    <w:p>
      <w:pPr>
        <w:spacing w:after="0" w:line="180"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In connection with this litigation, the FDA sent a detailed letter to us on June 5, 2015 that confirmed the validity of the ANCHOR trial results. The letter also sought to clarify how, in the FDA’s view, applicable law and FDA policies apply to the communications proposed in our complaint. The FDA stated in this letter that it did not have concerns with much of the information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1" w:name="page52"/>
    <w:bookmarkEnd w:id="51"/>
    <w:p>
      <w:pPr>
        <w:ind w:right="120"/>
        <w:spacing w:after="0" w:line="264" w:lineRule="auto"/>
        <w:rPr>
          <w:sz w:val="20"/>
          <w:szCs w:val="20"/>
          <w:color w:val="auto"/>
        </w:rPr>
      </w:pPr>
      <w:r>
        <w:rPr>
          <w:rFonts w:ascii="Arial" w:cs="Arial" w:eastAsia="Arial" w:hAnsi="Arial"/>
          <w:sz w:val="18"/>
          <w:szCs w:val="18"/>
          <w:color w:val="auto"/>
        </w:rPr>
        <w:t>we proposed to communicate and provided us with guidance on the FDA’s view of lawful, but limited paths for the dissemination and communication to healthcare professionals of the effects of Vascepa demonstrated in the ANCHOR clinical trial and use of peer-reviewed scientific publications in the context of appropriate disclaimers.</w:t>
      </w:r>
    </w:p>
    <w:p>
      <w:pPr>
        <w:spacing w:after="0" w:line="18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FDA did not appeal the court’s ruling. In March 2016, we settled this litigation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w:t>
      </w:r>
    </w:p>
    <w:p>
      <w:pPr>
        <w:spacing w:after="0" w:line="178"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 Based on our communications with the FDA, we expect that final positive results from the REDUCE-IT outcomes study will be required for label expansion for Vascepa.</w:t>
      </w:r>
    </w:p>
    <w:p>
      <w:pPr>
        <w:spacing w:after="0" w:line="18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Even though we have the benefit of a final settlement in this litigation, our promotion is still subject to a high, perhaps abnormally high, degree of scrutiny to ensure that our promotion remains within the scope covered by the settlement. For example, under the settlement, we remain responsible for ensuring our speech is truthful and non-misleading. Data arising from studies of drug products are complex, such as the many studies that we believe show supportive but not conclusive research on the potential connection between the effects of EPA, the active ingredient in Vascepa, and cardiovascular risk reduction (e.g., the JELIS trial of a highly-pure EPA product in Japan and the ongoing REDUCE-IT study of Vascepa). We, the FDA and other interested parties may not agree on the truthfulness and non-misleading nature of our promotional materials with respect to the outcome of these trials. Federal and state governments may also seek to find other means to prevent our promotion of unapproved truthful and non-misleading information about Vascepa. 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any of which could adversely affect our ability to operate our business and our results of operations.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2" w:name="page53"/>
    <w:bookmarkEnd w:id="52"/>
    <w:p>
      <w:pPr>
        <w:ind w:left="26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78"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Our competitors both in the United States and Europe include large, well-established pharmaceutical and generic companies, specialty and generic pharmaceutical sales and marketing companies, and specialized cardiovascular treatment companies. GlaxoSmithKline plc currently sells Lovaza</w:t>
      </w:r>
      <w:r>
        <w:rPr>
          <w:rFonts w:ascii="Arial" w:cs="Arial" w:eastAsia="Arial" w:hAnsi="Arial"/>
          <w:sz w:val="14"/>
          <w:szCs w:val="14"/>
          <w:color w:val="auto"/>
        </w:rPr>
        <w:t>®</w:t>
      </w:r>
      <w:r>
        <w:rPr>
          <w:rFonts w:ascii="Arial" w:cs="Arial" w:eastAsia="Arial" w:hAnsi="Arial"/>
          <w:sz w:val="17"/>
          <w:szCs w:val="17"/>
          <w:color w:val="auto"/>
        </w:rPr>
        <w:t>, a prescription-only omega-3 fatty acid indicated for patients with severe hypertriglyceridemia, which was approved by FDA in 2004 and has been on the market in the United States since 2005. As described below, multiple generic versions of Lovaza are now available in the United States. Other large companies with competitive products include AbbVie, Inc., which currently sells Tricor</w:t>
      </w:r>
      <w:r>
        <w:rPr>
          <w:rFonts w:ascii="Arial" w:cs="Arial" w:eastAsia="Arial" w:hAnsi="Arial"/>
          <w:sz w:val="14"/>
          <w:szCs w:val="14"/>
          <w:color w:val="auto"/>
        </w:rPr>
        <w:t>®</w:t>
      </w:r>
      <w:r>
        <w:rPr>
          <w:rFonts w:ascii="Arial" w:cs="Arial" w:eastAsia="Arial" w:hAnsi="Arial"/>
          <w:sz w:val="17"/>
          <w:szCs w:val="17"/>
          <w:color w:val="auto"/>
        </w:rPr>
        <w:t xml:space="preserve"> and Trilipix</w:t>
      </w:r>
      <w:r>
        <w:rPr>
          <w:rFonts w:ascii="Arial" w:cs="Arial" w:eastAsia="Arial" w:hAnsi="Arial"/>
          <w:sz w:val="14"/>
          <w:szCs w:val="14"/>
          <w:color w:val="auto"/>
        </w:rPr>
        <w:t>®</w:t>
      </w:r>
      <w:r>
        <w:rPr>
          <w:rFonts w:ascii="Arial" w:cs="Arial" w:eastAsia="Arial" w:hAnsi="Arial"/>
          <w:sz w:val="17"/>
          <w:szCs w:val="17"/>
          <w:color w:val="auto"/>
        </w:rPr>
        <w:t xml:space="preserve"> for the treatment of severe hypertriglyceridemia and Niaspan</w:t>
      </w:r>
      <w:r>
        <w:rPr>
          <w:rFonts w:ascii="Arial" w:cs="Arial" w:eastAsia="Arial" w:hAnsi="Arial"/>
          <w:sz w:val="14"/>
          <w:szCs w:val="14"/>
          <w:color w:val="auto"/>
        </w:rPr>
        <w:t>®</w:t>
      </w:r>
      <w:r>
        <w:rPr>
          <w:rFonts w:ascii="Arial" w:cs="Arial" w:eastAsia="Arial" w:hAnsi="Arial"/>
          <w:sz w:val="17"/>
          <w:szCs w:val="17"/>
          <w:color w:val="auto"/>
        </w:rPr>
        <w:t>, which is primarily used to raise high-density lipoprotein cholesterol, or HDL-C, but is also used to lower triglycerides. Generic versions of Tricor, Trilipix, and Niaspan are also now available in the United States. In addition, in May 2014, Epanova</w:t>
      </w:r>
      <w:r>
        <w:rPr>
          <w:rFonts w:ascii="Arial" w:cs="Arial" w:eastAsia="Arial" w:hAnsi="Arial"/>
          <w:sz w:val="14"/>
          <w:szCs w:val="14"/>
          <w:color w:val="auto"/>
        </w:rPr>
        <w:t>®</w:t>
      </w:r>
      <w:r>
        <w:rPr>
          <w:rFonts w:ascii="Arial" w:cs="Arial" w:eastAsia="Arial" w:hAnsi="Arial"/>
          <w:sz w:val="17"/>
          <w:szCs w:val="17"/>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Also, in April 2014, Omtryg, another omega-3-acid fatty acid composition developed by Trygg Pharma AS, received FDA approval for severe hypertriglyceridemia. Neither Epanova nor Omtryg have been commercially launched, but could launch at any time. Each of these competitors, other than potentially Trygg, has greater resources than we do, including financial, product development, marketing, personnel and other resources.</w:t>
      </w:r>
    </w:p>
    <w:p>
      <w:pPr>
        <w:spacing w:after="0" w:line="180"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Results of pending low dose omega-3 cardiovascular outcomes studies may negatively affect sales of Vascepa. For example, in 2018, results of both VITamin D and OmegA-3 TriaL (VITAL) and A Study of Cardiovascular Events iN Diabetes (ASCEND) trials are expected to be released. VITAL is an NIH funded randomized double-blind, placebo-controlled, 2x2 factorial trial of 2000 IU per day of vitamin D3 and 1 gram per day of omega-3 fatty acid supplementation (Lovaza) for the primary prevention of cancer and cardiovascular disease in a nationwide USA cohort of 25,874 adults not selected for elevated cardiovascular or cancer risk. ASCEND is a British Heart Foundation funded 2x2 factorial design, randomized study to assess whether aspirin 100 mg daily versus placebo and separately, omega-3 fatty acids 1 gram daily versus placebo, reduce the risk of cardiovascular events in a nationwide UK cohort of over 15,000 individuals with diabetes who do not have atherosclerotic cardiovascular disease. Positive results due to the omega-3 component from one or both trials may influence greater utilization of 1 gram daily of dietary supplements in a broad low cardiovascular risk population and in patients with diabetes and may potentially cause an update of AHA recommendation for 1 gram per day of EPA and DHA based on trial results. Also, AstraZeneca is currently conducting a long-term outcomes study to assess STatin Residual Risk Reduction With EpaNova in HiGh Cardiovascular Risk PatienTs With Hypertriglyceridemia (STRENGTH). The study is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for approximately 3-5 years as determined when the number of major adverse cardiovascular event outcomes is reached. The STRENGTH study estimated completion date is in November 2019, but it could be stopped earlier if, for example, it generates an overwhelming efficacy result.</w:t>
      </w:r>
    </w:p>
    <w:p>
      <w:pPr>
        <w:spacing w:after="0" w:line="183"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Currently, eight manufacturers have launched generic versions of Lovaza. In April 2014, Teva Pharmaceuticals USA Inc., or Teva, launched a generic version of Lovaza after winning its patent litigation against Pronova BioPharma Norge AS, now owned by BASF, which owns such patent rights. In June 2014 and September 2014, Par Pharmaceutical Inc., or Par, and Apotex Inc., or Apotex, respectively, received FDA approval of their respective versions of generic Lovaza. Par launched a generic version of Lovaza in July 2014. In March 2011, Pronova/BASF entered into an agreement with Apotex to settle its patent litigation in the United States related to Lovaza. Pursuant to the terms of the settlement agreement, Apotex launched a generic version of Lovaza in January 2015. Prasco Labs launched a generic version of Lovaza in March 2015 and AvKARE, Inc., or AvKARE, launched its version in May 2015. AvKARE supplies government agencies and does not participate in the commercial marketplace. Amneal Pharmaceuticals launched a generic version of Lovaza in January 2016. In December 2016, Golden State Medical Supply launched a generic version of Lovaza. Like AvKARE, Golden State Medical Supply only supplies products to government agencies and does not participate in the commercial marketplace. In August 2017, Key Therapeutics launched a generic version of Lovaza under the name of TrikLo.</w:t>
      </w:r>
    </w:p>
    <w:p>
      <w:pPr>
        <w:spacing w:after="0" w:line="178"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In addition, we are aware of other pharmaceutical companies that are developing products that, if approved and marketed, would compete with Vascepa. We understand that Acasti Pharma, or Acasti, a subsidiary of Neptune Technologies &amp; Bioresources Inc., announced in December 2015 that it intends to pursue a regulatory pathway under section 505(b)(2) of the FDCA for its omega-3 prescription drug candidate, CaPre</w:t>
      </w:r>
      <w:r>
        <w:rPr>
          <w:rFonts w:ascii="Arial" w:cs="Arial" w:eastAsia="Arial" w:hAnsi="Arial"/>
          <w:sz w:val="15"/>
          <w:szCs w:val="15"/>
          <w:color w:val="auto"/>
        </w:rPr>
        <w:t>®</w:t>
      </w:r>
      <w:r>
        <w:rPr>
          <w:rFonts w:ascii="Arial" w:cs="Arial" w:eastAsia="Arial" w:hAnsi="Arial"/>
          <w:sz w:val="18"/>
          <w:szCs w:val="18"/>
          <w:color w:val="auto"/>
        </w:rPr>
        <w:t>, derived from krill oil, for the treatment of hypertriglyceridemia. In September 2016, Acasti</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3" w:name="page54"/>
    <w:bookmarkEnd w:id="53"/>
    <w:p>
      <w:pPr>
        <w:ind w:right="20"/>
        <w:spacing w:after="0" w:line="272" w:lineRule="auto"/>
        <w:rPr>
          <w:sz w:val="20"/>
          <w:szCs w:val="20"/>
          <w:color w:val="auto"/>
        </w:rPr>
      </w:pPr>
      <w:r>
        <w:rPr>
          <w:rFonts w:ascii="Arial" w:cs="Arial" w:eastAsia="Arial" w:hAnsi="Arial"/>
          <w:sz w:val="17"/>
          <w:szCs w:val="17"/>
          <w:color w:val="auto"/>
        </w:rPr>
        <w:t>announced positive results from its pivotal bioavailability bridging study comparing CaPre to Lovaza, establishing a scientific bridge between the two that is expected to support the feasibility of a 505(b)(2) regulatory pathway. Acasti has reported that it intends to initiate a Phase 3 clinical program to assess the safety and efficacy of CaPre in patients with very high (≥500 mg/dL) triglycerides in the second half of 2017. We believe Sancilio &amp; Company, or Sancilio, is also developing potential treatments for hypertriglyceridemia based on omega-3 fatty acids. To our knowledge, Sancilio is pursuing a regulatory pathway under section 505(b)(2) of the FDCA for its product and submitted an Investigational New Drug Application, or IND, in July 2015. Sancilio completed two pharmacokinetic studies and Phase 2 bioavailability studies (FASTR I&amp;II), with one comparing SC401 to Lovaza. We expect the company or a potential partner to initiate a pivotal clinical Phase 3 study as the next step in development.</w:t>
      </w:r>
    </w:p>
    <w:p>
      <w:pPr>
        <w:spacing w:after="0" w:line="178"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In addition, we are aware that Matinas BioPharma, Inc. is developing an omega-3-based therapeutic for the treatment of severe hypertriglyceridemia and mixed dyslipidemia. Matinas BioPharma, Inc. has filed an IND with the FDA to conduct a human study in the treatment of severe hypertriglyceridemia. Akcea Therapeutics/Ionis Pharmaceuticals (formerly Isis Pharmaceuticals), or Akcea/Ionis, in August 2017 announced the submission of an NDA to the FDA for volanesorsen (formerly ISIS-APOCIII</w:t>
      </w:r>
      <w:r>
        <w:rPr>
          <w:rFonts w:ascii="Arial" w:cs="Arial" w:eastAsia="Arial" w:hAnsi="Arial"/>
          <w:sz w:val="13"/>
          <w:szCs w:val="13"/>
          <w:color w:val="auto"/>
        </w:rPr>
        <w:t>Rx</w:t>
      </w:r>
      <w:r>
        <w:rPr>
          <w:rFonts w:ascii="Arial" w:cs="Arial" w:eastAsia="Arial" w:hAnsi="Arial"/>
          <w:sz w:val="16"/>
          <w:szCs w:val="16"/>
          <w:color w:val="auto"/>
        </w:rPr>
        <w:t>), a drug candidate administered through weekly subcutaneous injections, for the treatment of familial chylomicronemia syndrome (FCS). The NDA submission was based on positive Phase 3 results from the APPROACH trial in patients with FCS and from the COMPASS trial in patients with severe hypertriglyceridemia. A Phase 3 trial is currently ongoing studying volanesorsen in patients with familial partial lipodystrophy (FPL) (BROADEN trial). Akcea/Ionis expects to file an NDA for FPL in 2019. In January 2017, Akcea/Ionis announced a strategic collaboration and option agreement with Novartis whereby Novartis will help develop (including funding cardiovascular outcomes studies) and commercialize products emerging from this collaboration, including volanesorsen. Madrigal Pharmaceuticals has ongoing Phase 2 trials of MGL-3196 in patients with heterozygous familial hypercholesterolemia (HeFH) and in patients with Non-Alcoholic Steatohepatitis (NASH). Topline results for both trials are expected by the end of 2017, and if positive, Madrigal expects to initiate Phase 3 trials in 2018. A Phase 2 trial in patients with homozygous familial hypercholesterolemia (HoFH) is expected to begin enrollment by the end of 2017. Finally, Gemphire Therapeutics plans to advance gemcabene into Phase 3 trials in 2018. Gemcabene, an oral, once-daily pill, is in development for a number of hypercholesterolemic populations including HeFH, HoFH and severe hypertriglyceridemia. Gemphire recently announced the successful completion of two Phase 2b trials, COBALT-1 in patients with HoFH on stable lipid-lowering therapy and ROYAL-1 in patients with hypercholesterolemia on a high-intensity stable statin therapy with or without ezetimibe. Another Phase 2b trial in patients with severe hypertriglyceridemia is ongoing with topline data expected in the first quarter of 2018.</w:t>
      </w:r>
    </w:p>
    <w:p>
      <w:pPr>
        <w:spacing w:after="0" w:line="286" w:lineRule="exact"/>
        <w:rPr>
          <w:sz w:val="20"/>
          <w:szCs w:val="20"/>
          <w:color w:val="auto"/>
        </w:rPr>
      </w:pPr>
    </w:p>
    <w:p>
      <w:pPr>
        <w:ind w:left="260" w:right="260"/>
        <w:spacing w:after="0" w:line="277" w:lineRule="auto"/>
        <w:rPr>
          <w:sz w:val="20"/>
          <w:szCs w:val="20"/>
          <w:color w:val="auto"/>
        </w:rPr>
      </w:pPr>
      <w:r>
        <w:rPr>
          <w:rFonts w:ascii="Arial" w:cs="Arial" w:eastAsia="Arial" w:hAnsi="Arial"/>
          <w:sz w:val="18"/>
          <w:szCs w:val="18"/>
          <w:b w:val="1"/>
          <w:bCs w:val="1"/>
          <w:i w:val="1"/>
          <w:iCs w:val="1"/>
          <w:color w:val="auto"/>
        </w:rPr>
        <w:t>Generic company competitors are seeking FDA approval of generic versions of Vascepa. We are now engaged in related patent litigation and could face other challenges to our exclusivity.</w:t>
      </w:r>
    </w:p>
    <w:p>
      <w:pPr>
        <w:spacing w:after="0" w:line="62"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The FDCA, as amended by the Drug Price Competition and Patent Term Restoration Act of 1984, as amended, or the Hatch-Waxman Amendments, permits the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 w:lineRule="exact"/>
        <w:rPr>
          <w:sz w:val="20"/>
          <w:szCs w:val="20"/>
          <w:color w:val="auto"/>
        </w:rPr>
      </w:pPr>
    </w:p>
    <w:p>
      <w:pPr>
        <w:ind w:right="20" w:firstLine="518"/>
        <w:spacing w:after="0" w:line="250" w:lineRule="auto"/>
        <w:rPr>
          <w:sz w:val="20"/>
          <w:szCs w:val="20"/>
          <w:color w:val="auto"/>
        </w:rPr>
      </w:pPr>
      <w:r>
        <w:rPr>
          <w:rFonts w:ascii="Arial" w:cs="Arial" w:eastAsia="Arial" w:hAnsi="Arial"/>
          <w:sz w:val="18"/>
          <w:szCs w:val="18"/>
          <w:color w:val="auto"/>
        </w:rPr>
        <w:t>As an alternate path to FDA approval for modifications of products previously approved by the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FDA findings of safety and effectiveness of a drug that has obtained FDA approval based on preclinical or clinical studies conducted by others. In addition to relying on FDA prior findings of safety and effectiveness for a referenced drug product, the FDA may require companies to perform additional preclinical or clinical studies to support approval of the modification to the referenced product.</w:t>
      </w:r>
    </w:p>
    <w:p>
      <w:pPr>
        <w:spacing w:after="0" w:line="3"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If an application for a generic version of a branded product or a Section 505(b)(2) application relies on a prior FDA finding of safety and effectiveness of a previously-approved product including an alternative strength thereof, the applicant is required to certify to the FDA concerning any patents listed for the referenced product in the FDA publication called “Approved Drug Products with Therapeutic Equivalence Evaluations,” otherwise known as the “Orange Book.” Specifically, the applicant must certify in the application that:</w:t>
      </w:r>
    </w:p>
    <w:p>
      <w:pPr>
        <w:spacing w:after="0" w:line="59"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there is no patent information listed for the reference drug;</w:t>
      </w:r>
    </w:p>
    <w:p>
      <w:pPr>
        <w:spacing w:after="0" w:line="121"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listed patent has expired for the reference drug;</w:t>
      </w:r>
    </w:p>
    <w:p>
      <w:pPr>
        <w:spacing w:after="0" w:line="117" w:lineRule="exact"/>
        <w:rPr>
          <w:sz w:val="20"/>
          <w:szCs w:val="20"/>
          <w:color w:val="auto"/>
        </w:rPr>
      </w:pPr>
    </w:p>
    <w:p>
      <w:pPr>
        <w:ind w:left="5620" w:right="340" w:hanging="5099"/>
        <w:spacing w:after="0" w:line="528" w:lineRule="auto"/>
        <w:tabs>
          <w:tab w:leader="none" w:pos="10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listed patent for the reference drug has not expired, but will expire on a particular date and approval is sought after patent expiration; or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ind w:left="1040" w:right="460" w:hanging="519"/>
        <w:spacing w:after="0" w:line="277" w:lineRule="auto"/>
        <w:tabs>
          <w:tab w:leader="none" w:pos="1020" w:val="left"/>
        </w:tabs>
        <w:rPr>
          <w:sz w:val="20"/>
          <w:szCs w:val="20"/>
          <w:color w:val="auto"/>
        </w:rPr>
      </w:pPr>
      <w:r>
        <w:rPr>
          <w:rFonts w:ascii="Arial" w:cs="Arial" w:eastAsia="Arial" w:hAnsi="Arial"/>
          <w:sz w:val="18"/>
          <w:szCs w:val="18"/>
          <w:color w:val="auto"/>
        </w:rPr>
        <w:t>(IV)</w:t>
        <w:tab/>
        <w:t>the listed patent for the reference drug is invalid, unenforceable, or will not be infringed by the manufacture, use or sale of the product for which the ANDA or 505(b)(2) NDA is submitted.</w:t>
      </w:r>
    </w:p>
    <w:p>
      <w:pPr>
        <w:spacing w:after="0" w:line="170"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54"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FDA without regard to a stay. For products entitled to five-year exclusivity status, the Hatch-Waxman Amendments provide that an ANDA application may be submitted after four years following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7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the first half of 2014, we received six paragraph IV notices notifying us of accepted ANDAs to the Vascepa 1-gram dose strength under the Hatch-Waxman Amendments. These ANDAs were submitted and accepted by FDA under the regulatory scheme adopted under the Hatch-Waxman Amendments based on the FDA’s determination that we were entitled to three, and not five-year exclusivity. As a result, from the first half of 2014 until June 2015, we were engaged in costly litigation with the ANDA applicants to protect our patent rights.</w:t>
      </w:r>
    </w:p>
    <w:p>
      <w:pPr>
        <w:spacing w:after="0" w:line="18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Based on the May 28, 2015, District of Columbia court order granting our motion for summary judgment in the new chemical entity, or NCE, litigation, on June 26, 2015, the parties to the related Vascepa patent litigation that followed acceptance by FDA of ANDAs to Vascepa based on a three-year regulatory exclusivity determination, agreed to a full stay of proceeding in that patent litigation.</w:t>
      </w:r>
    </w:p>
    <w:p>
      <w:pPr>
        <w:spacing w:after="0" w:line="18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Following the May 28, 2015 District of Columbia court order setting aside FDA’s denial of NCE exclusivity for Vascepa, FDA notified the ANDA filers that FDA had changed the status of their ANDAs to submitted, but no longer accepted, and notified ANDA filers that FDA had ceased review of the pending ANDAs. In rescinding acceptance of the ANDAs, the statutory basis for the patent litigation (accepted ANDAs) no longer existed. Thus, in July 2015, we moved to dismiss the pending patent infringement lawsuits against each of the Vascepa ANDA applicants in the U.S. District Court for the District of New Jersey.</w:t>
      </w:r>
    </w:p>
    <w:p>
      <w:pPr>
        <w:spacing w:after="0" w:line="188"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On January 22, 2016, the U.S. District Court for the District of New Jersey granted our motion to dismiss all patent infringement litigation related to the 2014 acceptance by the FDA of ANDAs to Vascepa. An appeal of the court’s dismissal was filed by one ANDA filer and, after FDA’s May 2016 grant of Vascepa NCE exclusivity, that appeal was withdrawn by the ANDA filer. This dismissal and terminated appeal ended this patent litigation related to Vascepa.</w:t>
      </w:r>
    </w:p>
    <w:p>
      <w:pPr>
        <w:spacing w:after="0" w:line="147" w:lineRule="exact"/>
        <w:rPr>
          <w:sz w:val="20"/>
          <w:szCs w:val="20"/>
          <w:color w:val="auto"/>
        </w:rPr>
      </w:pPr>
    </w:p>
    <w:p>
      <w:pPr>
        <w:jc w:val="both"/>
        <w:ind w:right="80" w:firstLine="518"/>
        <w:spacing w:after="0" w:line="276" w:lineRule="auto"/>
        <w:rPr>
          <w:sz w:val="20"/>
          <w:szCs w:val="20"/>
          <w:color w:val="auto"/>
        </w:rPr>
      </w:pPr>
      <w:r>
        <w:rPr>
          <w:rFonts w:ascii="Arial" w:cs="Arial" w:eastAsia="Arial" w:hAnsi="Arial"/>
          <w:sz w:val="17"/>
          <w:szCs w:val="17"/>
          <w:color w:val="auto"/>
        </w:rPr>
        <w:t>On May 31, 2016, in a reversal that FDA and we view as consistent with the court’s May 28, 2015 summary judgment motion, FDA determined that Vascepa is eligible for five-year, NCE marketing exclusivity. This determination provides Vascepa with the benefits of NCE exclusivity afforded by statute. NCE exclusivity for Vascepa ran from its date of FDA approval on July 26, 2012 and extended until July 26, 2017. We believe the statutory NCE-related 30-month stay triggered by the 1-gram dose patent litigation following generic application submissions permitted on July 26, 2016 is scheduled to continue until January 26, 2020, seven-and-a-half years from FDA approval, unless such patent litigation is resolved against us sooner.</w:t>
      </w:r>
    </w:p>
    <w:p>
      <w:pPr>
        <w:spacing w:after="0" w:line="173"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In September and October 2016, we received paragraph IV certification notices from four companies contending to varying degrees that certain of our patents are invalid, unenforceable and/or will not be infringed by the manufacture, use, sale or offer for sale of a generic form of the 1-gram dose strength of Vascepa as described in those companies’ ANDAs. These certifications were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ind w:right="80"/>
        <w:spacing w:after="0" w:line="277" w:lineRule="auto"/>
        <w:rPr>
          <w:sz w:val="20"/>
          <w:szCs w:val="20"/>
          <w:color w:val="auto"/>
        </w:rPr>
      </w:pPr>
      <w:r>
        <w:rPr>
          <w:rFonts w:ascii="Arial" w:cs="Arial" w:eastAsia="Arial" w:hAnsi="Arial"/>
          <w:sz w:val="18"/>
          <w:szCs w:val="18"/>
          <w:color w:val="auto"/>
        </w:rPr>
        <w:t>expected given the eligibility for submission of ANDAs under the NCE regulatory structure, after the expiration of four years from the July 2012 approval of Vascepa.</w:t>
      </w:r>
    </w:p>
    <w:p>
      <w:pPr>
        <w:spacing w:after="0" w:line="170"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 xml:space="preserve">We filed patent infringement lawsuits against three of these four ANDA applicants. In October 2016, Amarin filed a lawsuit against Roxane Laboratories, Inc. and related parties, collectively, Roxane, in the U.S. District Court for the District of Nevada. The case against Roxane is captioned </w:t>
      </w:r>
      <w:r>
        <w:rPr>
          <w:rFonts w:ascii="Arial" w:cs="Arial" w:eastAsia="Arial" w:hAnsi="Arial"/>
          <w:sz w:val="17"/>
          <w:szCs w:val="17"/>
          <w:i w:val="1"/>
          <w:iCs w:val="1"/>
          <w:color w:val="auto"/>
        </w:rPr>
        <w:t>Amarin</w:t>
      </w:r>
      <w:r>
        <w:rPr>
          <w:rFonts w:ascii="Arial" w:cs="Arial" w:eastAsia="Arial" w:hAnsi="Arial"/>
          <w:sz w:val="17"/>
          <w:szCs w:val="17"/>
          <w:color w:val="auto"/>
        </w:rPr>
        <w:t xml:space="preserve"> </w:t>
      </w:r>
      <w:r>
        <w:rPr>
          <w:rFonts w:ascii="Arial" w:cs="Arial" w:eastAsia="Arial" w:hAnsi="Arial"/>
          <w:sz w:val="17"/>
          <w:szCs w:val="17"/>
          <w:i w:val="1"/>
          <w:iCs w:val="1"/>
          <w:color w:val="auto"/>
        </w:rPr>
        <w:t>Pharma, Inc. et al. v. Roxane Laboratories, Inc. et al.</w:t>
      </w:r>
      <w:r>
        <w:rPr>
          <w:rFonts w:ascii="Arial" w:cs="Arial" w:eastAsia="Arial" w:hAnsi="Arial"/>
          <w:sz w:val="17"/>
          <w:szCs w:val="17"/>
          <w:color w:val="auto"/>
        </w:rPr>
        <w:t>, Civ. A. No. 2:16-cv-02525 (D. Nev.). According to a stipulation filed with the Nevada court,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December 2016, Roxane transferred its ANDA to West-Ward Pharmaceuticals International Limited, which then designated West-Ward Pharmaceuticals Corp. (or together with West-Ward Pharmaceuticals International Limited, West-Ward) as its agent for FDA communications. In view of the ANDA transfer, in February 2017, West-Ward replaced Roxane and related parties as Defendants in the above-referenced case. The case against West-Ward is now captioned </w:t>
      </w:r>
      <w:r>
        <w:rPr>
          <w:rFonts w:ascii="Arial" w:cs="Arial" w:eastAsia="Arial" w:hAnsi="Arial"/>
          <w:sz w:val="17"/>
          <w:szCs w:val="17"/>
          <w:i w:val="1"/>
          <w:iCs w:val="1"/>
          <w:color w:val="auto"/>
        </w:rPr>
        <w:t>Amarin Pharma, Inc. et al. v. West-Ward Pharmaceuticals Corp. et al.</w:t>
      </w:r>
      <w:r>
        <w:rPr>
          <w:rFonts w:ascii="Arial" w:cs="Arial" w:eastAsia="Arial" w:hAnsi="Arial"/>
          <w:sz w:val="17"/>
          <w:szCs w:val="17"/>
          <w:color w:val="auto"/>
        </w:rPr>
        <w:t xml:space="preserve">, Civ. A. No. 2:16-cv-02525 (D. Nev.). In November 2016, Amarin filed a lawsuit against Dr. Reddy’s Laboratories, Inc. and Dr. Reddy’s Laboratories, Ltd., collectively, DRL, in the U.S. District Court for the District of Nevada. The case against DRL is captioned </w:t>
      </w:r>
      <w:r>
        <w:rPr>
          <w:rFonts w:ascii="Arial" w:cs="Arial" w:eastAsia="Arial" w:hAnsi="Arial"/>
          <w:sz w:val="17"/>
          <w:szCs w:val="17"/>
          <w:i w:val="1"/>
          <w:iCs w:val="1"/>
          <w:color w:val="auto"/>
        </w:rPr>
        <w:t>Amarin Pharma, Inc. et al. v. Dr. Reddy’s Laboratories, Inc. et al</w:t>
      </w:r>
      <w:r>
        <w:rPr>
          <w:rFonts w:ascii="Arial" w:cs="Arial" w:eastAsia="Arial" w:hAnsi="Arial"/>
          <w:sz w:val="17"/>
          <w:szCs w:val="17"/>
          <w:color w:val="auto"/>
        </w:rPr>
        <w:t xml:space="preserve">., Civ. A. No. 2:16-cv-02562 (D. Nev.). In November 2016, Amarin filed a lawsuit against Teva Pharmaceuticals USA, Inc. and Teva Pharmaceuticals Industries Limited, or collectively, Teva, in the U.S. District Court for the District of Nevada. The case against Teva is captioned </w:t>
      </w:r>
      <w:r>
        <w:rPr>
          <w:rFonts w:ascii="Arial" w:cs="Arial" w:eastAsia="Arial" w:hAnsi="Arial"/>
          <w:sz w:val="17"/>
          <w:szCs w:val="17"/>
          <w:i w:val="1"/>
          <w:iCs w:val="1"/>
          <w:color w:val="auto"/>
        </w:rPr>
        <w:t>Amarin Pharma, Inc. et al. v. Teva Pharmaceuticals USA, Inc. et al</w:t>
      </w:r>
      <w:r>
        <w:rPr>
          <w:rFonts w:ascii="Arial" w:cs="Arial" w:eastAsia="Arial" w:hAnsi="Arial"/>
          <w:sz w:val="17"/>
          <w:szCs w:val="17"/>
          <w:color w:val="auto"/>
        </w:rPr>
        <w:t>., Civ. A. No. 2:16-cv-02658. In all three lawsuits, we are seeking, among other remedies, an order enjoining each defendant from marketing generic versions of the 1-gram dose strength of Vascepa before the last to expire of the asserted patents in 2030. The three lawsuits have been consolidated for pretrial proceedings, and are in their early stages.</w:t>
      </w:r>
    </w:p>
    <w:p>
      <w:pPr>
        <w:spacing w:after="0" w:line="185"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The fourth ANDA applicant referenced above is Apotex Inc., or Apotex, which sent us a paragraph IV certification notice in September 2016. The notice reflected that Apotex made a paragraph IV notice as to some, but not all, of the patents listed in the Orange Book for Vascepa. Because Apotex did not make a paragraph IV certification as to all listed patents, Apotex cannot market a generic version of Vascepa before the last to expire of the patents for which Apotex did not make a paragraph IV certification, which is in 2030. At a later date, Apotex may elect to amend its ANDA in order to make a paragraph IV certification as to additional listed patents. If and when Apotex does make such an amendment, it would be required to send Amarin an additional paragraph IV certification notice, and Amarin would then have the ability to file a lawsuit against Apotex pursuant to the Hatch-Waxman Amendments.</w:t>
      </w:r>
    </w:p>
    <w:p>
      <w:pPr>
        <w:spacing w:after="0" w:line="165"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 xml:space="preserve">In October 2016, we introduced to the market a 500-mg dose strength of Vascepa. In August 2017, as anticipated, we received a paragraph IV certification notice from Teva contending that certain of our patents are invalid, unenforceable and/or will not be infringed by the manufacture, use, sale or offer for sale of a generic form of the 500-mg dose strength of Vascepa, as described in the Teva ANDA. This Teva ANDA was filed as an amendment to the 1-gram Teva ANDA and is related to patents already at issue in the 1-gram Vascepa patent litigation. This certification followed the related listing in the Orange Book of patents associated with the 500-mg product in June 2017. This June 2017 listing was within the five-year, post NDA-approval period during which the Hatch-Waxman Amendments require a paragraph IV certification of patent invalidity or non-infringement under the Hatch-Waxman, five-year, NCE regulatory scheme. Accordingly, in October 2017, we filed a patent infringement lawsuit against Teva in the U.S. District Court for the District of Nevada. The case is captioned </w:t>
      </w:r>
      <w:r>
        <w:rPr>
          <w:rFonts w:ascii="Arial" w:cs="Arial" w:eastAsia="Arial" w:hAnsi="Arial"/>
          <w:sz w:val="17"/>
          <w:szCs w:val="17"/>
          <w:i w:val="1"/>
          <w:iCs w:val="1"/>
          <w:color w:val="auto"/>
        </w:rPr>
        <w:t>Amarin Pharma, Inc.</w:t>
      </w:r>
      <w:r>
        <w:rPr>
          <w:rFonts w:ascii="Arial" w:cs="Arial" w:eastAsia="Arial" w:hAnsi="Arial"/>
          <w:sz w:val="17"/>
          <w:szCs w:val="17"/>
          <w:color w:val="auto"/>
        </w:rPr>
        <w:t xml:space="preserve"> et al. </w:t>
      </w:r>
      <w:r>
        <w:rPr>
          <w:rFonts w:ascii="Arial" w:cs="Arial" w:eastAsia="Arial" w:hAnsi="Arial"/>
          <w:sz w:val="17"/>
          <w:szCs w:val="17"/>
          <w:i w:val="1"/>
          <w:iCs w:val="1"/>
          <w:color w:val="auto"/>
        </w:rPr>
        <w:t>v. Teva Pharmaceuticals USA, Inc.</w:t>
      </w:r>
      <w:r>
        <w:rPr>
          <w:rFonts w:ascii="Arial" w:cs="Arial" w:eastAsia="Arial" w:hAnsi="Arial"/>
          <w:sz w:val="17"/>
          <w:szCs w:val="17"/>
          <w:color w:val="auto"/>
        </w:rPr>
        <w:t xml:space="preserve"> et al.</w:t>
      </w:r>
      <w:r>
        <w:rPr>
          <w:rFonts w:ascii="Arial" w:cs="Arial" w:eastAsia="Arial" w:hAnsi="Arial"/>
          <w:sz w:val="17"/>
          <w:szCs w:val="17"/>
          <w:i w:val="1"/>
          <w:iCs w:val="1"/>
          <w:color w:val="auto"/>
        </w:rPr>
        <w:t>,</w:t>
      </w:r>
      <w:r>
        <w:rPr>
          <w:rFonts w:ascii="Arial" w:cs="Arial" w:eastAsia="Arial" w:hAnsi="Arial"/>
          <w:sz w:val="17"/>
          <w:szCs w:val="17"/>
          <w:color w:val="auto"/>
        </w:rPr>
        <w:t xml:space="preserve"> Civ. A. No. 2:17-cv-2641 (D. Nev.). In this lawsuit, we are seeking, among other remedies, an order enjoining Teva from marketing generic versions of the 500-mg dose strength of Vascepa before the last to expire of the asserted patents in 2030. We anticipate that this new lawsuit against Teva will be consolidated with the pending lawsuits against Teva, West-Ward, and DRL referenced above, and we anticipate that all four lawsuits will proceed on the same schedule.</w:t>
      </w:r>
    </w:p>
    <w:p>
      <w:pPr>
        <w:spacing w:after="0" w:line="183"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 xml:space="preserve">We may also face challenges to the validity of our patents through a procedure known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is a trial proceeding conducted through the Patent Trial and Appeal Board, or PTAB, of the US Patent and Trademark Office. Such a proceeding could be introduced against us within the statutory one-year window triggered by service of a complaint for infringement. Such proceedings may review the patentability of one or more claims in a patent on specified substantive grounds such as allegations that a claim is obvious on the basis of certain prior art.</w:t>
      </w:r>
    </w:p>
    <w:p>
      <w:pPr>
        <w:spacing w:after="0" w:line="154"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 xml:space="preserve">We intend to vigorously enforce our intellectual property rights relating to Vascepa, but we cannot predict the outcome of the pending lawsuits or any subsequently filed lawsuits 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w:t>
      </w:r>
    </w:p>
    <w:p>
      <w:pPr>
        <w:spacing w:after="0" w:line="170"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If an ANDA filer meets the approval requirements for a generic version of Vascepa to the satisfaction of the FDA under its ANDA, FDA may grant tentative approval to the ANDA during a Hatch-Waxman 30-month stay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any exclusivity protections, such as a 30-month stay, have expired.</w:t>
      </w:r>
    </w:p>
    <w:p>
      <w:pPr>
        <w:spacing w:after="0" w:line="154"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As a result of the statutory stays associated with the filing of these lawsuits under the Hatch-Waxman Amendments, we believe the FDA cannot grant final approval to West-Ward, DRL, or Teva’s respective ANDAs for the 1-gram strength of Vascepa before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ind w:right="40"/>
        <w:spacing w:after="0" w:line="264" w:lineRule="auto"/>
        <w:rPr>
          <w:sz w:val="20"/>
          <w:szCs w:val="20"/>
          <w:color w:val="auto"/>
        </w:rPr>
      </w:pPr>
      <w:r>
        <w:rPr>
          <w:rFonts w:ascii="Arial" w:cs="Arial" w:eastAsia="Arial" w:hAnsi="Arial"/>
          <w:sz w:val="18"/>
          <w:szCs w:val="18"/>
          <w:color w:val="auto"/>
        </w:rPr>
        <w:t>January 26, 2020, unless there is an earlier court decision holding that the subject patents are not infringed and/or are invalid. In addition, we believe the FDA cannot grant final approval to Teva’s ANDA for the 500-mg strength Vascepa before the beginning of March 2020, unless there is an earlier court decision holding that the subject patents are not infringed and/or are invalid.</w:t>
      </w:r>
    </w:p>
    <w:p>
      <w:pPr>
        <w:spacing w:after="0" w:line="18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If final approval is granted and an ANDA filer is able to supply the product in significant commercial quantities, the generic company could introduce a generic version of Vascepa. Any such introduction of a generic version of Vascepa would also be subject to current patent infringement claims including those being litigated in the above-detailed patent litigations, and any court order we may seek and be granted to prevent any such launch based on our patent claims prior to any adverse court judgment or PTAB finding against us.</w:t>
      </w:r>
    </w:p>
    <w:p>
      <w:pPr>
        <w:spacing w:after="0" w:line="187" w:lineRule="exact"/>
        <w:rPr>
          <w:sz w:val="20"/>
          <w:szCs w:val="20"/>
          <w:color w:val="auto"/>
        </w:rPr>
      </w:pPr>
    </w:p>
    <w:p>
      <w:pPr>
        <w:ind w:right="320" w:firstLine="518"/>
        <w:spacing w:after="0" w:line="286" w:lineRule="auto"/>
        <w:rPr>
          <w:sz w:val="20"/>
          <w:szCs w:val="20"/>
          <w:color w:val="auto"/>
        </w:rPr>
      </w:pPr>
      <w:r>
        <w:rPr>
          <w:rFonts w:ascii="Arial" w:cs="Arial" w:eastAsia="Arial" w:hAnsi="Arial"/>
          <w:sz w:val="17"/>
          <w:szCs w:val="17"/>
          <w:color w:val="auto"/>
        </w:rPr>
        <w:t>Any generic market entry would limit our U.S. sales, which would have a significant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Vascepa’s five-year, NCE and related exclusivity benefits could be challenged by companies seeking to introduce generic versions of Vascepa.</w:t>
      </w:r>
    </w:p>
    <w:p>
      <w:pPr>
        <w:spacing w:after="0" w:line="14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timelines and conditions under the ANDA process that permit the start of patent litigation and allow the FDA to approve generic versions of brand name drugs like Vascepa differ based on whether a drug receives three-year, or five-year, NCE marketing exclusivity. In May 2016, after significant litigation, FDA determined that Vascepa is eligible for NCE marketing exclusivity. Accordingly, we believe a related 30-month stay is currently in place with respect to our 1-gram dose strength of Vascepa that is scheduled to continue until January 26, 2020, seven-and-a-half years from FDA approval of Vascepa, unless related patent litigation is resolved against us sooner. We believe we are entitled to a separate 30-month stay with respect to our 500-mg dose product and the related Teva paragraph IV certification that would expire at the beginning of March 2020, 30 months after the related August 29, 2017 paragraph IV notice was received by us.</w:t>
      </w:r>
    </w:p>
    <w:p>
      <w:pPr>
        <w:spacing w:after="0" w:line="189"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The FDA typically makes a determination on marketing exclusivity in connection with an NDA approval of a drug for a new indication. FDA marketing exclusivity is separate from, and in addition to, patent protection, trade secrets and manufacturing barriers to entry which could also help protect Vascepa against generic competition.</w:t>
      </w:r>
    </w:p>
    <w:p>
      <w:pPr>
        <w:spacing w:after="0" w:line="18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five-year NCE marketing exclusivity to Vascepa and granted three-year marketing exclusivity. Under applicable regulations, such three-year exclusivity would have extended through July 25, 2015 and would have been supplemented by a 30-month stay triggered by patent litigation that would have extended into September 2016, unless such patent litigation was resolved against us sooner.</w:t>
      </w:r>
    </w:p>
    <w:p>
      <w:pPr>
        <w:spacing w:after="0" w:line="1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NCE marketing exclusivity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such case, the pioneer drug company is afforded the benefit of a 30-month stay against the launch of such a competitive product that extends from the end of the five-year exclusivity period. A pioneer company could also be afforded extensions to the stay under applicable regulations, including a six-month pediatric exclusivity extension or a judicial extension if applicable requirements are met. A drug sponsor could also gain a form of marketing exclusivity under the Hatch-Waxman Amendments if such company can, under certain circumstances, complete a human clinical trial process and obtain regulatory approval of its product.</w:t>
      </w:r>
    </w:p>
    <w:p>
      <w:pPr>
        <w:spacing w:after="0" w:line="189"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contrast,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expect to receive three-year exclusivity in connection with any future regulatory approvals of Vascepa, such as an approval sought based on positive REDUCE-IT outcomes study results. 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patents at any time, subject to any prior four-year period pending from a grant of five-year exclusivity. This three-year form of exclusivity may also not prevent the FDA from approving an NDA that relies only on its own data to support the change or innovation.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ind w:right="20" w:firstLine="518"/>
        <w:spacing w:after="0" w:line="273" w:lineRule="auto"/>
        <w:rPr>
          <w:sz w:val="20"/>
          <w:szCs w:val="20"/>
          <w:color w:val="auto"/>
        </w:rPr>
      </w:pPr>
      <w:r>
        <w:rPr>
          <w:rFonts w:ascii="Arial" w:cs="Arial" w:eastAsia="Arial" w:hAnsi="Arial"/>
          <w:sz w:val="17"/>
          <w:szCs w:val="17"/>
          <w:color w:val="auto"/>
        </w:rPr>
        <w:t>On February 27, 2014, we sued the FDA in the U.S. District Court for the District of Columbia to challenge the agency’s denial of five-year NCE exclusivity for Vascepa, based on our reading of the relevant statute, our view of FDA’s inconsistency with its past actions in this area and the retroactive effect of what we believe is a new policy at FDA as it relates to our situation. On May 28, 2015, the court granted our motion for summary judgment. The decision vacated the FDA’s denial of our claim for such exclusivity and remanded to the FDA for proceedings consistent with the decision. On July 22, 2015, Watson Laboratories Inc., the purported first Vascepa ANDA filer, sought to intervene and appeal the court’s decision. We and FDA opposed this intervention effort. The applicable courts denied Watson the relief sought and appeal periods have expired.</w:t>
      </w:r>
    </w:p>
    <w:p>
      <w:pPr>
        <w:spacing w:after="0" w:line="17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On May 31, 2016, in a reversal that FDA and we view as consistent with the court’s May 28, 2015 summary judgment motion, FDA determined that Vascepa is eligible for five-year, NCE marketing exclusivity. We believe this determination provides Vascepa with the benefits of NCE exclusivity afforded by statute. NCE exclusivity for Vascepa ran from its date of FDA approval on July 26, 2012 and extended until July 26, 2017. We believe the statutory NCE-related 30-month stay triggered by the 1-gram dose patent litigation following generic application submissions permitted on July 26, 2016 is scheduled to continue until January 26, 2020, seven-and-a-half years from FDA approval, unless such patent litigation is resolved against us sooner. We also believe we are entitled to a separate 30-month stay with respect to our 500-mg dose product and the related Teva paragraph IV certification that would expire at the beginning of March 2020, 30 months after the related August 29, 2017 paragraph IV notice was received by us.</w:t>
      </w:r>
    </w:p>
    <w:p>
      <w:pPr>
        <w:spacing w:after="0" w:line="17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It is possible that FDA’s NCE determination and related 30-month stays could be challenged by interested parties. If challenged, we plan to vigorously defend exclusivity for Vascepa. Any such challenge could have a negative impact on our company and create uncertainty around the continued benefits associated with exclusivity that we believe are applicable to us under the Hatch-Waxman Amendments.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Regulatory exclusivity is in addition to exclusivity afforded by issued patents related to Vascepa.</w:t>
      </w:r>
    </w:p>
    <w:p>
      <w:pPr>
        <w:spacing w:after="0" w:line="333" w:lineRule="exact"/>
        <w:rPr>
          <w:sz w:val="20"/>
          <w:szCs w:val="20"/>
          <w:color w:val="auto"/>
        </w:rPr>
      </w:pPr>
    </w:p>
    <w:p>
      <w:pPr>
        <w:ind w:left="300" w:right="400"/>
        <w:spacing w:after="0" w:line="308" w:lineRule="auto"/>
        <w:rPr>
          <w:sz w:val="20"/>
          <w:szCs w:val="20"/>
          <w:color w:val="auto"/>
        </w:rPr>
      </w:pPr>
      <w:r>
        <w:rPr>
          <w:rFonts w:ascii="Arial" w:cs="Arial" w:eastAsia="Arial" w:hAnsi="Arial"/>
          <w:sz w:val="17"/>
          <w:szCs w:val="17"/>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38"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Our only product, Vascepa, is a prescription-only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will view the pharmaceutical grade purity and tested efficacy and safety of Vascepa as having a superior therapeutic profile to untested and largely unregulated omega-3 fatty acid dietary supplements. In addition, the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 altered products are dietary supplements and that certain of such products reduce triglyceride levels.</w:t>
      </w:r>
    </w:p>
    <w:p>
      <w:pPr>
        <w:spacing w:after="0" w:line="189" w:lineRule="exact"/>
        <w:rPr>
          <w:sz w:val="20"/>
          <w:szCs w:val="20"/>
          <w:color w:val="auto"/>
        </w:rPr>
      </w:pPr>
    </w:p>
    <w:p>
      <w:pPr>
        <w:ind w:right="380" w:firstLine="571"/>
        <w:spacing w:after="0" w:line="302" w:lineRule="auto"/>
        <w:rPr>
          <w:sz w:val="20"/>
          <w:szCs w:val="20"/>
          <w:color w:val="auto"/>
        </w:rPr>
      </w:pPr>
      <w:r>
        <w:rPr>
          <w:rFonts w:ascii="Arial" w:cs="Arial" w:eastAsia="Arial" w:hAnsi="Arial"/>
          <w:sz w:val="16"/>
          <w:szCs w:val="16"/>
          <w:color w:val="auto"/>
        </w:rPr>
        <w:t>Also, for more than a decade now, subject to certain limitations,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As a result of our First Amendment litigation and settlement, we may now make this claim to healthcare professionals subject to certain qualifications.</w:t>
      </w:r>
    </w:p>
    <w:p>
      <w:pPr>
        <w:spacing w:after="0" w:line="154" w:lineRule="exact"/>
        <w:rPr>
          <w:sz w:val="20"/>
          <w:szCs w:val="20"/>
          <w:color w:val="auto"/>
        </w:rPr>
      </w:pPr>
    </w:p>
    <w:p>
      <w:pPr>
        <w:ind w:right="40" w:firstLine="571"/>
        <w:spacing w:after="0" w:line="271" w:lineRule="auto"/>
        <w:rPr>
          <w:sz w:val="20"/>
          <w:szCs w:val="20"/>
          <w:color w:val="auto"/>
        </w:rPr>
      </w:pPr>
      <w:r>
        <w:rPr>
          <w:rFonts w:ascii="Arial" w:cs="Arial" w:eastAsia="Arial" w:hAnsi="Arial"/>
          <w:sz w:val="17"/>
          <w:szCs w:val="17"/>
          <w:color w:val="auto"/>
        </w:rPr>
        <w:t>These factors enable dietary supplements to effectively compete with Vascepa. Although we have taken steps to address these competitive issues, such as the litigation filed with the US International Trade Commission, and plan to continue to do so vigorously, we may not be successful in such efforts. 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commercial alternatives instead of writing or filling prescriptions for Vascepa or patients may elect on their own to take commercially available omega-3 fatty acids. While Vascepa is highly price-competitive for patients generally, and in particular when covered by insurance—cheaper in many cases—either of these outcomes may adversely impact our results of operations by limiting how we price our product and limiting the revenue we receive from the sale of Vascepa due to reduced market acceptance.</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successful in our Vascepa co-promotion effort with Kowa Pharmaceuticals America, Inc.</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March 2014, we entered into a co-promotion agreement with Kowa Pharmaceuticals America, Inc. to co-promote Vascepa in the United States under which Kowa Pharmaceuticals America, Inc. co-promotes Vascepa in conjunction with its promotion of its primary product, a branded statin for patients with high cholesterol. Co-promotion under the agreement commenced in May 2014 based on a plan designed to substantially increase both the number of sales targets reached and the frequency of sales calls on existing sales targets. While our agreement provides for minimum performance criteria, we have little control over Kowa Pharmaceuticals America, Inc., and it may fail to devote the necessary resources and attention to promote Vascepa effectively. If that were to occur for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8" w:name="page59"/>
    <w:bookmarkEnd w:id="58"/>
    <w:p>
      <w:pPr>
        <w:ind w:right="60"/>
        <w:spacing w:after="0" w:line="255" w:lineRule="auto"/>
        <w:rPr>
          <w:sz w:val="20"/>
          <w:szCs w:val="20"/>
          <w:color w:val="auto"/>
        </w:rPr>
      </w:pPr>
      <w:r>
        <w:rPr>
          <w:rFonts w:ascii="Arial" w:cs="Arial" w:eastAsia="Arial" w:hAnsi="Arial"/>
          <w:sz w:val="18"/>
          <w:szCs w:val="18"/>
          <w:color w:val="auto"/>
        </w:rPr>
        <w:t>an extended period of time, depending on Vascepa revenues, we may have to increase our planned expenditures and undertake additional development or commercialization activities at our own expense. Or, we may seek to terminate the agreement and search for another commercialization partner.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commercial value to us of current and sought marketing rights may be smaller than we anticipate.</w:t>
      </w:r>
    </w:p>
    <w:p>
      <w:pPr>
        <w:spacing w:after="0" w:line="117"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There can be no assurance as to the adequacy for commercial success of the scope and breadth of the marketing rights we currently have or, if approved, an indication based on a successful outcome of the REDUCE-IT study.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the number of actual patients with conditions within the scope of our marketing efforts may be smaller than we anticipate. If any such marketing right or approved indication is narrower than we anticipate, the market potential for our product would suffer.</w:t>
      </w:r>
    </w:p>
    <w:p>
      <w:pPr>
        <w:spacing w:after="0" w:line="301" w:lineRule="exact"/>
        <w:rPr>
          <w:sz w:val="20"/>
          <w:szCs w:val="20"/>
          <w:color w:val="auto"/>
        </w:rPr>
      </w:pPr>
    </w:p>
    <w:p>
      <w:pPr>
        <w:ind w:left="260" w:right="40"/>
        <w:spacing w:after="0" w:line="277" w:lineRule="auto"/>
        <w:rPr>
          <w:sz w:val="20"/>
          <w:szCs w:val="20"/>
          <w:color w:val="auto"/>
        </w:rPr>
      </w:pPr>
      <w:r>
        <w:rPr>
          <w:rFonts w:ascii="Arial" w:cs="Arial" w:eastAsia="Arial" w:hAnsi="Arial"/>
          <w:sz w:val="18"/>
          <w:szCs w:val="18"/>
          <w:b w:val="1"/>
          <w:bCs w:val="1"/>
          <w:i w:val="1"/>
          <w:iCs w:val="1"/>
          <w:color w:val="auto"/>
        </w:rPr>
        <w:t>Our special protocol assessment, or SPA, agreement for ANCHOR was rescinded and our SPA agreement for REDUCE-IT is not a guarantee of FDA approval of Vascepa for the proposed REDUCE-IT indication.</w:t>
      </w:r>
    </w:p>
    <w:p>
      <w:pPr>
        <w:spacing w:after="0" w:line="62"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A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ANCHOR trial was, and the REDUCE-IT trial is, being conducted under a SPA agreement with the FDA. In each case, the FDA agreed that, based on the information we submitted to the agency, the design and planned analysis of the trial is adequate to support use of the conducted study as the primary basis for approval with respect to effectiveness. A SPA agreement is not a guarantee of approval.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 The FDA reserves the right of final determinations for approval based on its review of the entire data presented in a marketing application.</w:t>
      </w:r>
    </w:p>
    <w:p>
      <w:pPr>
        <w:spacing w:after="0" w:line="179"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In October 2013, the FDA notified us that it rescinded the ANCHOR study SPA agreement because the FDA determined that a substantial scientific issue essential to determining the effectiveness of Vascepa in the studied population was identified after testing began. In April 2015, we received a CRL from the FDA stating that the FDA determined not to approve label expansion reflecting the ANCHOR clinical trial efficacy data at this time.</w:t>
      </w:r>
    </w:p>
    <w:p>
      <w:pPr>
        <w:spacing w:after="0" w:line="147"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Thus, even though we have received regulatory approval of Vascepa for the MARINE indication under a SPA agreement, our ANCHOR SPA agreement was rescinded. There is no assurance that the FDA will not rescind our REDUCE-IT SPA agreement.</w:t>
      </w:r>
    </w:p>
    <w:p>
      <w:pPr>
        <w:spacing w:after="0" w:line="170"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In August 2016, we announced an amendment to our REDUCE-IT SPA agreement with FDA that reaffirmed FDA concurrence on key elements of the study, defined details of the statistical analysis plan for the study, expanded to greater than 30 the pre-specified secondary and tertiary endpoints in the study, and added a second interim efficacy and safety analysis by the independent data monitoring committee (DMC) at approximately 80% of the target aggregate number of primary cardiovascular events. In this amended REDUCE-IT SPA agreement, FDA agreed that, based on the information submitted to the agency, the critical elements of the revised REDUCE-IT protocol and analysis plans adequately address the objectives necessary to support a regulatory submission. However, secondary and/or tertiary endpoints, their ordering in the statistical hierarchy, their clinical significance, or whether any would yield results appropriate for labeling are considered review issues and are not intended to be a binding component of the REDUCE-IT SPA agreement. Further, matters such as endpoint adjudication procedures (including potential endpoint ascertainment, adjudication process, and detailed definitions) were specified by FDA as issues to be reviewed by the agency as part of a drug approval application. Consistent with the May 2016 FDA SPA draft guidance, FDA stated that the SPA agreement does not necessarily indicate the agency’s agreement with every detail of a protocol; instead, such an agreement indicates FDA’s concurrence with the elements critical to ensuring that the trial conducted under the protocol would have the potential to form the primary basis of an efficacy claim in a marketing application.</w:t>
      </w:r>
    </w:p>
    <w:p>
      <w:pPr>
        <w:spacing w:after="0" w:line="180"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The inability to obtain marketing approval in the ANCHOR or REDUCE-IT indications has prevented, and would continue to prevent, us from growing revenue more significantly, and it has had, and could continue to have, a material adverse effect on our operations and financial condition, including our ability to reach profitability.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9" w:name="page60"/>
    <w:bookmarkEnd w:id="59"/>
    <w:p>
      <w:pPr>
        <w:jc w:val="both"/>
        <w:ind w:left="260"/>
        <w:spacing w:after="0" w:line="264" w:lineRule="auto"/>
        <w:rPr>
          <w:sz w:val="20"/>
          <w:szCs w:val="20"/>
          <w:color w:val="auto"/>
        </w:rPr>
      </w:pPr>
      <w:r>
        <w:rPr>
          <w:rFonts w:ascii="Arial" w:cs="Arial" w:eastAsia="Arial" w:hAnsi="Arial"/>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 in which case our sales of Vascepa may then suffer.</w:t>
      </w:r>
    </w:p>
    <w:p>
      <w:pPr>
        <w:spacing w:after="0" w:line="73"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In accordance with the SPA agreements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which commenced in 2011 and completed patient enrollment and randomization of 8,175 individual patients in 2016, is designed to evaluate the efficacy of Vascepa in reducing major cardiovascular events in an at-risk patient population with high triglyceride levels despite being on statin therapy.</w:t>
      </w:r>
    </w:p>
    <w:p>
      <w:pPr>
        <w:spacing w:after="0" w:line="188"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Outcomes studies of certain other lipid-modifying therapies have failed to achieve the endpoints of such studies, even though they reduced triglyceride levels and showed other favorable effects on parameters relevant to cardiovascular health in studied patients, such as inflammation. For example, in 2010, the results of the ACCORD-Lipid trial were published. This trial studied the effect of adding fenofibrate onto open-label simvastatin therapy on cardiovascular outcomes. The addition of fenofibrate did not show any treatment benefit on cardiovascular outcomes over simvastatin monotherapy in this study. In 2011, the results of the AIM-HIGH trial were published. This trial studied the effect of adding a second lipid-altering agent, extended-release niacin, to simvastatin therapy on cardiovascular outcomes in people at high risk for cardiovascular events. Niacin, for example, has also been shown to have favorable effects on inflammation parameters. No significant incremental treatment benefit with extended-release niacin was observed.</w:t>
      </w:r>
    </w:p>
    <w:p>
      <w:pPr>
        <w:spacing w:after="0" w:line="16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Outcomes studies of certain other lipid-modifying therapies included results which, after review of information not fully available to the sponsors during the conduct of the trials, modified initial reports of the trial results. Two examples are the AIM-HIGH trial and the IMPROVE-IT trial. When the AIM-HIGH trial was stopped, there were initial reports of certain safety concerns which, upon further and more detailed subsequent review, were concluded to not be associated with the study therapy. After the IMPROVE-IT trial was completed, initial reports on the effect of adding ezetimibe to statin therapy in subjects with acute coronary syndrome suggested greater benefit on cardiovascular outcomes than was considered to be the case after later reassessment and further evaluation of study data. In 2015, the results of the IMPROVE-IT trial were published. Based on the published results, the addition of ezetimibe showed incremental lowering of LDL-C levels and improved cardiovascular outcomes. This result was statistically significant but less than ten percent. Further evaluation of the IMPROVE-IT results suggested that the outcomes benefit may have been lower after factoring in and making certain assumptions regarding complicating factors such as a high number of patients who discontinued the study drug, withdrew consent, or were lost to follow-up. FDA approval of a new indication for ezetimibe based on the IMPROVE-IT results was denied after a negative FDA advisory committee recommendation that followed examination of the study results.</w:t>
      </w:r>
    </w:p>
    <w:p>
      <w:pPr>
        <w:spacing w:after="0" w:line="18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 xml:space="preserve">In addition, in September 2012, researchers published in the </w:t>
      </w:r>
      <w:r>
        <w:rPr>
          <w:rFonts w:ascii="Arial" w:cs="Arial" w:eastAsia="Arial" w:hAnsi="Arial"/>
          <w:sz w:val="18"/>
          <w:szCs w:val="18"/>
          <w:i w:val="1"/>
          <w:iCs w:val="1"/>
          <w:color w:val="auto"/>
        </w:rPr>
        <w:t>Journal of the American Medical Association</w:t>
      </w:r>
      <w:r>
        <w:rPr>
          <w:rFonts w:ascii="Arial" w:cs="Arial" w:eastAsia="Arial" w:hAnsi="Arial"/>
          <w:sz w:val="18"/>
          <w:szCs w:val="18"/>
          <w:color w:val="auto"/>
        </w:rPr>
        <w:t xml:space="preserve">, or </w:t>
      </w:r>
      <w:r>
        <w:rPr>
          <w:rFonts w:ascii="Arial" w:cs="Arial" w:eastAsia="Arial" w:hAnsi="Arial"/>
          <w:sz w:val="18"/>
          <w:szCs w:val="18"/>
          <w:i w:val="1"/>
          <w:iCs w:val="1"/>
          <w:color w:val="auto"/>
        </w:rPr>
        <w:t>JAMA</w:t>
      </w:r>
      <w:r>
        <w:rPr>
          <w:rFonts w:ascii="Arial" w:cs="Arial" w:eastAsia="Arial" w:hAnsi="Arial"/>
          <w:sz w:val="18"/>
          <w:szCs w:val="18"/>
          <w:color w:val="auto"/>
        </w:rPr>
        <w:t>, the results of a retrospective meta-analysis of twenty previously conducted studies regarding the use of omega-3 supplements across various patient populations. This meta-analysis suggested that the use of such supplements was not associated with a lower risk of all-cause death, cardiac death, sudden death, heart attack, or stroke. These facts illustrate categories of challenges faced in demonstrating favorable results in complex clinical studies like REDUCE-IT and in seeking to apply those results in support of regulatory approvals.</w:t>
      </w:r>
    </w:p>
    <w:p>
      <w:pPr>
        <w:spacing w:after="0" w:line="18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 xml:space="preserve">Data from clinical trials are invariably complex. It is also not typically possible to reliably extrapolate results from one trial to predict results from another as many factors differ between trials. For instance, unlike REDUCE-IT, the outcomes studies for fenofibrates and niacin were conducted in patient populations in which the majority of patients studied had triglycerides below 200 mg/dL and fenofibrates and niacin are believed to work differently than Vascepa in the body and do not have as favorable a side-effect profile. Of the twenty studies included in the </w:t>
      </w:r>
      <w:r>
        <w:rPr>
          <w:rFonts w:ascii="Arial" w:cs="Arial" w:eastAsia="Arial" w:hAnsi="Arial"/>
          <w:sz w:val="17"/>
          <w:szCs w:val="17"/>
          <w:i w:val="1"/>
          <w:iCs w:val="1"/>
          <w:color w:val="auto"/>
        </w:rPr>
        <w:t>JAMA</w:t>
      </w:r>
      <w:r>
        <w:rPr>
          <w:rFonts w:ascii="Arial" w:cs="Arial" w:eastAsia="Arial" w:hAnsi="Arial"/>
          <w:sz w:val="17"/>
          <w:szCs w:val="17"/>
          <w:color w:val="auto"/>
        </w:rPr>
        <w:t xml:space="preserve"> meta-analysis, nineteen involved the use of omega-3 supplements containing a mixture of EPA and DHA, and most were evaluated at relatively lower doses. In addition, in May 2013, </w:t>
      </w:r>
      <w:r>
        <w:rPr>
          <w:rFonts w:ascii="Arial" w:cs="Arial" w:eastAsia="Arial" w:hAnsi="Arial"/>
          <w:sz w:val="17"/>
          <w:szCs w:val="17"/>
          <w:i w:val="1"/>
          <w:iCs w:val="1"/>
          <w:color w:val="auto"/>
        </w:rPr>
        <w:t>The New England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Journal of Medicine </w:t>
      </w:r>
      <w:r>
        <w:rPr>
          <w:rFonts w:ascii="Arial" w:cs="Arial" w:eastAsia="Arial" w:hAnsi="Arial"/>
          <w:sz w:val="17"/>
          <w:szCs w:val="17"/>
          <w:color w:val="auto"/>
        </w:rPr>
        <w:t>published the results of an outcomes study of 1 gram per day of an omega-3 acid ethyl ester composition containing both EPA and DHA.</w:t>
      </w:r>
      <w:r>
        <w:rPr>
          <w:rFonts w:ascii="Arial" w:cs="Arial" w:eastAsia="Arial" w:hAnsi="Arial"/>
          <w:sz w:val="17"/>
          <w:szCs w:val="17"/>
          <w:i w:val="1"/>
          <w:iCs w:val="1"/>
          <w:color w:val="auto"/>
        </w:rPr>
        <w:t xml:space="preserve"> </w:t>
      </w:r>
      <w:r>
        <w:rPr>
          <w:rFonts w:ascii="Arial" w:cs="Arial" w:eastAsia="Arial" w:hAnsi="Arial"/>
          <w:sz w:val="17"/>
          <w:szCs w:val="17"/>
          <w:color w:val="auto"/>
        </w:rPr>
        <w:t>In that study, the composition failed to show a benefit in reducing the rate of death from cardiovascular causes or hospitalization for cardiovascular causes when administered to patients with cardiovascular risk factors under different study conditions than in the REDUCE-IT study. Vascepa is comprised of highly-pure ethyl-EPA, and has been approved by the FDA for use in adult patients with severe hypertriglyceridemia at a dose of 4 grams per day and is being studied in REDUCE-IT at 4 grams per day.</w:t>
      </w:r>
    </w:p>
    <w:p>
      <w:pPr>
        <w:spacing w:after="0" w:line="178"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The only other outcomes study involving the use of a highly-pure formulation of ethyl-EPA, called the Japan EPA Lipid Intervention Study (JELIS), suggested that use of a highly-pure formulation of ethyl-EPA in Japan, when used in conjunction with statins, reduced cardiovascular events by 19% compared to the use of statins alone. However, there are several limitations to comparing the JELIS study to REDUCE-IT. First, the patient population was exclusively Japanese, the majority of the participants were women, and at baseline patients had much higher LDL-C levels, limiting its generalizability to the intended target population. Also, a low dose of statins was used. It is unknown whether the positive treatment effects would have persisted if these patients had been optimally treated with statins using contemporary LDL-C targets in the United States. In addition, JELIS was an open-label trial, which could influence patient and physician behavior and reporting of symptoms, decisions regarding hospitalization, and referral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0" w:name="page61"/>
    <w:bookmarkEnd w:id="60"/>
    <w:p>
      <w:pPr>
        <w:spacing w:after="0" w:line="277" w:lineRule="auto"/>
        <w:rPr>
          <w:sz w:val="20"/>
          <w:szCs w:val="20"/>
          <w:color w:val="auto"/>
        </w:rPr>
      </w:pPr>
      <w:r>
        <w:rPr>
          <w:rFonts w:ascii="Arial" w:cs="Arial" w:eastAsia="Arial" w:hAnsi="Arial"/>
          <w:sz w:val="18"/>
          <w:szCs w:val="18"/>
          <w:color w:val="auto"/>
        </w:rPr>
        <w:t>events for adjudication. This may be particularly relevant since hospitalization for unstable angina was a primary contributor of the overall positive result, and is considered a softer endpoint than fatal cardiovascular events.</w:t>
      </w:r>
    </w:p>
    <w:p>
      <w:pPr>
        <w:spacing w:after="0" w:line="170" w:lineRule="exact"/>
        <w:rPr>
          <w:sz w:val="20"/>
          <w:szCs w:val="20"/>
          <w:color w:val="auto"/>
        </w:rPr>
      </w:pPr>
    </w:p>
    <w:p>
      <w:pPr>
        <w:ind w:right="140" w:firstLine="518"/>
        <w:spacing w:after="0" w:line="287" w:lineRule="auto"/>
        <w:rPr>
          <w:sz w:val="20"/>
          <w:szCs w:val="20"/>
          <w:color w:val="auto"/>
        </w:rPr>
      </w:pPr>
      <w:r>
        <w:rPr>
          <w:rFonts w:ascii="Arial" w:cs="Arial" w:eastAsia="Arial" w:hAnsi="Arial"/>
          <w:sz w:val="16"/>
          <w:szCs w:val="16"/>
          <w:color w:val="auto"/>
        </w:rPr>
        <w:t>Further, FDA determined that JELIS results could not be used as support for or against the use of triglyceride levels as a surrogate for cardiovascular risk reduction. Patients treated with EPA and statin in JELIS achieved triglyceride levels that were only 5% lower, on average, than those achieved among patients treated with statin alone; however, the reduction in cardiovascular risk in the primary endpoint analysis was 19%. Likewise, within the primary and secondary prevention sub-analyses, triglyceride levels were lowered only 5% on average in the EPA plus statin group compared with the statin alone group; however, the relative risk reduction was 53% in the primary prevention population with elevated triglyceride (≥150 mg/dL) and low HDL-C (</w:t>
      </w:r>
      <w:r>
        <w:rPr>
          <w:rFonts w:ascii="Arial" w:cs="Arial" w:eastAsia="Arial" w:hAnsi="Arial"/>
          <w:sz w:val="16"/>
          <w:szCs w:val="16"/>
          <w:u w:val="single" w:color="auto"/>
          <w:color w:val="auto"/>
        </w:rPr>
        <w:t>&lt;</w:t>
      </w:r>
      <w:r>
        <w:rPr>
          <w:rFonts w:ascii="Arial" w:cs="Arial" w:eastAsia="Arial" w:hAnsi="Arial"/>
          <w:sz w:val="16"/>
          <w:szCs w:val="16"/>
          <w:color w:val="auto"/>
        </w:rPr>
        <w:t>40 mg/dL) levels and 23% in the secondary prevention population with established coronary artery disease. These large differences in magnitude between triglyceride reduction and risk reduction in JELIS suggest that the effects of EPA on triglyceride levels alone may not be responsible for, or predict, the observed differences in cardiovascular events between treatment groups in JELIS. JELIS was not designed to evaluate primary and secondary prevention populations. It is possible that the putative cardioprotective effects of EPA observed in JELIS are due not to a single mode of action, such as triglyceride lowering, but rather to multiple mechanisms working together, such as purported beneficial effects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169"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In addition, the independent data monitoring committee for REDUCE-IT, or the DMC, has multiple times per year assessed safety data generated in the ongoing study and has thus far recommended to continue the study as planned. Thus, multiple safety reviews to date have not warranted study stoppage. Nevertheless, the study may be stopped at any time based on recommendations of the DMC due to safety concerns identified by the DMC during its ongoing and regularly scheduled safety data assessments.</w:t>
      </w:r>
    </w:p>
    <w:p>
      <w:pPr>
        <w:spacing w:after="0" w:line="18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There can be no assurance that the REDUCE-IT study will be completed successfully, that the endpoints of the REDUCE-IT cardiovascular outcomes study will be achieved, that, like the IMPROVE-IT trial, patients who discontinue the study drug, withdrew consent, or were lost to follow-up will not negatively affect REDUCE-IT results, that the results will support regulatory approvals, or that the lipid-modifying effects of Vascepa in REDUCE-IT or any other study of Vascepa will not be subject to variation beyond twelve weeks. If the REDUCE-IT trial is not successful or if the results of this long-term study are not consistent with the 12-week clinical results, it could prevent us from expanding the labeled approval of Vascepa or even call into question the currently understood efficacy and safety profile of Vascepa. In any such case, the market potential for Vascepa would suffer and our business would be materially affected.</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commercialization of Vascepa outside the United States is substantially dependent on third parties.</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We have expanded our Vascepa commercialization activities outside of the United States through several contractual arrangements in territories including China, the Middle East, North Africa and Canada. We continue to assess other opportunities to develop Vascepa commercialization outside of the United States through similar arrangements.</w:t>
      </w:r>
    </w:p>
    <w:p>
      <w:pPr>
        <w:spacing w:after="0" w:line="18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February 2015, we entered into a Development, Commercialization and Supply Agreement, or the DCS Agreement, with Eddingpharm (Asia) Macao Commercial Offshore Limited, or Eddingpharm, related to the development and commercialization of Vascepa in Mainland China, Hong Kong, Macau and Taiwan, or the China Territory. Under the DCS Agreement, Eddingpharm is responsible for development and commercialization activities in the China Territory and associated expenses. Additionally, Eddingpharm is required to conduct clinical trials in the China Territory to secure regulatory approval. Significant commercialization of Vascepa in the China Territory is several years away, if at all. If Eddingpharm is not able to effectively develop and commercialize Vascepa in the China Territory, we may not be able to generate revenue from the DCS Agreement resulting from the sale of Vascepa in the China Territory.</w:t>
      </w:r>
    </w:p>
    <w:p>
      <w:pPr>
        <w:spacing w:after="0" w:line="189"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Commercialization across the Middle East and North Africa is several years away, if at all, in the most commercially significant territories and subject to similar risks as in the China Territory.</w:t>
      </w:r>
    </w:p>
    <w:p>
      <w:pPr>
        <w:spacing w:after="0" w:line="18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September 2017, we entered into an agreement with HLS Therapeutics Inc., or HLS, to register, commercialize and distribute Vascepa in Canada. Under the agreement, HLS is responsible for regulatory and commercialization activities and associated costs. Amarin is responsible for providing assistance towards local filings, supplying finished product under negotiated supply terms, maintaining intellectual property, and continuing the development and funding of REDUCE-IT.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1" w:name="page62"/>
    <w:bookmarkEnd w:id="61"/>
    <w:p>
      <w:pPr>
        <w:ind w:right="80" w:firstLine="518"/>
        <w:spacing w:after="0" w:line="297" w:lineRule="auto"/>
        <w:rPr>
          <w:sz w:val="20"/>
          <w:szCs w:val="20"/>
          <w:color w:val="auto"/>
        </w:rPr>
      </w:pPr>
      <w:r>
        <w:rPr>
          <w:rFonts w:ascii="Arial" w:cs="Arial" w:eastAsia="Arial" w:hAnsi="Arial"/>
          <w:sz w:val="16"/>
          <w:szCs w:val="16"/>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commercial value to us of sales of Vascepa outside the United States may be smaller than we anticipate.</w:t>
      </w:r>
    </w:p>
    <w:p>
      <w:pPr>
        <w:spacing w:after="0" w:line="117"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There can be no assurance as to the adequacy for commercial success of Vascepa outside the United States. For example, even if we and Eddingpharm obtain marketing approval in countries within the China Territory, applicable regulatory agencies may impose restrictions on the product’s conditions for use, distribution or marketing and in some cases may impose ongoing requirements for post-market surveillance, post-approval studies or clinical trials. Also, there is a degree of unpredictability with regard to the eventual pricing and reimbursement levels of medications in markets outside the United States. If the pricing and reimbursement levels of Vascepa are lower than we anticipate, then affordability of, and market access to, Vascepa may be adversely affected and thus market potential in these territories would suffer. Furthermore, with regard to any indications for which we may gain approval in territories outside the United States, the number of actual patients with the condition included in such approved indication may be smaller than we anticipate. If any such approved indication is narrower than we anticipate, the market potential in these countries for our product would suffer.</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products and marketing efforts are subject to extensive post-approval government regulation.</w:t>
      </w:r>
    </w:p>
    <w:p>
      <w:pPr>
        <w:spacing w:after="0" w:line="11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71"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With respect to sales and marketing activities including direct-to-healthcare provider and direct-to-consumer advertising and promotional activities involving the internet, advertising and promotional materials must comply with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pharmaceutical current good manufacturing practice requirements, or cGMPs. Application holders must obtain FDA approval for product and manufacturing changes, depending on the nature of the change.</w:t>
      </w:r>
    </w:p>
    <w:p>
      <w:pPr>
        <w:spacing w:after="0" w:line="16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also are subject to the new federal transparency requirements under the Patient Protection and Affordable Care Act, as amended by the Health Care and Education Reconciliation Act, or collectively the PPACA, enacted in March 2010,which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We must also comply with requirements to collect and report adverse events and product complaints associated with our products. For example, in September 2014, we participated in a routine inspection from the FDA in which the FDA made observations on perceived deficiencies related to our processes for collection and processing of adverse events. We have responded to FDA with respect to these observations and continue to work with FDA to show that we have improved related systems and, given we received communication from the FDA that it considers this matter to be closed, we believe that we have demonstrated to FDA that we have adequately responded to these observations.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ind w:right="60" w:firstLine="518"/>
        <w:spacing w:after="0" w:line="270" w:lineRule="auto"/>
        <w:rPr>
          <w:sz w:val="20"/>
          <w:szCs w:val="20"/>
          <w:color w:val="auto"/>
        </w:rPr>
      </w:pPr>
      <w:r>
        <w:rPr>
          <w:rFonts w:ascii="Arial" w:cs="Arial" w:eastAsia="Arial" w:hAnsi="Arial"/>
          <w:sz w:val="17"/>
          <w:szCs w:val="17"/>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Kowa Pharmaceuticals America, Inc. In addition, even if we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 In addition, all of the above factors may also apply to any regulatory approval for Vascepa obtained in territories outside the United States. Given our inexperience with marketing and commercializing products outside the United States, we will need to rely on third parties, such as Eddingpharm in China, to assist us in dealing with any such issues.</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Legislative or regulatory reform of the healthcare system in the United States and foreign jurisdictions may affect our ability to profitably sell Vascepa.</w:t>
      </w:r>
    </w:p>
    <w:p>
      <w:pPr>
        <w:spacing w:after="0" w:line="15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88"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Specifically, in both the United States and some foreign jurisdictions, there have been a number of legislative and regulatory proposals to change the healthcare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63"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 and</w:t>
      </w:r>
    </w:p>
    <w:p>
      <w:pPr>
        <w:spacing w:after="0" w:line="117" w:lineRule="exact"/>
        <w:rPr>
          <w:rFonts w:ascii="Arial" w:cs="Arial" w:eastAsia="Arial" w:hAnsi="Arial"/>
          <w:sz w:val="18"/>
          <w:szCs w:val="18"/>
          <w:color w:val="auto"/>
        </w:rPr>
      </w:pPr>
    </w:p>
    <w:p>
      <w:pPr>
        <w:ind w:left="1040" w:right="7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new laws affecting Vascepa sales, such as state and federal efforts to affect drug pricing and provide healthcare coverage that includes reimbursement for prescription drugs.</w:t>
      </w:r>
    </w:p>
    <w:p>
      <w:pPr>
        <w:spacing w:after="0" w:line="170"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expect further federal and state proposals and healthcare reforms to continue to be proposed by legislators, which could limit the prices that can be charged for the products we develop and may limit our commercial opportunity. It appears likely that the Affordable Care Act will continue the pressure on pharmaceutical pricing, especially under the Medicare and Medicaid programs, and may also increase our regulatory burdens and operating costs. Legislative changes to the Affordable Care Act remain possible under the Trump Administration.</w:t>
      </w:r>
    </w:p>
    <w:p>
      <w:pPr>
        <w:spacing w:after="0" w:line="18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 continuing efforts of government and other third-party payors to further contain or reduce the costs of healthcare through various means may limit our commercial opportunity. For example, the State of California recently enacted legislation that requires notice for exceeding specified limits on annual drug price increases and other legislation that seeks to limit the use of co-pay cards in certain situations. These and other measures in California and as developed in other states, to the extent applicable to us, could negatively affect our revenue and results from operations.</w:t>
      </w:r>
    </w:p>
    <w:p>
      <w:pPr>
        <w:spacing w:after="0" w:line="17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65" w:lineRule="exact"/>
        <w:rPr>
          <w:sz w:val="20"/>
          <w:szCs w:val="20"/>
          <w:color w:val="auto"/>
        </w:rPr>
      </w:pPr>
    </w:p>
    <w:p>
      <w:pPr>
        <w:ind w:right="680" w:firstLine="518"/>
        <w:spacing w:after="0" w:line="277" w:lineRule="auto"/>
        <w:rPr>
          <w:sz w:val="20"/>
          <w:szCs w:val="20"/>
          <w:color w:val="auto"/>
        </w:rPr>
      </w:pPr>
      <w:r>
        <w:rPr>
          <w:rFonts w:ascii="Arial" w:cs="Arial" w:eastAsia="Arial" w:hAnsi="Arial"/>
          <w:sz w:val="18"/>
          <w:szCs w:val="18"/>
          <w:color w:val="auto"/>
        </w:rPr>
        <w:t>In some foreign countries, including major markets in the European Union and Japan, the pricing of prescription pharmaceuticals is subject to governmental control. In these countries, pricing negotiations with governmental authorities can take 6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spacing w:after="0" w:line="259" w:lineRule="auto"/>
        <w:rPr>
          <w:sz w:val="20"/>
          <w:szCs w:val="20"/>
          <w:color w:val="auto"/>
        </w:rPr>
      </w:pPr>
      <w:r>
        <w:rPr>
          <w:rFonts w:ascii="Arial" w:cs="Arial" w:eastAsia="Arial" w:hAnsi="Arial"/>
          <w:sz w:val="18"/>
          <w:szCs w:val="18"/>
          <w:color w:val="auto"/>
        </w:rPr>
        <w:t>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295" w:lineRule="exact"/>
        <w:rPr>
          <w:sz w:val="20"/>
          <w:szCs w:val="20"/>
          <w:color w:val="auto"/>
        </w:rPr>
      </w:pPr>
    </w:p>
    <w:p>
      <w:pPr>
        <w:jc w:val="both"/>
        <w:ind w:left="260" w:right="140"/>
        <w:spacing w:after="0" w:line="340" w:lineRule="auto"/>
        <w:rPr>
          <w:sz w:val="20"/>
          <w:szCs w:val="20"/>
          <w:color w:val="auto"/>
        </w:rPr>
      </w:pPr>
      <w:r>
        <w:rPr>
          <w:rFonts w:ascii="Arial" w:cs="Arial" w:eastAsia="Arial" w:hAnsi="Arial"/>
          <w:sz w:val="15"/>
          <w:szCs w:val="15"/>
          <w:b w:val="1"/>
          <w:bCs w:val="1"/>
          <w:i w:val="1"/>
          <w:iCs w:val="1"/>
          <w:color w:val="auto"/>
        </w:rPr>
        <w:t>The FDA and other regulatory agencies strictly regulate the promotional claims that may be made about prescription products. If we or our partners are found to have improperly promoted uses of Vascepa, we may become subject to significant fines and other liability. The government may seek to find means to prevent our promotion of truthful and non-misleading information beyond the current court ruling and litigation settlement.</w:t>
      </w:r>
    </w:p>
    <w:p>
      <w:pPr>
        <w:spacing w:after="0" w:line="23"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in general, the U.S. government’s position has been that a product may not be promoted for uses that are not approved by the FDA as reflected in the product’s approved labeling. Even though we received FDA marketing approval for Vascepa for the MARINE indication and we believe the First Amendment court ruling and litigation settlement affords us a degree of protection for other promotional efforts, physicians may still prescribe Vascepa to their patients for use in the treatment of conditions that are not included as part of the indication statement in our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False Claims Act, or other theories of liability. Government may also seek to hold us responsible for the non-compliance of our co-promotion partner, Kowa Pharmaceuticals America, Inc., or our commercialization partners outside the United States.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73"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7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Even though we have a final settlement in our litigation related to promotion beyond FDA-approved labeling, our promotion would still be subject to a high, perhaps abnormally high, degree of scrutiny to ensure that our promotion remains within the permitted scope. Likewise, federal or state government may seek to find other means to prevent our promotion of truthful and non-misleading information.</w:t>
      </w:r>
    </w:p>
    <w:p>
      <w:pPr>
        <w:spacing w:after="0" w:line="289" w:lineRule="exact"/>
        <w:rPr>
          <w:sz w:val="20"/>
          <w:szCs w:val="20"/>
          <w:color w:val="auto"/>
        </w:rPr>
      </w:pPr>
    </w:p>
    <w:p>
      <w:pPr>
        <w:ind w:left="260" w:right="180"/>
        <w:spacing w:after="0" w:line="277"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62"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but not limited to:</w:t>
      </w:r>
    </w:p>
    <w:p>
      <w:pPr>
        <w:spacing w:after="0" w:line="84"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regulatory requirements for clinical trials or preclinical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trials or preclinical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delay, suspension, or termination of a trial by the institutional review board responsible for overseeing the study at a particular study site;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4" w:name="page65"/>
    <w:bookmarkEnd w:id="64"/>
    <w:p>
      <w:pPr>
        <w:ind w:left="1040" w:right="52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political instability affecting our clinical trial sites, such as the potential for political unrest affecting our REDUCE-IT clinical trial sites in the Ukraine and Russia.</w:t>
      </w:r>
    </w:p>
    <w:p>
      <w:pPr>
        <w:spacing w:after="0" w:line="170"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Even if we obtain positive results from early stage preclinical studies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 Questions can also arise on the quality of study data or its reliability. For example, during the public advisory committee meeting held by FDA as part of its review of our ANCHOR sNDA, a discussion regarding observed, nominally statistically significant changes from baseline in an adverse direction, while on background statin therapy, in certain lipid parameters, including triglycerides, in the placebo group, raised questions about the possibility that the mineral oil placebo used in the ANCHOR trial (and in the REDUCE-IT trial) might not be biologically inert and might be viewed as artificially exaggerating the clinical effect of Vascepa when measured against placebo in the ANCHOR trial. Ultimately, no strong evidence for biological activity of mineral oil was identified by the FDA before its approval of Vascepa after review of the MARINE and ANCHOR trials and consideration of other data regarding mineral oil. It was ultimately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FDA approved Vascepa for use in the MARINE indication in July 2012, FDA did not dispute the veracity of the ANCHOR trial data and, in connection with the March 2016 agreement we reached with the FDA allowing us to promote the results of the ANCHOR study, the FDA did not require that we include any qualification related to this earlier question regarding the mineral oil placebo. The FDA, early on in the course of the REDUCE-IT trial, directed the DMC for REDUCE-IT to periodically review unblinded lipid data to monitor for signals that the placebo might not be inert. After each such quarterly unblinded safety analysis and review meeting to date, the DMC has recommended to continue the REDUCE-IT study as planned. Each of these ongoing DMC recommendations has been shared with FDA. Amarin and FDA remain blinded to such study data. Despite the currently positive disposition of this matter, it illustrates that concerns such as this may arise in the future that could affect our product development, regulatory review or the public perception of our products and our future prospects.</w:t>
      </w:r>
    </w:p>
    <w:p>
      <w:pPr>
        <w:spacing w:after="0" w:line="182"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past or proposed future approvals of a product and/or restrictions on that product or manufacturer, including withdrawal of an indication or the product from the market, which would have a negative impact on our potential revenue stream.</w:t>
      </w:r>
    </w:p>
    <w:p>
      <w:pPr>
        <w:spacing w:after="0" w:line="287" w:lineRule="exact"/>
        <w:rPr>
          <w:sz w:val="20"/>
          <w:szCs w:val="20"/>
          <w:color w:val="auto"/>
        </w:rPr>
      </w:pPr>
    </w:p>
    <w:p>
      <w:pPr>
        <w:ind w:left="260" w:right="20"/>
        <w:spacing w:after="0" w:line="342" w:lineRule="auto"/>
        <w:rPr>
          <w:sz w:val="20"/>
          <w:szCs w:val="20"/>
          <w:color w:val="auto"/>
        </w:rPr>
      </w:pPr>
      <w:r>
        <w:rPr>
          <w:rFonts w:ascii="Arial" w:cs="Arial" w:eastAsia="Arial" w:hAnsi="Arial"/>
          <w:sz w:val="16"/>
          <w:szCs w:val="16"/>
          <w:b w:val="1"/>
          <w:bCs w:val="1"/>
          <w:i w:val="1"/>
          <w:iCs w:val="1"/>
          <w:color w:val="auto"/>
        </w:rPr>
        <w:t>As we continue to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16"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The process of establishing a commercial infrastructure is difficult, expensive and time-consuming. We have a relatively small sales organization consisting of approximately 150 sales professionals, including sales representatives and their managers. We anticipate increasing our sales force to a total of approximately 400 to 500 sales professionals after REDUCE-IT results, assuming success. While we intend to wait for REDUCE-IT results before adding the majority of these additional sales representatives, we plan to add approximately 10 to 20 sales representatives and expand sales management prior to REDUCE-IT results. As our operations expand with the anticipated growth of our product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supply of product for the commercial market and clinical trials is dependent upon relationships with third-party manufacturers and key suppliers.</w:t>
      </w:r>
    </w:p>
    <w:p>
      <w:pPr>
        <w:spacing w:after="0" w:line="152" w:lineRule="exact"/>
        <w:rPr>
          <w:sz w:val="20"/>
          <w:szCs w:val="20"/>
          <w:color w:val="auto"/>
        </w:rPr>
      </w:pPr>
    </w:p>
    <w:p>
      <w:pPr>
        <w:jc w:val="both"/>
        <w:ind w:right="220" w:firstLine="518"/>
        <w:spacing w:after="0" w:line="279" w:lineRule="auto"/>
        <w:rPr>
          <w:sz w:val="20"/>
          <w:szCs w:val="20"/>
          <w:color w:val="auto"/>
        </w:rPr>
      </w:pPr>
      <w:r>
        <w:rPr>
          <w:rFonts w:ascii="Arial" w:cs="Arial" w:eastAsia="Arial" w:hAnsi="Arial"/>
          <w:sz w:val="17"/>
          <w:szCs w:val="17"/>
          <w:color w:val="auto"/>
        </w:rPr>
        <w:t>We have no in-house manufacturing capacity and rely on contract manufacturers for our clinical and commercial product supply. We cannot ensure that we will successfully manufacture any product we may develop, either independently or under manufacturing arrangements, if any, with our third-party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7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Any manufacturing problem, natural disaster affecting manufacturing facilities, or the loss of a contract manufacturer could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93"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We initially purchased all of our supply of the bulk compound (ethyl-EPA), or Vascepa API, from a single supplier, Nisshin Pharma, Inc., or Nisshin, located in Japan. Nisshin was approved by the FDA as a Vascepa API supplier as part of our FDA NDA for the MARINE indication in July 2012. In April 2013, we announced the approval by the FDA of an NDA supplement for Chemport, Inc. and BASF (formerly Equateq Limited) as additional Vascepa API suppliers. We terminated our agreement with BASF due to its inability to meet the agreement requirements, may enter into a new development and supply agreement with BASF, and may purchase API from BASF as it remains an NDA-approved supplier. In 2014, we obtained sNDA approval for a fourth supplier of API, which includes the manufacturing facility of Finorga SAS (Novasep). We currently purchase and use commercial supply from Novasep, Chemport, and Nisshin. Each of the API manufacturers obtains supply of the key raw material to manufacture API from other qualified third-parties.</w:t>
      </w:r>
    </w:p>
    <w:p>
      <w:pPr>
        <w:spacing w:after="0" w:line="167" w:lineRule="exact"/>
        <w:rPr>
          <w:sz w:val="20"/>
          <w:szCs w:val="20"/>
          <w:color w:val="auto"/>
        </w:rPr>
      </w:pPr>
    </w:p>
    <w:p>
      <w:pPr>
        <w:jc w:val="both"/>
        <w:ind w:right="160" w:firstLine="518"/>
        <w:spacing w:after="0" w:line="312" w:lineRule="auto"/>
        <w:rPr>
          <w:sz w:val="20"/>
          <w:szCs w:val="20"/>
          <w:color w:val="auto"/>
        </w:rPr>
      </w:pPr>
      <w:r>
        <w:rPr>
          <w:rFonts w:ascii="Arial" w:cs="Arial" w:eastAsia="Arial" w:hAnsi="Arial"/>
          <w:sz w:val="16"/>
          <w:szCs w:val="16"/>
          <w:color w:val="auto"/>
        </w:rPr>
        <w:t>While we have contractual freedom to source the API for Vascepa and have entered into supply agreements with multiple suppliers who also rely on other third-party suppliers to manufacture the API for Vascepa, Novasep, Nisshin and Chemport currently supply all of our API for Vascepa. Our strategy in adding API suppliers has been to expand manufacturing capacity, maintain competitive advantages, and mitigate the risk of reliance on any single supplier.</w:t>
      </w:r>
    </w:p>
    <w:p>
      <w:pPr>
        <w:spacing w:after="0" w:line="14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Expanding manufacturing capacity and qualifying such capacity is difficult and subject to numerous regulations and other operational challenges. The resources of our suppliers vary and are limited; costs associated with projected expansion and qualification can be significant. For example, Chemport, which was approved as one of our API suppliers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 by the FDA as part of an sNDA, our API supply will be limited to the API we purchase from previously approved suppliers. If our third-party manufacturing capacity is not expanded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7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currently have encapsulation agreements with three commercial API encapsulators for the encapsulation of Vascepa: Patheon, Inc. (formerly Banner Pharmacaps), Catalent Pharma Solutions, and Capsugel Plöermel SAS. These companies have qualified and validated their manufacturing processes and are capable of manufacturing Vascepa.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w:t>
      </w:r>
    </w:p>
    <w:p>
      <w:pPr>
        <w:spacing w:after="0" w:line="296" w:lineRule="exact"/>
        <w:rPr>
          <w:sz w:val="20"/>
          <w:szCs w:val="20"/>
          <w:color w:val="auto"/>
        </w:rPr>
      </w:pPr>
    </w:p>
    <w:p>
      <w:pPr>
        <w:ind w:left="260" w:right="280"/>
        <w:spacing w:after="0" w:line="277" w:lineRule="auto"/>
        <w:rPr>
          <w:sz w:val="20"/>
          <w:szCs w:val="20"/>
          <w:color w:val="auto"/>
        </w:rPr>
      </w:pPr>
      <w:r>
        <w:rPr>
          <w:rFonts w:ascii="Arial" w:cs="Arial" w:eastAsia="Arial" w:hAnsi="Arial"/>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may not purchase sufficient quantities of Vascepa to meet actual demand or our purchase of supply may exceed actual demand. In either case, such event could have a material adverse effect on our financial results and financial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6" w:name="page67"/>
    <w:bookmarkEnd w:id="66"/>
    <w:p>
      <w:pPr>
        <w:ind w:left="260" w:right="140"/>
        <w:spacing w:after="0" w:line="264" w:lineRule="auto"/>
        <w:rPr>
          <w:sz w:val="20"/>
          <w:szCs w:val="20"/>
          <w:color w:val="auto"/>
        </w:rPr>
      </w:pPr>
      <w:r>
        <w:rPr>
          <w:rFonts w:ascii="Arial" w:cs="Arial" w:eastAsia="Arial" w:hAnsi="Arial"/>
          <w:sz w:val="18"/>
          <w:szCs w:val="18"/>
          <w:b w:val="1"/>
          <w:bCs w:val="1"/>
          <w:i w:val="1"/>
          <w:iCs w:val="1"/>
          <w:color w:val="auto"/>
        </w:rPr>
        <w:t>The manufacture, packaging and distribution of pharmaceutical products such as Vascepa are subject to FDA regulations and those of similar foreign regulatory bodies. If we or our third-party manufacturers fail to satisfy these requirements, our product development and commercialization efforts may be materially harmed.</w:t>
      </w:r>
    </w:p>
    <w:p>
      <w:pPr>
        <w:spacing w:after="0" w:line="7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manufacture, packaging and distribution of pharmaceutical products, such as Vascepa, are regulated by the FDA and similar foreign regulatory bodies and must be conducted in accordance with the FDA’s pharmaceutical current good manufacturing practices, or cGMPs, and comparable requirements of foreign regulatory bodies. There are a limited number of manufacturers that operate under these cGMPs and International Council for Harmonisation of Technical Requirements for Registration of Pharmaceuticals for Human Use, or ICH, regulations who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78"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third-party manufacturer, may require prior FDA review and pre-approval of the manufacturing process and procedures in accordance with the FDA’s cGMPs. Any new facility may be subject to a pre-approval inspection by the FDA and would again require us to demonstrate product comparability to the FDA. There are comparable foreign requirements under ICH guidelines. This review may be costly and time consuming and could delay or prevent the launch of a product.</w:t>
      </w:r>
    </w:p>
    <w:p>
      <w:pPr>
        <w:spacing w:after="0" w:line="154"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Furthermore, the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73" w:lineRule="exact"/>
        <w:rPr>
          <w:sz w:val="20"/>
          <w:szCs w:val="20"/>
          <w:color w:val="auto"/>
        </w:rPr>
      </w:pPr>
    </w:p>
    <w:p>
      <w:pPr>
        <w:jc w:val="both"/>
        <w:ind w:right="360" w:firstLine="518"/>
        <w:spacing w:after="0" w:line="264" w:lineRule="auto"/>
        <w:rPr>
          <w:sz w:val="20"/>
          <w:szCs w:val="20"/>
          <w:color w:val="auto"/>
        </w:rPr>
      </w:pPr>
      <w:r>
        <w:rPr>
          <w:rFonts w:ascii="Arial" w:cs="Arial" w:eastAsia="Arial" w:hAnsi="Arial"/>
          <w:sz w:val="18"/>
          <w:szCs w:val="18"/>
          <w:color w:val="auto"/>
        </w:rPr>
        <w:t>The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which could significantly and adversely affect our business.</w:t>
      </w:r>
    </w:p>
    <w:p>
      <w:pPr>
        <w:spacing w:after="0" w:line="289" w:lineRule="exact"/>
        <w:rPr>
          <w:sz w:val="20"/>
          <w:szCs w:val="20"/>
          <w:color w:val="auto"/>
        </w:rPr>
      </w:pPr>
    </w:p>
    <w:p>
      <w:pPr>
        <w:ind w:left="260" w:right="40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6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requirements,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73" w:lineRule="exact"/>
        <w:rPr>
          <w:sz w:val="20"/>
          <w:szCs w:val="20"/>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67" w:name="page68"/>
    <w:bookmarkEnd w:id="67"/>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225"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We have prosecuted, and are currently prosecuting, multiple patent applications to protect the intellectual property developed during the Vascepa development program. As of the date of this report, we had 60 patent applications in the United States that have been either issued or allowed and more than 30 additional patent applications are pending in the United States. Such 60 allowed and issued applications include the following:</w:t>
      </w:r>
    </w:p>
    <w:p>
      <w:pPr>
        <w:spacing w:after="0" w:line="39" w:lineRule="exact"/>
        <w:rPr>
          <w:sz w:val="20"/>
          <w:szCs w:val="20"/>
          <w:color w:val="auto"/>
        </w:rPr>
      </w:pPr>
    </w:p>
    <w:p>
      <w:pPr>
        <w:ind w:left="1040" w:right="82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 issued U.S. patents directed to a pharmaceutical composition of Vascepa in a capsule that have terms that expire in 2020 and 2030, respectively;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44 U.S. patents covering or related to the use of Vascepa in either the MARINE or ANCHOR populations that have terms that expire in 2030 or later;</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3 additional patents related to the use of a pharmaceutical composition comprised of free fatty acids to treat the ANCHOR patient population with a term that expires in 2030;</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 additional patents related to the use of a pharmaceutical composition comprised of free fatty acids to treat the MARINE patient population with a term that expires in 2030;</w:t>
      </w:r>
    </w:p>
    <w:p>
      <w:pPr>
        <w:spacing w:after="0" w:line="62"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 additional patent related to a pharmaceutical composition comprised of free fatty acids and uses thereof to treat both the MARINE and ANCHOR patient populations with a term that expires in 2030;</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 additional patent related to a formulation of EPA/DHA and uses thereof with a term that expires in 2030;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 additional patent related to the use of Vascepa to treat obesity with a term that expires in 2030;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2 additional patents covering a pharmaceutical composition comprised of EPA and a hydroxyl compound with a term that expires in 2034;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3 additional patents covering a new combination therapy comprised of EPA and another drug.</w:t>
      </w:r>
    </w:p>
    <w:p>
      <w:pPr>
        <w:spacing w:after="0" w:line="22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88"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are also pursuing patent applications related to Vascepa in multiple jurisdictions outside the United States. We may be dependent in some cases upon third-party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9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8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93"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8" w:name="page69"/>
    <w:bookmarkEnd w:id="68"/>
    <w:p>
      <w:pPr>
        <w:ind w:right="200"/>
        <w:spacing w:after="0" w:line="259" w:lineRule="auto"/>
        <w:rPr>
          <w:sz w:val="20"/>
          <w:szCs w:val="20"/>
          <w:color w:val="auto"/>
        </w:rPr>
      </w:pPr>
      <w:r>
        <w:rPr>
          <w:rFonts w:ascii="Arial" w:cs="Arial" w:eastAsia="Arial" w:hAnsi="Arial"/>
          <w:sz w:val="18"/>
          <w:szCs w:val="18"/>
          <w:color w:val="auto"/>
        </w:rPr>
        <w:t>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issued patents may not prevent competitors from competing with Vascepa, even if we seek to enforce our patent rights.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our U.S. Patent No. 8,663,662. The complaint alleged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 and no more than about 30% DHA. In November 2014, based on a representation from AstraZeneca Pharmaceuticals LP that the commercial launch of Epanova was not imminent, the court dismissed our complaint, without prejudice (i.e., preserving our ability to later re-file the suit). The court required the defendant to notify us before any product launch. We intend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7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7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11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these additional MARINE and ANCHOR patents or any of our pending patent applications intended to cover an indication based on future results from the REDUCE-IT clinical trial will be granted or, if they grant, that they will prevent competitors from competing with Vascepa.</w:t>
      </w:r>
    </w:p>
    <w:p>
      <w:pPr>
        <w:spacing w:after="0" w:line="16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86" w:lineRule="exact"/>
        <w:rPr>
          <w:sz w:val="20"/>
          <w:szCs w:val="20"/>
          <w:color w:val="auto"/>
        </w:rPr>
      </w:pPr>
    </w:p>
    <w:p>
      <w:pPr>
        <w:ind w:left="260" w:right="600"/>
        <w:spacing w:after="0" w:line="277"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62"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consultants to enter into confidentiality agreements, we may not be able to adequately protect our trade secrets or other proprietary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60" w:right="380"/>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62"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January 2017, we issued financial and business guidance, including expected fiscal year 2017 total net revenue and expectations regarding improved cash flow from commercial operations and timing of the REDUCE-IT outcomes trial. In August 2017, we updated that guidance favorably based on changed circumstances. All such guidance is based on estimates and the judgment of management. Because of the inherent nature of estimates, there could be significant differences between our estimates and the actual amount of product demand. If, for any reason, we are unable to realize our currently projected 2017 revenue, we may not realize our publicly announced financial guidance. If we fail to realize or if we change or update any element of our publicly disclosed financial guidance or other expectations about our business, our stock price could decline in value.</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1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8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117"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In 2007, we purchased Ester Neurosciences Limited, or Ester,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 or Yissum. In keeping with our 2009 decision to re-focus our efforts on developing improved treatments for cardiovascular disease and cease development of all product candidates outside of our cardiovascular disease focus, we amended the terms of our acquisition agreement with the original shareholders of Ester.</w:t>
      </w:r>
    </w:p>
    <w:p>
      <w:pPr>
        <w:spacing w:after="0" w:line="158"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14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In 2011 and early 2012, but not after, we received several communications on behalf of the former shareholders of Ester asserting that we are in breach of our agreement with them as it relates to alleged rights to share in the value of EN101 due to the fact that Yissum terminated its license. We do not believe the circumstances presented constitute a breach of the agreement. If the dispute arises again, we plan to defend our position vigorously, but there can be no assurance as to the outcome of this dispute.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0" w:name="page71"/>
    <w:bookmarkEnd w:id="70"/>
    <w:p>
      <w:pPr>
        <w:jc w:val="both"/>
        <w:ind w:right="320"/>
        <w:spacing w:after="0" w:line="264" w:lineRule="auto"/>
        <w:rPr>
          <w:sz w:val="20"/>
          <w:szCs w:val="20"/>
          <w:color w:val="auto"/>
        </w:rPr>
      </w:pPr>
      <w:r>
        <w:rPr>
          <w:rFonts w:ascii="Arial" w:cs="Arial" w:eastAsia="Arial" w:hAnsi="Arial"/>
          <w:sz w:val="18"/>
          <w:szCs w:val="18"/>
          <w:color w:val="auto"/>
        </w:rPr>
        <w:t>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8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Our and our subsidiaries’ income tax returns are periodically examined by various tax authorities. We are currently undergoing federal and state tax audits, including audit by the United States Internal Revenue Service (IRS) for the years 2013 to 2014. Although the outcome of tax audits is always uncertain and could result in significant cash tax payments, we do not believe the outcome of these audits will have a material adverse effect on our consolidated financial position or results of operations. The ultimate resolution may result in a payment that is materially different from our current estimate of the tax liabilities.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A significant portion of our sales are to wholesalers in the pharmaceutical industry. Our top three customers accounted for 90% and 95% of gross product sales for the nine months ended September 30, 2017 and 2016, respectively, and represented 87% and 95% of the gross accounts receivable balance as of September 30, 2017 and 2016, respectively.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not yet reached profitability. For the fiscal years ended December 31, 2016, 2015, and 2014, we reported losses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$86.4 million, $149.1 million, and $56.4 million, respectively, and we had an accumulated deficit as of December 31, 2016 of $1.2 billion. For the nine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2017 and 2016, we reported losses of approximately $45.4 million and $58.9 million, respectively, and we had an accumulated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deficit as of September 30, 2017 of $1.2 billion. Substantially all of our operating losses resulted from costs incurred in connection with our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development programs, from general and administrative costs associated with our operations, and costs related to the commercialization of Vascepa.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Additionally, as a result of our significant expenses relating to research and development and to commercialization, we expect to continue to incur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losses for an indefinite period. Because of the numerous risks and uncertainties associated with developing and commercializing pharmaceutical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we are unable to predict the magnitude of these future losses. Our historic losses, combined with expected future losses, have had and will continue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have an adverse effect on our cash resources, shareholders’ deficit and working capital.</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117"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Our ability to become profitable depends upon our ability to generate revenue. We have been generating product revenue from sales of Vascepa since January 2013,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71" w:name="page72"/>
    <w:bookmarkEnd w:id="71"/>
    <w:p>
      <w:pPr>
        <w:ind w:firstLine="518"/>
        <w:spacing w:after="0" w:line="276" w:lineRule="auto"/>
        <w:rPr>
          <w:sz w:val="20"/>
          <w:szCs w:val="20"/>
          <w:color w:val="auto"/>
        </w:rPr>
      </w:pPr>
      <w:r>
        <w:rPr>
          <w:rFonts w:ascii="Arial" w:cs="Arial" w:eastAsia="Arial" w:hAnsi="Arial"/>
          <w:sz w:val="17"/>
          <w:szCs w:val="17"/>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in the near term due to high costs associated with our REDUCE-IT study and commercialization efforts, for example. If we are unable to continue to generate robust product revenues, we will not become profitable in the near term, if ever, and may be unable to continue operations without continued funding.</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117"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As a consequence of the many years developing Vascepa for commercialization and the commercial launch of Vascepa in 2013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with ANCHOR data and seek to obtain additional regulatory approval of Vascepa from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300" w:lineRule="exact"/>
        <w:rPr>
          <w:sz w:val="20"/>
          <w:szCs w:val="20"/>
          <w:color w:val="auto"/>
        </w:rPr>
      </w:pPr>
    </w:p>
    <w:p>
      <w:pPr>
        <w:ind w:left="260" w:right="140"/>
        <w:spacing w:after="0" w:line="277"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62"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63"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level of demand for Vascepa, due to changes in prescriber sentiment, quarterly changes in Distributor purchases, and other factors;</w:t>
      </w:r>
    </w:p>
    <w:p>
      <w:pPr>
        <w:spacing w:after="0" w:line="128" w:lineRule="exact"/>
        <w:rPr>
          <w:rFonts w:ascii="Arial" w:cs="Arial" w:eastAsia="Arial" w:hAnsi="Arial"/>
          <w:sz w:val="17"/>
          <w:szCs w:val="17"/>
          <w:color w:val="auto"/>
        </w:rPr>
      </w:pPr>
    </w:p>
    <w:p>
      <w:pPr>
        <w:ind w:left="1040" w:right="2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w:t>
      </w:r>
    </w:p>
    <w:p>
      <w:pPr>
        <w:spacing w:after="0" w:line="62"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 with our co-promotion partner, Kowa Pharmaceuticals America, Inc.;</w:t>
      </w:r>
    </w:p>
    <w:p>
      <w:pPr>
        <w:spacing w:after="0" w:line="62" w:lineRule="exact"/>
        <w:rPr>
          <w:rFonts w:ascii="Arial" w:cs="Arial" w:eastAsia="Arial" w:hAnsi="Arial"/>
          <w:sz w:val="18"/>
          <w:szCs w:val="18"/>
          <w:color w:val="auto"/>
        </w:rPr>
      </w:pPr>
    </w:p>
    <w:p>
      <w:pPr>
        <w:ind w:left="1040" w:right="220" w:hanging="519"/>
        <w:spacing w:after="0" w:line="264"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and ability of commercialization partners outside the United States to develop, register and commercialize Vascepa in the China Territory, several Middle Eastern and North African countries, and Canada, for example, including obtaining necessary regulatory approvals and establishing marketing channels;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and nature of results of the REDUCE-IT study or post-approval studies for Vascepa;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outcomes of litigation and other legal proceedings;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regulatory dialogue on the REDUCE-IT study.</w:t>
      </w:r>
    </w:p>
    <w:p>
      <w:pPr>
        <w:spacing w:after="0" w:line="333" w:lineRule="exact"/>
        <w:rPr>
          <w:sz w:val="20"/>
          <w:szCs w:val="20"/>
          <w:color w:val="auto"/>
        </w:rPr>
      </w:pPr>
    </w:p>
    <w:p>
      <w:pPr>
        <w:ind w:left="260" w:right="440"/>
        <w:spacing w:after="0" w:line="277"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6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We currently operate with limited resources. We believe that our cash and cash equivalents balance of $79.1 million as of September 30, 2017 will be sufficient to fund our projected operations through the results of the REDUCE-IT study, which we anticipate will be available before the end of the third quarter of 2018. Depending on the level of cash generated from operations, additional capital may be required to sustain operations, fund debt obligations or expand promotion of Vascepa as contemplated following anticipated successful results of the REDUCE-IT study. We anticipate that quarterly net cash outflows in future periods will be variable.</w:t>
      </w:r>
    </w:p>
    <w:p>
      <w:pPr>
        <w:spacing w:after="0" w:line="188"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In order to fully realize the market potential of Vascepa, we may need to enter into a new strategic collaboration or raise additional capital. We may also need additional capital to fully complete our REDUCE-IT cardiovascular outcomes trial.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2" w:name="page73"/>
    <w:bookmarkEnd w:id="72"/>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amount and consistency of revenue generated from the commercial sale of Vascepa;</w:t>
      </w:r>
    </w:p>
    <w:p>
      <w:pPr>
        <w:spacing w:after="0" w:line="117" w:lineRule="exact"/>
        <w:rPr>
          <w:rFonts w:ascii="Arial" w:cs="Arial" w:eastAsia="Arial" w:hAnsi="Arial"/>
          <w:sz w:val="18"/>
          <w:szCs w:val="18"/>
          <w:color w:val="auto"/>
        </w:rPr>
      </w:pPr>
    </w:p>
    <w:p>
      <w:pPr>
        <w:ind w:left="1040" w:right="20" w:hanging="519"/>
        <w:spacing w:after="0" w:line="276"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costs associated with commercializing Vascepa in the United States, including expenditures such as potential direct-to-consumer advertising and increased sales force sizing, and for additional indications in the United States and in jurisdictions in which we receive regulatory approval, if any, including the cost of sales and marketing capabilities with our co-promotion partner, Kowa Pharmaceuticals America, Inc., and the cost and timing of securing commercial supply of Vascepa and the timing of entering into any new strategic collaboration with others relating to the commercialization of Vascepa, if at all, and the terms of any such collaboration;</w:t>
      </w:r>
    </w:p>
    <w:p>
      <w:pPr>
        <w:spacing w:after="0" w:line="64" w:lineRule="exact"/>
        <w:rPr>
          <w:rFonts w:ascii="Arial" w:cs="Arial" w:eastAsia="Arial" w:hAnsi="Arial"/>
          <w:sz w:val="17"/>
          <w:szCs w:val="17"/>
          <w:color w:val="auto"/>
        </w:rPr>
      </w:pPr>
    </w:p>
    <w:p>
      <w:pPr>
        <w:ind w:left="1040" w:hanging="519"/>
        <w:spacing w:after="0"/>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continued cost associated with our REDUCE-IT cardiovascular outcomes study and subsequent publication of REDUCE-IT results;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continued costs associated with litigation and other legal proceedings;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 after REDUCE-IT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225"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If we require additional funds and adequate funds are not available to us in amounts or on terms acceptable to us or on a timely basis, or at all, our commercialization efforts for Vascepa may suffer materially, and we may need to delay the advancement of the REDUCE-IT cardiovascular outcomes trial.</w:t>
      </w:r>
    </w:p>
    <w:p>
      <w:pPr>
        <w:spacing w:after="0" w:line="232" w:lineRule="exact"/>
        <w:rPr>
          <w:sz w:val="20"/>
          <w:szCs w:val="20"/>
          <w:color w:val="auto"/>
        </w:rPr>
      </w:pPr>
    </w:p>
    <w:p>
      <w:pPr>
        <w:ind w:left="300" w:right="300"/>
        <w:spacing w:after="0" w:line="308" w:lineRule="auto"/>
        <w:rPr>
          <w:sz w:val="20"/>
          <w:szCs w:val="20"/>
          <w:color w:val="auto"/>
        </w:rPr>
      </w:pPr>
      <w:r>
        <w:rPr>
          <w:rFonts w:ascii="Arial" w:cs="Arial" w:eastAsia="Arial" w:hAnsi="Arial"/>
          <w:sz w:val="17"/>
          <w:szCs w:val="17"/>
          <w:b w:val="1"/>
          <w:bCs w:val="1"/>
          <w:i w:val="1"/>
          <w:iCs w:val="1"/>
          <w:color w:val="auto"/>
        </w:rPr>
        <w:t>The potential future benefit of our substantial net operating loss carryforwards could be lost and our prospects for profitability could be materially diminished if tax regulations or rates change or if we are deemed to not have active operations in Ireland.</w:t>
      </w:r>
    </w:p>
    <w:p>
      <w:pPr>
        <w:spacing w:after="0" w:line="38"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Tax law and policies in the United States and Ireland are subject to change based on adjustments in political perspectives. In the United States and internationally, how to tax entities with international operations, like Amarin, has been subject to significant re-evaluation. We developed Vascepa in and from Ireland. In recent years, particularly since 2013 when commercial sale of Vascepa commenced in the United States, the majority of our consolidated operations have been in the United States. Ownership to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In addition, utilization of these accumulated net operating loss carryforwards assumes that tax treaties between Ireland and other countries, particularly the United States, do not change in a manner which limit our future ability to offset earnings with these operating loss carryforwards for tax purposes.</w:t>
      </w:r>
    </w:p>
    <w:p>
      <w:pPr>
        <w:spacing w:after="0" w:line="71"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Similarly, a change in our Irish tax residence could materially affect our ability to obtain profitability, if at all.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Continued negative economic conditions would likely have a negative effect on our ability to obtain financing on acceptable terms.</w:t>
      </w:r>
    </w:p>
    <w:p>
      <w:pPr>
        <w:spacing w:after="0" w:line="129"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129"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To the extent we are permitted under our Purchase and Sale Agreement with BioPharma Secured Debt Fund II Holdings Cayman LP, or BioPharma,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3" w:name="page74"/>
    <w:bookmarkEnd w:id="73"/>
    <w:p>
      <w:pPr>
        <w:ind w:right="40" w:firstLine="518"/>
        <w:spacing w:after="0" w:line="270" w:lineRule="auto"/>
        <w:rPr>
          <w:sz w:val="20"/>
          <w:szCs w:val="20"/>
          <w:color w:val="auto"/>
        </w:rPr>
      </w:pPr>
      <w:r>
        <w:rPr>
          <w:rFonts w:ascii="Arial" w:cs="Arial" w:eastAsia="Arial" w:hAnsi="Arial"/>
          <w:sz w:val="17"/>
          <w:szCs w:val="17"/>
          <w:color w:val="auto"/>
        </w:rPr>
        <w:t>In January 2012, Corsicanto Designated Activity Company (formerly Corsicanto Limited), or Corsicanto, issued $150.0 million in aggregate principal amount of 3.5% exchangeable senior notes due 2032, or the 2012 Notes. In May 2014, we entered into separate, privately negotiated exchange agreements with certain holders of the 2012 Notes pursuant to which Corsicanto exchanged $118.7 million in aggregate principal amount of the existing 2012 Notes for $118.7 million in aggregate principal amount of new 3.5% May 2014 exchangeable senior notes due 2032, or the 2014 Notes. In November 2015, we issued $31.3 million in aggregate principal amount of 3.5% exchangeable senior notes due 2032, or the 2015 Notes, and used $16.2 million of the proceeds to repay a portion of the 2012 Notes, such that $15.1 million of 2012 Notes remained outstanding. In September 2016, we mandatorily exchanged the entirety of the 2014 Notes and 2015 Notes, in accordance with their respective terms, into 60,311,188 ADSs. In January 2017, approximately $15.0 million of the 2012 Notes were put to us and in March 2017, we redeemed the entirety of the remaining $0.1 million of outstanding principal amount of 2012 Notes plus accrued but unpaid interest.</w:t>
      </w:r>
    </w:p>
    <w:p>
      <w:pPr>
        <w:spacing w:after="0" w:line="182"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In January 2017, Corsicanto II Designated Activity Company, or Corsicanto II, issued $30.0 million in aggregate principal amount of 3.5% exchangeable senior notes due 2047, or the 2017 Notes. In the event of physical settlement, the 2017 Notes would be exchangeable into a total of 7,716,048 ADSs.</w:t>
      </w:r>
    </w:p>
    <w:p>
      <w:pPr>
        <w:spacing w:after="0" w:line="18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17" w:lineRule="exact"/>
        <w:rPr>
          <w:sz w:val="20"/>
          <w:szCs w:val="20"/>
          <w:color w:val="auto"/>
        </w:rPr>
      </w:pPr>
    </w:p>
    <w:p>
      <w:pPr>
        <w:ind w:right="420" w:firstLine="518"/>
        <w:spacing w:after="0" w:line="25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For example, in March 2014, we entered into a co-promotion agreement with Kowa Pharmaceuticals America, Inc. related to the commercialization of Vascepa in the United States. The consummation and performance of any such future transactions or collaborations will involve risks, such as:</w:t>
      </w:r>
    </w:p>
    <w:p>
      <w:pPr>
        <w:spacing w:after="0" w:line="79"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225"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81"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As of October 31, 2017, we had 270,879,464 common shares outstanding including 270,509,836 shares held as ADSs and 369,628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17" w:lineRule="exact"/>
        <w:rPr>
          <w:sz w:val="20"/>
          <w:szCs w:val="20"/>
          <w:color w:val="auto"/>
        </w:rPr>
      </w:pPr>
    </w:p>
    <w:p>
      <w:pPr>
        <w:ind w:left="5620" w:right="2040" w:hanging="5099"/>
        <w:spacing w:after="0" w:line="528" w:lineRule="auto"/>
        <w:tabs>
          <w:tab w:leader="none" w:pos="10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4" w:name="page75"/>
    <w:bookmarkEnd w:id="74"/>
    <w:p>
      <w:pPr>
        <w:ind w:left="1040" w:right="38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litigation and regulatory developments in the United States affecting our Vascepa promotional rights, and regulatory developments in other countries;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333" w:lineRule="exact"/>
        <w:rPr>
          <w:sz w:val="20"/>
          <w:szCs w:val="20"/>
          <w:color w:val="auto"/>
        </w:rPr>
      </w:pPr>
    </w:p>
    <w:p>
      <w:pPr>
        <w:ind w:left="260"/>
        <w:spacing w:after="0" w:line="327" w:lineRule="auto"/>
        <w:rPr>
          <w:sz w:val="20"/>
          <w:szCs w:val="20"/>
          <w:color w:val="auto"/>
        </w:rPr>
      </w:pPr>
      <w:r>
        <w:rPr>
          <w:rFonts w:ascii="Arial" w:cs="Arial" w:eastAsia="Arial" w:hAnsi="Arial"/>
          <w:sz w:val="15"/>
          <w:szCs w:val="15"/>
          <w:b w:val="1"/>
          <w:bCs w:val="1"/>
          <w:i w:val="1"/>
          <w:iCs w:val="1"/>
          <w:color w:val="auto"/>
        </w:rPr>
        <w:t>The number of our ordinary shares, or ADSs representing such ordinary shares, outstanding may increase substantially as a result of our March 2015 private placement and the later consolidation and redesignation of the Series A Preference Shares represented by Preference ADSs issued thereunder, and some of the investors may then beneficially own significant blocks of our ordinary shares; the ordinary shares and Series A Preference Shares resulting from the private placement will be generally available for resale in the public market upon registration under the Securities Act.</w:t>
      </w:r>
    </w:p>
    <w:p>
      <w:pPr>
        <w:spacing w:after="0" w:line="32"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In March and July 2015, we completed a private placement of American Depositary Shares in two tranches representing 352,150,790 and 38,867,180 Series A Preference Shares, respectively, each ten (10) of which may be consolidated and redesignated into one (1) ordinary share in our capital. During the three months ended June 30, 2015, 62,833,330 preferred shares were converted, resulting in the issuance of 6,283,333 ordinary shares. The consolidation and redesignation of the Series A Preference Shares currently outstanding would result in an additional 32,818,464 ordinary shares outstanding, resulting in substantial dilution to shareholders who held our ordinary shares or ADSs representing such ordinary shares prior to the private placement. Although the Series A Preference Shares do not have voting rights, in general, upon consolidation and redesignation into ordinary shares some of the investors in the private placement could then have significant influence over the outcome of any shareholder vote, including the election of directors and the approval of mergers or other business combination transactions.</w:t>
      </w:r>
    </w:p>
    <w:p>
      <w:pPr>
        <w:spacing w:after="0" w:line="179"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Pursuant to the securities subscription agreements that we entered into with the investors in the private placement, we agreed to file with the SEC a registration statement to register the resale of the Series A Preference Shares represented by American Depositary Shares issued in the private placement and the ordinary shares issuable upon the consolidation and consolidation and redesignation of such Series A Preference Shares. Upon such registration and subsequent consolidation and redesignation, these securities will become generally available for immediate resale in the public market. The market price of our ordinary shares could fall as a result of an increase in the number of shares available for sale in the public market.</w:t>
      </w:r>
    </w:p>
    <w:p>
      <w:pPr>
        <w:spacing w:after="0" w:line="266" w:lineRule="exact"/>
        <w:rPr>
          <w:sz w:val="20"/>
          <w:szCs w:val="20"/>
          <w:color w:val="auto"/>
        </w:rPr>
      </w:pPr>
    </w:p>
    <w:p>
      <w:pPr>
        <w:ind w:left="260" w:right="200"/>
        <w:spacing w:after="0" w:line="308" w:lineRule="auto"/>
        <w:rPr>
          <w:sz w:val="20"/>
          <w:szCs w:val="20"/>
          <w:color w:val="auto"/>
        </w:rPr>
      </w:pPr>
      <w:r>
        <w:rPr>
          <w:rFonts w:ascii="Arial" w:cs="Arial" w:eastAsia="Arial" w:hAnsi="Arial"/>
          <w:sz w:val="17"/>
          <w:szCs w:val="17"/>
          <w:b w:val="1"/>
          <w:bCs w:val="1"/>
          <w:i w:val="1"/>
          <w:iCs w:val="1"/>
          <w:color w:val="auto"/>
        </w:rPr>
        <w:t>Failure to comply with our obligations under the March 2015 securities subscription agreements could result in our becoming liable for damages to certain investors under these agreements, including specified liquidated damages, which could be material in amount.</w:t>
      </w:r>
    </w:p>
    <w:p>
      <w:pPr>
        <w:spacing w:after="0" w:line="3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Under the terms of the March 2015 securities subscription agreements, we are subject to various obligations, failure to comply with which could result in our becoming liable to certain investors under these agreement for damages, which could be material in amount.</w:t>
      </w:r>
    </w:p>
    <w:p>
      <w:pPr>
        <w:spacing w:after="0" w:line="170"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For example, under each of these agreements we have agreed to file and maintain the effectiveness of certain resale registration statements for ADSs representing the ordinary shares underlying the Series A Preference shares we issued and sold under these agreements. Specifically, we have agreed to pay liquidated damages to the investors in the respective private placements if (a) the applicable resale registration statements we are required to file are not declared effective within 120 days after the closing of the applicable private placement, or (b) after effectiveness and subject to certain specified exceptions, we suspend the use of the applicable registration statement or the registration statement ceases to remain continuously effective as to all the securities for which it is required to be effective. We refer to each of these events as a registration default. Subject to the specified exceptions, for each 30-day period or portion thereof during which a registration default remains uncured, we are obligated to pay liquidated damages to each investor in cash in an amount equal to 1% of the aggregate subscription price paid by each such investor in the private placement, up to a maximum of 8% of such aggregate subscription price. These amounts could be material, and any liquidated damages we are required to pay could have a material adverse effect on our financial condition.</w:t>
      </w:r>
    </w:p>
    <w:p>
      <w:pPr>
        <w:spacing w:after="0" w:line="16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addition, under the securities subscription agreement dated as of March 5, 2015, we are required to offer to certain investors party to that agreement an opportunity to participate in future equity and debt financings we may conduct from time to time, and to not publicly disclose the identity of the investors party to that agreement, subject to certain exceptions for disclosures required in securities filings and under applicable law. If we fail to comply with these obligations we could become liable to these investors for damages, including specified liquidated damages. For example, following certain public statements made by us on a quarterly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ind w:right="1000"/>
        <w:spacing w:after="0" w:line="277" w:lineRule="auto"/>
        <w:rPr>
          <w:sz w:val="20"/>
          <w:szCs w:val="20"/>
          <w:color w:val="auto"/>
        </w:rPr>
      </w:pPr>
      <w:r>
        <w:rPr>
          <w:rFonts w:ascii="Arial" w:cs="Arial" w:eastAsia="Arial" w:hAnsi="Arial"/>
          <w:sz w:val="18"/>
          <w:szCs w:val="18"/>
          <w:color w:val="auto"/>
        </w:rPr>
        <w:t>conference call concerning the 2015 private placement, we agreed to specified liquidated damages in the event we are found to have violated the confidentiality provisions of the subscription agreement in the future.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share price of less than $1.00 may impact our NASDAQ listing.</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If our closing bid price is less than $1.00 for 30 consecutive trading days, we would receive a NASDAQ staff deficiency letter indicating that we are not in compliance with the minimum bid price requirement for continued listing. Such a letter would trigger an automatic 180 calendar day period within which the company could regain compliance. Compliance is regained at any time during this period if the Amarin closing bid price is $1.00 per share or more for a minimum of 10 consecutive trading days. If we do not regain compliance during this period, our ADSs could be delisted from The NASDAQ Global Market, transferred to a listing on The NASDAQ Capital Market, or delisted from the NASDAQ markets altogether. The failure to maintain our listing on The NASDAQ Global Market could harm the liquidity of our ADSs and could have an adverse effect on the market price of our ADSs.</w:t>
      </w:r>
    </w:p>
    <w:p>
      <w:pPr>
        <w:spacing w:after="0" w:line="273" w:lineRule="exact"/>
        <w:rPr>
          <w:sz w:val="20"/>
          <w:szCs w:val="20"/>
          <w:color w:val="auto"/>
        </w:rPr>
      </w:pPr>
    </w:p>
    <w:p>
      <w:pPr>
        <w:ind w:left="260" w:right="420"/>
        <w:spacing w:after="0" w:line="264"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73"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federal tax consequences to U.S. investors.</w:t>
      </w:r>
    </w:p>
    <w:p>
      <w:pPr>
        <w:spacing w:after="0" w:line="14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8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believe it is prudent to assume that we were classified as a PFIC in 2012. We do not believe that we were classified as a PFIC in 2013 through 2016. Our status as a PFIC is subject to change in 2017 and future years.</w:t>
      </w:r>
    </w:p>
    <w:p>
      <w:pPr>
        <w:spacing w:after="0" w:line="170"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Failure to meet our obligations under our Purchase and Sale Agreement with BioPharma could adversely affect our financial results and liquidity.</w:t>
      </w:r>
    </w:p>
    <w:p>
      <w:pPr>
        <w:spacing w:after="0" w:line="140" w:lineRule="exact"/>
        <w:rPr>
          <w:sz w:val="20"/>
          <w:szCs w:val="20"/>
          <w:color w:val="auto"/>
        </w:rPr>
      </w:pPr>
    </w:p>
    <w:p>
      <w:pPr>
        <w:ind w:right="560" w:firstLine="518"/>
        <w:spacing w:after="0" w:line="342" w:lineRule="auto"/>
        <w:rPr>
          <w:sz w:val="20"/>
          <w:szCs w:val="20"/>
          <w:color w:val="auto"/>
        </w:rPr>
      </w:pPr>
      <w:r>
        <w:rPr>
          <w:rFonts w:ascii="Arial" w:cs="Arial" w:eastAsia="Arial" w:hAnsi="Arial"/>
          <w:sz w:val="16"/>
          <w:szCs w:val="16"/>
          <w:color w:val="auto"/>
        </w:rPr>
        <w:t>Pursuant to our December 2012 Purchase and Sale Agreement with BioPharma, we are obligated to make payments to BioPharma based on the amount of our net product sales of Vascepa and any future products based on ethyl-EPA, or covered products, subject to certain quarterly caps.</w:t>
      </w:r>
    </w:p>
    <w:p>
      <w:pPr>
        <w:spacing w:after="0" w:line="124"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BioPharma’s interests under the transaction; (iv) encumber any of the collateral securing our performance under the agreement; and (v) abandon certain patent rights, in each case without the consent of BioPharma.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6" w:name="page77"/>
    <w:bookmarkEnd w:id="76"/>
    <w:p>
      <w:pPr>
        <w:ind w:right="20" w:firstLine="518"/>
        <w:spacing w:after="0" w:line="273" w:lineRule="auto"/>
        <w:rPr>
          <w:sz w:val="20"/>
          <w:szCs w:val="20"/>
          <w:color w:val="auto"/>
        </w:rPr>
      </w:pPr>
      <w:r>
        <w:rPr>
          <w:rFonts w:ascii="Arial" w:cs="Arial" w:eastAsia="Arial" w:hAnsi="Arial"/>
          <w:sz w:val="17"/>
          <w:szCs w:val="17"/>
          <w:color w:val="auto"/>
        </w:rPr>
        <w:t>Upon a transaction resulting in a change of control of Amarin, as defined in the agreement, BioPharma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 collateral securing our debt with BioPharma and (iii), unless BioPharma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7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To secure our obligations under the agreement, we granted BioPharma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BioPharma may attempt to collect the maximum amount payable by us under this agreement (after deducting any payments we have already made).</w:t>
      </w:r>
    </w:p>
    <w:p>
      <w:pPr>
        <w:spacing w:after="0" w:line="193"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existing indebtedness consists of $30.0 million in aggregate principal amount of 3.5% exchangeable senior notes due 2047, or the 2017 Notes.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2017 Notes contain a provision for such notes to be put to us by the holders for repayment in cash on January 19, 2022.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indebtedness and the related annual debt service requirements may adversely impact our business, operations and financial condition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example, they could:</w:t>
      </w:r>
    </w:p>
    <w:p>
      <w:pPr>
        <w:spacing w:after="0" w:line="103"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 to restructure our debt; or</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279" w:lineRule="exact"/>
        <w:rPr>
          <w:sz w:val="20"/>
          <w:szCs w:val="20"/>
          <w:color w:val="auto"/>
        </w:rPr>
      </w:pPr>
    </w:p>
    <w:p>
      <w:pPr>
        <w:ind w:left="260" w:right="560"/>
        <w:spacing w:after="0" w:line="277" w:lineRule="auto"/>
        <w:rPr>
          <w:sz w:val="20"/>
          <w:szCs w:val="20"/>
          <w:color w:val="auto"/>
        </w:rPr>
      </w:pPr>
      <w:r>
        <w:rPr>
          <w:rFonts w:ascii="Arial" w:cs="Arial" w:eastAsia="Arial" w:hAnsi="Arial"/>
          <w:sz w:val="18"/>
          <w:szCs w:val="18"/>
          <w:b w:val="1"/>
          <w:bCs w:val="1"/>
          <w:i w:val="1"/>
          <w:iCs w:val="1"/>
          <w:color w:val="auto"/>
        </w:rPr>
        <w:t>The accounting for convertible debt securities that may be settled in cash, such as our 2017 Notes, could have a material effect on our reported financial results.</w:t>
      </w:r>
    </w:p>
    <w:p>
      <w:pPr>
        <w:spacing w:after="0" w:line="62"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Under the FASB Accounting Standards Codification, or ASC, we are required to separately account for the liability and equity components of the convertible debt instruments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consolidated balance sheets and the value of the equity component would be treated as original issue discount for purposes of accounting for the debt component of the notes. As a result, we are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66"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70"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Our ability to make scheduled payments of the principal,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7" w:name="page78"/>
    <w:bookmarkEnd w:id="77"/>
    <w:p>
      <w:pPr>
        <w:ind w:right="160"/>
        <w:spacing w:after="0" w:line="302" w:lineRule="auto"/>
        <w:rPr>
          <w:sz w:val="20"/>
          <w:szCs w:val="20"/>
          <w:color w:val="auto"/>
        </w:rPr>
      </w:pPr>
      <w:r>
        <w:rPr>
          <w:rFonts w:ascii="Arial" w:cs="Arial" w:eastAsia="Arial" w:hAnsi="Arial"/>
          <w:sz w:val="16"/>
          <w:szCs w:val="16"/>
          <w:color w:val="auto"/>
        </w:rPr>
        <w:t>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54"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73" w:lineRule="exact"/>
        <w:rPr>
          <w:sz w:val="20"/>
          <w:szCs w:val="20"/>
          <w:color w:val="auto"/>
        </w:rPr>
      </w:pPr>
    </w:p>
    <w:p>
      <w:pPr>
        <w:ind w:left="1040" w:right="80" w:hanging="519"/>
        <w:spacing w:after="0" w:line="264"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73" w:lineRule="exact"/>
        <w:rPr>
          <w:rFonts w:ascii="Arial" w:cs="Arial" w:eastAsia="Arial" w:hAnsi="Arial"/>
          <w:sz w:val="18"/>
          <w:szCs w:val="18"/>
          <w:color w:val="auto"/>
        </w:rPr>
      </w:pPr>
    </w:p>
    <w:p>
      <w:pPr>
        <w:ind w:left="1040" w:right="480" w:hanging="519"/>
        <w:spacing w:after="0" w:line="342" w:lineRule="auto"/>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5" w:lineRule="exact"/>
        <w:rPr>
          <w:rFonts w:ascii="Arial" w:cs="Arial" w:eastAsia="Arial" w:hAnsi="Arial"/>
          <w:sz w:val="16"/>
          <w:szCs w:val="16"/>
          <w:color w:val="auto"/>
        </w:rPr>
      </w:pPr>
    </w:p>
    <w:p>
      <w:pPr>
        <w:ind w:left="1040" w:right="260" w:hanging="519"/>
        <w:spacing w:after="0" w:line="312" w:lineRule="auto"/>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38" w:lineRule="exact"/>
        <w:rPr>
          <w:rFonts w:ascii="Arial" w:cs="Arial" w:eastAsia="Arial" w:hAnsi="Arial"/>
          <w:sz w:val="16"/>
          <w:szCs w:val="16"/>
          <w:color w:val="auto"/>
        </w:rPr>
      </w:pPr>
    </w:p>
    <w:p>
      <w:pPr>
        <w:ind w:left="1040" w:right="60" w:hanging="519"/>
        <w:spacing w:after="0" w:line="25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80" w:lineRule="exact"/>
        <w:rPr>
          <w:rFonts w:ascii="Arial" w:cs="Arial" w:eastAsia="Arial" w:hAnsi="Arial"/>
          <w:sz w:val="18"/>
          <w:szCs w:val="18"/>
          <w:color w:val="auto"/>
        </w:rPr>
      </w:pPr>
    </w:p>
    <w:p>
      <w:pPr>
        <w:ind w:left="1040" w:right="20" w:hanging="519"/>
        <w:spacing w:after="0" w:line="291" w:lineRule="auto"/>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59" w:lineRule="exact"/>
        <w:rPr>
          <w:rFonts w:ascii="Arial" w:cs="Arial" w:eastAsia="Arial" w:hAnsi="Arial"/>
          <w:sz w:val="16"/>
          <w:szCs w:val="16"/>
          <w:color w:val="auto"/>
        </w:rPr>
      </w:pPr>
    </w:p>
    <w:p>
      <w:pPr>
        <w:ind w:left="1040" w:right="20" w:hanging="519"/>
        <w:spacing w:after="0" w:line="302" w:lineRule="auto"/>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46" w:lineRule="exact"/>
        <w:rPr>
          <w:rFonts w:ascii="Arial" w:cs="Arial" w:eastAsia="Arial" w:hAnsi="Arial"/>
          <w:sz w:val="16"/>
          <w:szCs w:val="16"/>
          <w:color w:val="auto"/>
        </w:rPr>
      </w:pPr>
    </w:p>
    <w:p>
      <w:pPr>
        <w:ind w:left="1040" w:hanging="519"/>
        <w:spacing w:after="0" w:line="276" w:lineRule="auto"/>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8" w:name="page79"/>
    <w:bookmarkEnd w:id="78"/>
    <w:p>
      <w:pPr>
        <w:ind w:left="2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17"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273" w:lineRule="exact"/>
        <w:rPr>
          <w:sz w:val="20"/>
          <w:szCs w:val="20"/>
          <w:color w:val="auto"/>
        </w:rPr>
      </w:pPr>
    </w:p>
    <w:p>
      <w:pPr>
        <w:ind w:left="260" w:right="260"/>
        <w:spacing w:after="0" w:line="277"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6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160" w:type="dxa"/>
            <w:vAlign w:val="bottom"/>
            <w:gridSpan w:val="3"/>
          </w:tcPr>
          <w:p>
            <w:pPr>
              <w:ind w:left="28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7040" w:type="dxa"/>
            <w:vAlign w:val="bottom"/>
            <w:gridSpan w:val="4"/>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7040" w:type="dxa"/>
            <w:vAlign w:val="bottom"/>
            <w:gridSpan w:val="4"/>
          </w:tcPr>
          <w:p>
            <w:pPr>
              <w:ind w:left="520"/>
              <w:spacing w:after="0"/>
              <w:rPr>
                <w:sz w:val="20"/>
                <w:szCs w:val="20"/>
                <w:color w:val="auto"/>
              </w:rPr>
            </w:pPr>
            <w:r>
              <w:rPr>
                <w:rFonts w:ascii="Arial" w:cs="Arial" w:eastAsia="Arial" w:hAnsi="Arial"/>
                <w:sz w:val="18"/>
                <w:szCs w:val="18"/>
                <w:color w:val="auto"/>
              </w:rPr>
              <w:t>Shares purchased in the third quarter of 2017 are as follows:</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5"/>
        </w:trPr>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Total Number of</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Average Price</w:t>
            </w:r>
          </w:p>
        </w:tc>
      </w:tr>
      <w:tr>
        <w:trPr>
          <w:trHeight w:val="171"/>
        </w:trPr>
        <w:tc>
          <w:tcPr>
            <w:tcW w:w="880" w:type="dxa"/>
            <w:vAlign w:val="bottom"/>
          </w:tcPr>
          <w:p>
            <w:pPr>
              <w:spacing w:after="0"/>
              <w:rPr>
                <w:sz w:val="14"/>
                <w:szCs w:val="14"/>
                <w:color w:val="auto"/>
              </w:rPr>
            </w:pPr>
          </w:p>
        </w:tc>
        <w:tc>
          <w:tcPr>
            <w:tcW w:w="6160" w:type="dxa"/>
            <w:vAlign w:val="bottom"/>
            <w:gridSpan w:val="3"/>
          </w:tcPr>
          <w:p>
            <w:pPr>
              <w:ind w:left="840"/>
              <w:spacing w:after="0"/>
              <w:rPr>
                <w:sz w:val="20"/>
                <w:szCs w:val="20"/>
                <w:color w:val="auto"/>
              </w:rPr>
            </w:pPr>
            <w:r>
              <w:rPr>
                <w:rFonts w:ascii="Arial" w:cs="Arial" w:eastAsia="Arial" w:hAnsi="Arial"/>
                <w:sz w:val="14"/>
                <w:szCs w:val="14"/>
                <w:b w:val="1"/>
                <w:bCs w:val="1"/>
                <w:i w:val="1"/>
                <w:iCs w:val="1"/>
                <w:color w:val="auto"/>
              </w:rPr>
              <w:t>Period</w:t>
            </w: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 xml:space="preserve">Shares Purchased </w:t>
            </w:r>
            <w:r>
              <w:rPr>
                <w:rFonts w:ascii="Arial" w:cs="Arial" w:eastAsia="Arial" w:hAnsi="Arial"/>
                <w:sz w:val="12"/>
                <w:szCs w:val="12"/>
                <w:b w:val="1"/>
                <w:bCs w:val="1"/>
                <w:color w:val="auto"/>
                <w:w w:val="89"/>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Paid per Share</w:t>
            </w:r>
          </w:p>
        </w:tc>
      </w:tr>
      <w:tr>
        <w:trPr>
          <w:trHeight w:val="223"/>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July 1 – 31, 2017</w:t>
            </w:r>
          </w:p>
        </w:tc>
        <w:tc>
          <w:tcPr>
            <w:tcW w:w="1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August 1 – 31, 2017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September 1 – 30, 2017</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43,617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FF0FC"/>
          </w:tcPr>
          <w:p>
            <w:pPr>
              <w:spacing w:after="0"/>
              <w:rPr>
                <w:sz w:val="19"/>
                <w:szCs w:val="19"/>
                <w:color w:val="auto"/>
              </w:rPr>
            </w:pPr>
          </w:p>
        </w:tc>
      </w:tr>
      <w:tr>
        <w:trPr>
          <w:trHeight w:val="223"/>
        </w:trPr>
        <w:tc>
          <w:tcPr>
            <w:tcW w:w="880" w:type="dxa"/>
            <w:vAlign w:val="bottom"/>
          </w:tcPr>
          <w:p>
            <w:pPr>
              <w:spacing w:after="0"/>
              <w:rPr>
                <w:sz w:val="19"/>
                <w:szCs w:val="19"/>
                <w:color w:val="auto"/>
              </w:rPr>
            </w:pPr>
          </w:p>
        </w:tc>
        <w:tc>
          <w:tcPr>
            <w:tcW w:w="6160" w:type="dxa"/>
            <w:vAlign w:val="bottom"/>
            <w:gridSpan w:val="3"/>
          </w:tcPr>
          <w:p>
            <w:pPr>
              <w:ind w:left="84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9"/>
                <w:szCs w:val="19"/>
                <w:color w:val="auto"/>
              </w:rPr>
            </w:pPr>
          </w:p>
        </w:tc>
      </w:tr>
    </w:tbl>
    <w:p>
      <w:pPr>
        <w:spacing w:after="0" w:line="242" w:lineRule="exact"/>
        <w:rPr>
          <w:sz w:val="20"/>
          <w:szCs w:val="20"/>
          <w:color w:val="auto"/>
        </w:rPr>
      </w:pPr>
    </w:p>
    <w:p>
      <w:pPr>
        <w:ind w:left="520" w:right="120" w:hanging="512"/>
        <w:spacing w:after="0" w:line="277" w:lineRule="auto"/>
        <w:tabs>
          <w:tab w:leader="none" w:pos="520" w:val="left"/>
        </w:tabs>
        <w:numPr>
          <w:ilvl w:val="0"/>
          <w:numId w:val="45"/>
        </w:numPr>
        <w:rPr>
          <w:rFonts w:ascii="Arial" w:cs="Arial" w:eastAsia="Arial" w:hAnsi="Arial"/>
          <w:sz w:val="15"/>
          <w:szCs w:val="15"/>
          <w:color w:val="auto"/>
        </w:rPr>
      </w:pPr>
      <w:r>
        <w:rPr>
          <w:rFonts w:ascii="Arial" w:cs="Arial" w:eastAsia="Arial" w:hAnsi="Arial"/>
          <w:sz w:val="18"/>
          <w:szCs w:val="18"/>
          <w:color w:val="auto"/>
        </w:rPr>
        <w:t>Represents shares withheld to satisfy tax withholding amounts due from employees related to the receipt of stock which resulted from the exercise or vesting of equity awards.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gridSpan w:val="6"/>
          </w:tcPr>
          <w:p>
            <w:pPr>
              <w:spacing w:after="0"/>
              <w:rPr>
                <w:sz w:val="20"/>
                <w:szCs w:val="20"/>
                <w:color w:val="auto"/>
              </w:rPr>
            </w:pPr>
            <w:r>
              <w:rPr>
                <w:rFonts w:ascii="Arial" w:cs="Arial" w:eastAsia="Arial" w:hAnsi="Arial"/>
                <w:sz w:val="18"/>
                <w:szCs w:val="18"/>
                <w:b w:val="1"/>
                <w:bCs w:val="1"/>
                <w:color w:val="auto"/>
              </w:rPr>
              <w:t>Exhibits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0" w:type="dxa"/>
            <w:vAlign w:val="bottom"/>
            <w:gridSpan w:val="8"/>
          </w:tcPr>
          <w:p>
            <w:pPr>
              <w:ind w:left="100"/>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00" w:type="dxa"/>
            <w:vAlign w:val="bottom"/>
          </w:tcPr>
          <w:p>
            <w:pPr>
              <w:spacing w:after="0"/>
              <w:rPr>
                <w:sz w:val="24"/>
                <w:szCs w:val="2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3140" w:type="dxa"/>
            <w:vAlign w:val="bottom"/>
          </w:tcPr>
          <w:p>
            <w:pPr>
              <w:spacing w:after="0"/>
              <w:rPr>
                <w:sz w:val="24"/>
                <w:szCs w:val="24"/>
                <w:color w:val="auto"/>
              </w:rPr>
            </w:pPr>
          </w:p>
        </w:tc>
        <w:tc>
          <w:tcPr>
            <w:tcW w:w="7120" w:type="dxa"/>
            <w:vAlign w:val="bottom"/>
            <w:gridSpan w:val="5"/>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3140" w:type="dxa"/>
            <w:vAlign w:val="bottom"/>
          </w:tcPr>
          <w:p>
            <w:pPr>
              <w:spacing w:after="0"/>
              <w:rPr>
                <w:sz w:val="14"/>
                <w:szCs w:val="14"/>
                <w:color w:val="auto"/>
              </w:rPr>
            </w:pPr>
          </w:p>
        </w:tc>
        <w:tc>
          <w:tcPr>
            <w:tcW w:w="712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420" w:type="dxa"/>
            <w:vAlign w:val="bottom"/>
            <w:tcBorders>
              <w:top w:val="single" w:sz="8" w:color="auto"/>
            </w:tcBorders>
            <w:gridSpan w:val="2"/>
          </w:tcPr>
          <w:p>
            <w:pPr>
              <w:ind w:left="100"/>
              <w:spacing w:after="0"/>
              <w:rPr>
                <w:rFonts w:ascii="Arial" w:cs="Arial" w:eastAsia="Arial" w:hAnsi="Arial"/>
                <w:sz w:val="18"/>
                <w:szCs w:val="18"/>
                <w:color w:val="0000EE"/>
                <w:w w:val="85"/>
              </w:rPr>
            </w:pPr>
            <w:hyperlink w:anchor="page82">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Borders>
              <w:top w:val="single" w:sz="8" w:color="auto"/>
            </w:tcBorders>
            <w:gridSpan w:val="6"/>
          </w:tcPr>
          <w:p>
            <w:pPr>
              <w:spacing w:after="0"/>
              <w:rPr>
                <w:rFonts w:ascii="Arial" w:cs="Arial" w:eastAsia="Arial" w:hAnsi="Arial"/>
                <w:sz w:val="18"/>
                <w:szCs w:val="18"/>
                <w:color w:val="0000EE"/>
                <w:w w:val="93"/>
              </w:rPr>
            </w:pPr>
            <w:hyperlink w:anchor="page82">
              <w:r>
                <w:rPr>
                  <w:rFonts w:ascii="Arial" w:cs="Arial" w:eastAsia="Arial" w:hAnsi="Arial"/>
                  <w:sz w:val="18"/>
                  <w:szCs w:val="18"/>
                  <w:color w:val="0000EE"/>
                  <w:w w:val="93"/>
                </w:rPr>
                <w:t>Certification of President and Chief Executive Officer (Principal Executive Officer) pursuant to Section 302 of Sarbanes-Oxley Act of 2002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0" w:type="dxa"/>
            <w:vAlign w:val="bottom"/>
            <w:gridSpan w:val="2"/>
          </w:tcPr>
          <w:p>
            <w:pPr>
              <w:ind w:left="100"/>
              <w:spacing w:after="0"/>
              <w:rPr>
                <w:rFonts w:ascii="Arial" w:cs="Arial" w:eastAsia="Arial" w:hAnsi="Arial"/>
                <w:sz w:val="18"/>
                <w:szCs w:val="18"/>
                <w:color w:val="0000EE"/>
                <w:w w:val="85"/>
              </w:rPr>
            </w:pPr>
            <w:hyperlink w:anchor="page83">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6"/>
          </w:tcPr>
          <w:p>
            <w:pPr>
              <w:spacing w:after="0"/>
              <w:rPr>
                <w:rFonts w:ascii="Arial" w:cs="Arial" w:eastAsia="Arial" w:hAnsi="Arial"/>
                <w:sz w:val="18"/>
                <w:szCs w:val="18"/>
                <w:color w:val="0000EE"/>
                <w:w w:val="94"/>
              </w:rPr>
            </w:pPr>
            <w:hyperlink w:anchor="page83">
              <w:r>
                <w:rPr>
                  <w:rFonts w:ascii="Arial" w:cs="Arial" w:eastAsia="Arial" w:hAnsi="Arial"/>
                  <w:sz w:val="18"/>
                  <w:szCs w:val="18"/>
                  <w:color w:val="0000EE"/>
                  <w:w w:val="94"/>
                </w:rPr>
                <w:t>Certification of Senior Vice President and Chief Financial Officer (Principal Financial Officer and Principal Accounting Officer) pursuant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Section 302 of Sarbanes-Oxley Act of 2002</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0" w:type="dxa"/>
            <w:vAlign w:val="bottom"/>
            <w:gridSpan w:val="2"/>
          </w:tcPr>
          <w:p>
            <w:pPr>
              <w:ind w:left="100"/>
              <w:spacing w:after="0"/>
              <w:rPr>
                <w:rFonts w:ascii="Arial" w:cs="Arial" w:eastAsia="Arial" w:hAnsi="Arial"/>
                <w:sz w:val="18"/>
                <w:szCs w:val="18"/>
                <w:color w:val="0000EE"/>
                <w:w w:val="85"/>
              </w:rPr>
            </w:pPr>
            <w:hyperlink w:anchor="page84">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6"/>
          </w:tcPr>
          <w:p>
            <w:pPr>
              <w:spacing w:after="0"/>
              <w:rPr>
                <w:rFonts w:ascii="Arial" w:cs="Arial" w:eastAsia="Arial" w:hAnsi="Arial"/>
                <w:sz w:val="18"/>
                <w:szCs w:val="18"/>
                <w:color w:val="0000EE"/>
                <w:w w:val="95"/>
              </w:rPr>
            </w:pPr>
            <w:hyperlink w:anchor="page84">
              <w:r>
                <w:rPr>
                  <w:rFonts w:ascii="Arial" w:cs="Arial" w:eastAsia="Arial" w:hAnsi="Arial"/>
                  <w:sz w:val="18"/>
                  <w:szCs w:val="18"/>
                  <w:color w:val="0000EE"/>
                  <w:w w:val="95"/>
                </w:rPr>
                <w:t>Certification of President and Chief Executive Officer (Principal Executive Officer) and Senior Vice President and Chief Financial Officer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84">
              <w:r>
                <w:rPr>
                  <w:rFonts w:ascii="Arial" w:cs="Arial" w:eastAsia="Arial" w:hAnsi="Arial"/>
                  <w:sz w:val="18"/>
                  <w:szCs w:val="18"/>
                  <w:color w:val="0000EE"/>
                  <w:w w:val="92"/>
                </w:rPr>
                <w:t>(Principal Financial Officer and Principal Accounting Officer) pursuant to Section 906 of Sarbanes-Oxley Act of 2002</w:t>
              </w:r>
            </w:hyperlink>
          </w:p>
        </w:tc>
        <w:tc>
          <w:tcPr>
            <w:tcW w:w="1420" w:type="dxa"/>
            <w:vAlign w:val="bottom"/>
            <w:tcBorders>
              <w:top w:val="single" w:sz="8" w:color="0000EE"/>
            </w:tcBorders>
          </w:tcPr>
          <w:p>
            <w:pPr>
              <w:spacing w:after="0"/>
              <w:rPr>
                <w:sz w:val="17"/>
                <w:szCs w:val="17"/>
                <w:color w:val="auto"/>
              </w:rPr>
            </w:pPr>
          </w:p>
        </w:tc>
        <w:tc>
          <w:tcPr>
            <w:tcW w:w="3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60" w:type="dxa"/>
            <w:vAlign w:val="bottom"/>
            <w:gridSpan w:val="4"/>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4"/>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4"/>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40" w:type="dxa"/>
            <w:vAlign w:val="bottom"/>
            <w:gridSpan w:val="2"/>
          </w:tcPr>
          <w:p>
            <w:pPr>
              <w:ind w:left="4460"/>
              <w:spacing w:after="0"/>
              <w:rPr>
                <w:sz w:val="20"/>
                <w:szCs w:val="20"/>
                <w:color w:val="auto"/>
              </w:rPr>
            </w:pPr>
            <w:r>
              <w:rPr>
                <w:rFonts w:ascii="Arial" w:cs="Arial" w:eastAsia="Arial" w:hAnsi="Arial"/>
                <w:sz w:val="18"/>
                <w:szCs w:val="18"/>
                <w:color w:val="auto"/>
              </w:rPr>
              <w:t>80</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54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0" w:name="page81"/>
    <w:bookmarkEnd w:id="80"/>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AMARIN CORPORATION PLC</w:t>
      </w:r>
    </w:p>
    <w:p>
      <w:pPr>
        <w:spacing w:after="0" w:line="252"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John F. Thero</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(On behalf of the Registrant)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2017</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00"/>
          </w:cols>
          <w:pgMar w:left="240" w:top="121" w:right="35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117"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 November 1, 2017</w:t>
            </w:r>
          </w:p>
        </w:tc>
        <w:tc>
          <w:tcPr>
            <w:tcW w:w="5600" w:type="dxa"/>
            <w:vAlign w:val="bottom"/>
            <w:tcBorders>
              <w:bottom w:val="single" w:sz="8" w:color="auto"/>
            </w:tcBorders>
          </w:tcPr>
          <w:p>
            <w:pPr>
              <w:ind w:left="1960"/>
              <w:spacing w:after="0"/>
              <w:rPr>
                <w:sz w:val="20"/>
                <w:szCs w:val="20"/>
                <w:color w:val="auto"/>
              </w:rPr>
            </w:pPr>
            <w:r>
              <w:rPr>
                <w:rFonts w:ascii="Arial" w:cs="Arial" w:eastAsia="Arial" w:hAnsi="Arial"/>
                <w:sz w:val="18"/>
                <w:szCs w:val="18"/>
                <w:color w:val="auto"/>
              </w:rPr>
              <w:t>/s/  John F. Thero</w:t>
            </w:r>
          </w:p>
        </w:tc>
      </w:tr>
      <w:tr>
        <w:trPr>
          <w:trHeight w:val="195"/>
        </w:trPr>
        <w:tc>
          <w:tcPr>
            <w:tcW w:w="5820" w:type="dxa"/>
            <w:vAlign w:val="bottom"/>
          </w:tcPr>
          <w:p>
            <w:pPr>
              <w:spacing w:after="0"/>
              <w:rPr>
                <w:sz w:val="16"/>
                <w:szCs w:val="16"/>
                <w:color w:val="auto"/>
              </w:rPr>
            </w:pPr>
          </w:p>
        </w:tc>
        <w:tc>
          <w:tcPr>
            <w:tcW w:w="5600" w:type="dxa"/>
            <w:vAlign w:val="bottom"/>
          </w:tcPr>
          <w:p>
            <w:pPr>
              <w:jc w:val="center"/>
              <w:spacing w:after="0" w:line="195" w:lineRule="exact"/>
              <w:rPr>
                <w:sz w:val="20"/>
                <w:szCs w:val="20"/>
                <w:color w:val="auto"/>
              </w:rPr>
            </w:pPr>
            <w:r>
              <w:rPr>
                <w:rFonts w:ascii="Arial" w:cs="Arial" w:eastAsia="Arial" w:hAnsi="Arial"/>
                <w:sz w:val="18"/>
                <w:szCs w:val="18"/>
                <w:color w:val="auto"/>
                <w:w w:val="89"/>
              </w:rPr>
              <w:t>John F. Thero</w:t>
            </w:r>
          </w:p>
        </w:tc>
      </w:tr>
      <w:tr>
        <w:trPr>
          <w:trHeight w:val="216"/>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58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W. Kalb, certify that:</w:t>
      </w:r>
    </w:p>
    <w:p>
      <w:pPr>
        <w:spacing w:after="0" w:line="117"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 November 1, 2017</w:t>
            </w: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W. Kalb</w:t>
            </w:r>
          </w:p>
        </w:tc>
      </w:tr>
      <w:tr>
        <w:trPr>
          <w:trHeight w:val="195"/>
        </w:trPr>
        <w:tc>
          <w:tcPr>
            <w:tcW w:w="5820" w:type="dxa"/>
            <w:vAlign w:val="bottom"/>
          </w:tcPr>
          <w:p>
            <w:pPr>
              <w:spacing w:after="0"/>
              <w:rPr>
                <w:sz w:val="16"/>
                <w:szCs w:val="16"/>
                <w:color w:val="auto"/>
              </w:rPr>
            </w:pPr>
          </w:p>
        </w:tc>
        <w:tc>
          <w:tcPr>
            <w:tcW w:w="5600" w:type="dxa"/>
            <w:vAlign w:val="bottom"/>
          </w:tcPr>
          <w:p>
            <w:pPr>
              <w:jc w:val="center"/>
              <w:spacing w:after="0" w:line="195" w:lineRule="exact"/>
              <w:rPr>
                <w:sz w:val="20"/>
                <w:szCs w:val="20"/>
                <w:color w:val="auto"/>
              </w:rPr>
            </w:pPr>
            <w:r>
              <w:rPr>
                <w:rFonts w:ascii="Arial" w:cs="Arial" w:eastAsia="Arial" w:hAnsi="Arial"/>
                <w:sz w:val="18"/>
                <w:szCs w:val="18"/>
                <w:color w:val="auto"/>
                <w:w w:val="93"/>
              </w:rPr>
              <w:t>Michael W. Kalb</w:t>
            </w:r>
          </w:p>
        </w:tc>
      </w:tr>
      <w:tr>
        <w:trPr>
          <w:trHeight w:val="216"/>
        </w:trPr>
        <w:tc>
          <w:tcPr>
            <w:tcW w:w="582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58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and Section 1350 of Chapter 63 of Title 18 of the United States Code (18 U.S.C. §1350), John F. Thero,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79" w:lineRule="exact"/>
        <w:rPr>
          <w:sz w:val="20"/>
          <w:szCs w:val="20"/>
          <w:color w:val="auto"/>
        </w:rPr>
      </w:pPr>
    </w:p>
    <w:p>
      <w:pPr>
        <w:ind w:left="520" w:right="180" w:hanging="512"/>
        <w:spacing w:after="0" w:line="308"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September 30, 2017, to which this Certification is attached as Exhibit 32.1 (the “Quarterly Report”) fully complies with the requirements of Section 13(a) or 15(d) of the Securities Exchange Act of 1934; and</w:t>
      </w:r>
    </w:p>
    <w:p>
      <w:pPr>
        <w:spacing w:after="0" w:line="38" w:lineRule="exact"/>
        <w:rPr>
          <w:rFonts w:ascii="Arial" w:cs="Arial" w:eastAsia="Arial" w:hAnsi="Arial"/>
          <w:sz w:val="17"/>
          <w:szCs w:val="17"/>
          <w:color w:val="auto"/>
        </w:rPr>
      </w:pPr>
    </w:p>
    <w:p>
      <w:pPr>
        <w:ind w:left="520" w:right="500" w:hanging="512"/>
        <w:spacing w:after="0" w:line="277"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vMerge w:val="restart"/>
          </w:tcPr>
          <w:p>
            <w:pPr>
              <w:spacing w:after="0"/>
              <w:rPr>
                <w:sz w:val="20"/>
                <w:szCs w:val="20"/>
                <w:color w:val="auto"/>
              </w:rPr>
            </w:pPr>
            <w:r>
              <w:rPr>
                <w:rFonts w:ascii="Arial" w:cs="Arial" w:eastAsia="Arial" w:hAnsi="Arial"/>
                <w:sz w:val="18"/>
                <w:szCs w:val="18"/>
                <w:color w:val="auto"/>
              </w:rPr>
              <w:t>Date: November 1, 2017</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John F. Thero</w:t>
            </w:r>
          </w:p>
        </w:tc>
        <w:tc>
          <w:tcPr>
            <w:tcW w:w="0" w:type="dxa"/>
            <w:vAlign w:val="bottom"/>
          </w:tcPr>
          <w:p>
            <w:pPr>
              <w:spacing w:after="0"/>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John F. Thero</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32"/>
        </w:trPr>
        <w:tc>
          <w:tcPr>
            <w:tcW w:w="5820" w:type="dxa"/>
            <w:vAlign w:val="bottom"/>
            <w:vMerge w:val="restart"/>
          </w:tcPr>
          <w:p>
            <w:pPr>
              <w:spacing w:after="0"/>
              <w:rPr>
                <w:sz w:val="20"/>
                <w:szCs w:val="20"/>
                <w:color w:val="auto"/>
              </w:rPr>
            </w:pPr>
            <w:r>
              <w:rPr>
                <w:rFonts w:ascii="Arial" w:cs="Arial" w:eastAsia="Arial" w:hAnsi="Arial"/>
                <w:sz w:val="18"/>
                <w:szCs w:val="18"/>
                <w:color w:val="auto"/>
              </w:rPr>
              <w:t>Date: November 1, 2017</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Michael W. Kalb</w:t>
            </w:r>
          </w:p>
        </w:tc>
        <w:tc>
          <w:tcPr>
            <w:tcW w:w="0" w:type="dxa"/>
            <w:vAlign w:val="bottom"/>
          </w:tcPr>
          <w:p>
            <w:pPr>
              <w:spacing w:after="0"/>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5600" w:type="dxa"/>
            <w:vAlign w:val="bottom"/>
            <w:gridSpan w:val="2"/>
          </w:tcPr>
          <w:p>
            <w:pPr>
              <w:spacing w:after="0" w:line="195" w:lineRule="exact"/>
              <w:rPr>
                <w:sz w:val="20"/>
                <w:szCs w:val="20"/>
                <w:color w:val="auto"/>
              </w:rPr>
            </w:pPr>
            <w:r>
              <w:rPr>
                <w:rFonts w:ascii="Arial" w:cs="Arial" w:eastAsia="Arial" w:hAnsi="Arial"/>
                <w:sz w:val="18"/>
                <w:szCs w:val="18"/>
                <w:color w:val="auto"/>
              </w:rPr>
              <w:t>Michael W. Kalb</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1)"/>
      <w:numFmt w:val="lowerLetter"/>
      <w:start w:val="2"/>
    </w:lvl>
  </w:abstractNum>
  <w:abstractNum w:abstractNumId="5">
    <w:nsid w:val="54E49EB4"/>
    <w:multiLevelType w:val="hybridMultilevel"/>
    <w:lvl w:ilvl="0">
      <w:lvlJc w:val="left"/>
      <w:lvlText w:val="(%1)"/>
      <w:numFmt w:val="lowerRoman"/>
      <w:start w:val="1"/>
    </w:lvl>
  </w:abstractNum>
  <w:abstractNum w:abstractNumId="6">
    <w:nsid w:val="71F32454"/>
    <w:multiLevelType w:val="hybridMultilevel"/>
    <w:lvl w:ilvl="0">
      <w:lvlJc w:val="left"/>
      <w:lvlText w:val="(%1)"/>
      <w:numFmt w:val="decimal"/>
      <w:start w:val="3"/>
    </w:lvl>
  </w:abstractNum>
  <w:abstractNum w:abstractNumId="7">
    <w:nsid w:val="2CA88611"/>
    <w:multiLevelType w:val="hybridMultilevel"/>
    <w:lvl w:ilvl="0">
      <w:lvlJc w:val="left"/>
      <w:lvlText w:val="(%1)"/>
      <w:numFmt w:val="decimal"/>
      <w:start w:val="4"/>
    </w:lvl>
  </w:abstractNum>
  <w:abstractNum w:abstractNumId="8">
    <w:nsid w:val="836C40E"/>
    <w:multiLevelType w:val="hybridMultilevel"/>
    <w:lvl w:ilvl="0">
      <w:lvlJc w:val="left"/>
      <w:lvlText w:val="(%1)"/>
      <w:numFmt w:val="decimal"/>
      <w:start w:val="5"/>
    </w:lvl>
  </w:abstractNum>
  <w:abstractNum w:abstractNumId="9">
    <w:nsid w:val="2901D82"/>
    <w:multiLevelType w:val="hybridMultilevel"/>
    <w:lvl w:ilvl="0">
      <w:lvlJc w:val="left"/>
      <w:lvlText w:val="(%1)"/>
      <w:numFmt w:val="decimal"/>
      <w:start w:val="6"/>
    </w:lvl>
  </w:abstractNum>
  <w:abstractNum w:abstractNumId="10">
    <w:nsid w:val="3A95F874"/>
    <w:multiLevelType w:val="hybridMultilevel"/>
    <w:lvl w:ilvl="0">
      <w:lvlJc w:val="left"/>
      <w:lvlText w:val="(%1)"/>
      <w:numFmt w:val="decimal"/>
      <w:start w:val="7"/>
    </w:lvl>
  </w:abstractNum>
  <w:abstractNum w:abstractNumId="11">
    <w:nsid w:val="8138641"/>
    <w:multiLevelType w:val="hybridMultilevel"/>
    <w:lvl w:ilvl="0">
      <w:lvlJc w:val="left"/>
      <w:lvlText w:val="(%1)"/>
      <w:numFmt w:val="lowerLetter"/>
      <w:start w:val="1"/>
    </w:lvl>
  </w:abstractNum>
  <w:abstractNum w:abstractNumId="12">
    <w:nsid w:val="1E7FF521"/>
    <w:multiLevelType w:val="hybridMultilevel"/>
    <w:lvl w:ilvl="0">
      <w:lvlJc w:val="left"/>
      <w:lvlText w:val="(%1)"/>
      <w:numFmt w:val="decimal"/>
      <w:start w:val="8"/>
    </w:lvl>
  </w:abstractNum>
  <w:abstractNum w:abstractNumId="13">
    <w:nsid w:val="7C3DBD3D"/>
    <w:multiLevelType w:val="hybridMultilevel"/>
    <w:lvl w:ilvl="0">
      <w:lvlJc w:val="left"/>
      <w:lvlText w:val="(%1)"/>
      <w:numFmt w:val="decimal"/>
      <w:start w:val="9"/>
    </w:lvl>
  </w:abstractNum>
  <w:abstractNum w:abstractNumId="14">
    <w:nsid w:val="737B8DDC"/>
    <w:multiLevelType w:val="hybridMultilevel"/>
    <w:lvl w:ilvl="0">
      <w:lvlJc w:val="left"/>
      <w:lvlText w:val="(%1)"/>
      <w:numFmt w:val="decimal"/>
      <w:start w:val="10"/>
    </w:lvl>
  </w:abstractNum>
  <w:abstractNum w:abstractNumId="15">
    <w:nsid w:val="6CEAF087"/>
    <w:multiLevelType w:val="hybridMultilevel"/>
    <w:lvl w:ilvl="0">
      <w:lvlJc w:val="left"/>
      <w:lvlText w:val="(%1)"/>
      <w:numFmt w:val="lowerRoman"/>
      <w:start w:val="2"/>
    </w:lvl>
  </w:abstractNum>
  <w:abstractNum w:abstractNumId="16">
    <w:nsid w:val="22221A70"/>
    <w:multiLevelType w:val="hybridMultilevel"/>
    <w:lvl w:ilvl="0">
      <w:lvlJc w:val="left"/>
      <w:lvlText w:val="%1"/>
      <w:numFmt w:val="decimal"/>
      <w:start w:val="1"/>
    </w:lvl>
    <w:lvl w:ilvl="1">
      <w:lvlJc w:val="left"/>
      <w:lvlText w:val="(%2)"/>
      <w:numFmt w:val="decimal"/>
      <w:start w:val="1"/>
    </w:lvl>
  </w:abstractNum>
  <w:abstractNum w:abstractNumId="17">
    <w:nsid w:val="4516DDE9"/>
    <w:multiLevelType w:val="hybridMultilevel"/>
    <w:lvl w:ilvl="0">
      <w:lvlJc w:val="left"/>
      <w:lvlText w:val="(%1)"/>
      <w:numFmt w:val="decimal"/>
      <w:start w:val="3"/>
    </w:lvl>
    <w:lvl w:ilvl="1">
      <w:lvlJc w:val="left"/>
      <w:lvlText w:val="%2"/>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2"/>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2"/>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upperLetter"/>
      <w:start w:val="9"/>
    </w:lvl>
  </w:abstractNum>
  <w:abstractNum w:abstractNumId="29">
    <w:nsid w:val="5E884ADC"/>
    <w:multiLevelType w:val="hybridMultilevel"/>
    <w:lvl w:ilvl="0">
      <w:lvlJc w:val="left"/>
      <w:lvlText w:val="(%1)"/>
      <w:numFmt w:val="upperLetter"/>
      <w:start w:val="35"/>
    </w:lvl>
  </w:abstractNum>
  <w:abstractNum w:abstractNumId="30">
    <w:nsid w:val="51EAD36B"/>
    <w:multiLevelType w:val="hybridMultilevel"/>
    <w:lvl w:ilvl="0">
      <w:lvlJc w:val="left"/>
      <w:lvlText w:val="(%1)"/>
      <w:numFmt w:val="upperLetter"/>
      <w:start w:val="6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2019-12-29T03:32:52Z</dcterms:created>
  <dcterms:modified xsi:type="dcterms:W3CDTF">2019-12-29T03:32:52Z</dcterms:modified>
</cp:coreProperties>
</file>