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69" w:lineRule="exact"/>
        <w:rPr>
          <w:sz w:val="24"/>
          <w:szCs w:val="24"/>
          <w:color w:val="auto"/>
        </w:rPr>
      </w:pPr>
    </w:p>
    <w:p>
      <w:pPr>
        <w:ind w:left="3880" w:right="1620" w:hanging="3872"/>
        <w:spacing w:after="0" w:line="244" w:lineRule="auto"/>
        <w:tabs>
          <w:tab w:leader="none" w:pos="435"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-20320</wp:posOffset>
            </wp:positionV>
            <wp:extent cx="571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Amarin Corporation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240" w:type="dxa"/>
        <w:tblCellMar>
          <w:top w:w="0" w:type="dxa"/>
          <w:left w:w="0" w:type="dxa"/>
          <w:bottom w:w="0" w:type="dxa"/>
          <w:right w:w="0" w:type="dxa"/>
        </w:tblCellMar>
      </w:tblPr>
      <w:tr>
        <w:trPr>
          <w:trHeight w:val="227"/>
        </w:trPr>
        <w:tc>
          <w:tcPr>
            <w:tcW w:w="4800" w:type="dxa"/>
            <w:vAlign w:val="bottom"/>
          </w:tcPr>
          <w:p>
            <w:pPr>
              <w:jc w:val="center"/>
              <w:ind w:right="1679"/>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3120" w:type="dxa"/>
            <w:vAlign w:val="bottom"/>
          </w:tcPr>
          <w:p>
            <w:pPr>
              <w:jc w:val="center"/>
              <w:ind w:left="1721"/>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8"/>
        </w:trPr>
        <w:tc>
          <w:tcPr>
            <w:tcW w:w="4800" w:type="dxa"/>
            <w:vAlign w:val="bottom"/>
          </w:tcPr>
          <w:p>
            <w:pPr>
              <w:jc w:val="center"/>
              <w:ind w:right="16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20" w:type="dxa"/>
            <w:vAlign w:val="bottom"/>
          </w:tcPr>
          <w:p>
            <w:pPr>
              <w:jc w:val="center"/>
              <w:ind w:left="17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800" w:type="dxa"/>
            <w:vAlign w:val="bottom"/>
          </w:tcPr>
          <w:p>
            <w:pPr>
              <w:jc w:val="center"/>
              <w:ind w:right="16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20" w:type="dxa"/>
            <w:vAlign w:val="bottom"/>
          </w:tcPr>
          <w:p>
            <w:pPr>
              <w:jc w:val="center"/>
              <w:ind w:left="17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4800" w:type="dxa"/>
            <w:vAlign w:val="bottom"/>
          </w:tcPr>
          <w:p>
            <w:pPr>
              <w:jc w:val="center"/>
              <w:ind w:right="1719"/>
              <w:spacing w:after="0"/>
              <w:rPr>
                <w:sz w:val="20"/>
                <w:szCs w:val="20"/>
                <w:color w:val="auto"/>
              </w:rPr>
            </w:pPr>
            <w:r>
              <w:rPr>
                <w:rFonts w:ascii="Times New Roman" w:cs="Times New Roman" w:eastAsia="Times New Roman" w:hAnsi="Times New Roman"/>
                <w:sz w:val="18"/>
                <w:szCs w:val="18"/>
                <w:b w:val="1"/>
                <w:bCs w:val="1"/>
                <w:color w:val="auto"/>
                <w:w w:val="99"/>
              </w:rPr>
              <w:t>77 Sir John Rogerson’s Quay, Block C,</w:t>
            </w:r>
          </w:p>
        </w:tc>
        <w:tc>
          <w:tcPr>
            <w:tcW w:w="3120" w:type="dxa"/>
            <w:vAlign w:val="bottom"/>
          </w:tcPr>
          <w:p>
            <w:pPr>
              <w:jc w:val="center"/>
              <w:ind w:left="1721"/>
              <w:spacing w:after="0"/>
              <w:rPr>
                <w:sz w:val="20"/>
                <w:szCs w:val="20"/>
                <w:color w:val="auto"/>
              </w:rPr>
            </w:pPr>
            <w:r>
              <w:rPr>
                <w:rFonts w:ascii="Times New Roman" w:cs="Times New Roman" w:eastAsia="Times New Roman" w:hAnsi="Times New Roman"/>
                <w:sz w:val="18"/>
                <w:szCs w:val="18"/>
                <w:b w:val="1"/>
                <w:bCs w:val="1"/>
                <w:color w:val="auto"/>
                <w:w w:val="99"/>
              </w:rPr>
              <w:t>Dublin 2, Ireland</w:t>
            </w:r>
          </w:p>
        </w:tc>
      </w:tr>
      <w:tr>
        <w:trPr>
          <w:trHeight w:val="227"/>
        </w:trPr>
        <w:tc>
          <w:tcPr>
            <w:tcW w:w="4800" w:type="dxa"/>
            <w:vAlign w:val="bottom"/>
          </w:tcPr>
          <w:p>
            <w:pPr>
              <w:jc w:val="center"/>
              <w:ind w:right="1679"/>
              <w:spacing w:after="0"/>
              <w:rPr>
                <w:sz w:val="20"/>
                <w:szCs w:val="20"/>
                <w:color w:val="auto"/>
              </w:rPr>
            </w:pPr>
            <w:r>
              <w:rPr>
                <w:rFonts w:ascii="Times New Roman" w:cs="Times New Roman" w:eastAsia="Times New Roman" w:hAnsi="Times New Roman"/>
                <w:sz w:val="18"/>
                <w:szCs w:val="18"/>
                <w:b w:val="1"/>
                <w:bCs w:val="1"/>
                <w:color w:val="auto"/>
              </w:rPr>
              <w:t>Grand Canal Docklands</w:t>
            </w:r>
          </w:p>
        </w:tc>
        <w:tc>
          <w:tcPr>
            <w:tcW w:w="3120" w:type="dxa"/>
            <w:vAlign w:val="bottom"/>
          </w:tcPr>
          <w:p>
            <w:pPr>
              <w:spacing w:after="0"/>
              <w:rPr>
                <w:sz w:val="19"/>
                <w:szCs w:val="19"/>
                <w:color w:val="auto"/>
              </w:rPr>
            </w:pPr>
          </w:p>
        </w:tc>
      </w:tr>
      <w:tr>
        <w:trPr>
          <w:trHeight w:val="190"/>
        </w:trPr>
        <w:tc>
          <w:tcPr>
            <w:tcW w:w="4800" w:type="dxa"/>
            <w:vAlign w:val="bottom"/>
          </w:tcPr>
          <w:p>
            <w:pPr>
              <w:jc w:val="center"/>
              <w:ind w:right="16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20" w:type="dxa"/>
            <w:vAlign w:val="bottom"/>
          </w:tcPr>
          <w:p>
            <w:pPr>
              <w:jc w:val="center"/>
              <w:ind w:left="17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161925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7"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59"/>
        </w:trPr>
        <w:tc>
          <w:tcPr>
            <w:tcW w:w="4540" w:type="dxa"/>
            <w:vAlign w:val="bottom"/>
            <w:tcBorders>
              <w:left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color w:val="auto"/>
              </w:rPr>
              <w:t>American Depositary Shares (ADS(s)), each ADS</w:t>
            </w:r>
          </w:p>
        </w:tc>
        <w:tc>
          <w:tcPr>
            <w:tcW w:w="2240" w:type="dxa"/>
            <w:vAlign w:val="bottom"/>
            <w:tcBorders>
              <w:right w:val="single" w:sz="8" w:color="auto"/>
            </w:tcBorders>
          </w:tcPr>
          <w:p>
            <w:pPr>
              <w:spacing w:after="0"/>
              <w:rPr>
                <w:sz w:val="13"/>
                <w:szCs w:val="13"/>
                <w:color w:val="auto"/>
              </w:rPr>
            </w:pPr>
          </w:p>
        </w:tc>
        <w:tc>
          <w:tcPr>
            <w:tcW w:w="4460" w:type="dxa"/>
            <w:vAlign w:val="bottom"/>
            <w:tcBorders>
              <w:right w:val="single" w:sz="8" w:color="auto"/>
            </w:tcBorders>
          </w:tcPr>
          <w:p>
            <w:pPr>
              <w:spacing w:after="0"/>
              <w:rPr>
                <w:sz w:val="13"/>
                <w:szCs w:val="13"/>
                <w:color w:val="auto"/>
              </w:rPr>
            </w:pPr>
          </w:p>
        </w:tc>
      </w:tr>
      <w:tr>
        <w:trPr>
          <w:trHeight w:val="162"/>
        </w:trPr>
        <w:tc>
          <w:tcPr>
            <w:tcW w:w="4540" w:type="dxa"/>
            <w:vAlign w:val="bottom"/>
            <w:tcBorders>
              <w:left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representing the right to receive one (1) Ordinary Share of</w:t>
            </w:r>
          </w:p>
        </w:tc>
        <w:tc>
          <w:tcPr>
            <w:tcW w:w="22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spacing w:after="0"/>
              <w:rPr>
                <w:sz w:val="14"/>
                <w:szCs w:val="14"/>
                <w:color w:val="auto"/>
              </w:rPr>
            </w:pPr>
          </w:p>
        </w:tc>
      </w:tr>
      <w:tr>
        <w:trPr>
          <w:trHeight w:val="227"/>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Amarin Corporation plc</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AMRN</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Stock Market LLC</w:t>
            </w:r>
          </w:p>
        </w:tc>
      </w:tr>
    </w:tbl>
    <w:p>
      <w:pPr>
        <w:spacing w:after="0" w:line="90" w:lineRule="exact"/>
        <w:rPr>
          <w:sz w:val="24"/>
          <w:szCs w:val="24"/>
          <w:color w:val="auto"/>
        </w:rPr>
      </w:pPr>
    </w:p>
    <w:p>
      <w:pPr>
        <w:ind w:right="300"/>
        <w:spacing w:after="0" w:line="2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8" w:lineRule="exact"/>
        <w:rPr>
          <w:sz w:val="24"/>
          <w:szCs w:val="24"/>
          <w:color w:val="auto"/>
        </w:rPr>
      </w:pPr>
    </w:p>
    <w:p>
      <w:pPr>
        <w:ind w:right="120"/>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64"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7580" w:val="left"/>
          <w:tab w:leader="none" w:pos="83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32" w:lineRule="exact"/>
        <w:rPr>
          <w:sz w:val="24"/>
          <w:szCs w:val="24"/>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403,205,514 common shares were outstanding as of July 29, 2022, including 403,021,687 shares held as American Depositary Shares (ADSs), each representing one Ordinary Share, 50 pence par value per share and 183,827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539115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40" w:type="dxa"/>
            <w:vAlign w:val="bottom"/>
            <w:gridSpan w:val="13"/>
          </w:tcPr>
          <w:p>
            <w:pPr>
              <w:jc w:val="center"/>
              <w:ind w:right="1900"/>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1000" w:type="dxa"/>
            <w:vAlign w:val="bottom"/>
          </w:tcPr>
          <w:p>
            <w:pPr>
              <w:spacing w:after="0"/>
              <w:rPr>
                <w:sz w:val="24"/>
                <w:szCs w:val="24"/>
                <w:color w:val="auto"/>
              </w:rPr>
            </w:pPr>
          </w:p>
        </w:tc>
      </w:tr>
      <w:tr>
        <w:trPr>
          <w:trHeight w:val="353"/>
        </w:trPr>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3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2460" w:type="dxa"/>
            <w:vAlign w:val="bottom"/>
            <w:tcBorders>
              <w:top w:val="single" w:sz="8" w:color="0000FF"/>
            </w:tcBorders>
            <w:gridSpan w:val="6"/>
          </w:tcPr>
          <w:p>
            <w:pPr>
              <w:spacing w:after="0"/>
              <w:rPr>
                <w:sz w:val="24"/>
                <w:szCs w:val="24"/>
                <w:color w:val="auto"/>
              </w:rPr>
            </w:pPr>
          </w:p>
        </w:tc>
        <w:tc>
          <w:tcPr>
            <w:tcW w:w="3240" w:type="dxa"/>
            <w:vAlign w:val="bottom"/>
            <w:gridSpan w:val="6"/>
          </w:tcPr>
          <w:p>
            <w:pPr>
              <w:spacing w:after="0"/>
              <w:rPr>
                <w:sz w:val="24"/>
                <w:szCs w:val="24"/>
                <w:color w:val="auto"/>
              </w:rPr>
            </w:pPr>
          </w:p>
        </w:tc>
        <w:tc>
          <w:tcPr>
            <w:tcW w:w="100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Balance Sheets as of June 30, 2022 and December 31, 2021</w:t>
            </w:r>
          </w:p>
        </w:tc>
        <w:tc>
          <w:tcPr>
            <w:tcW w:w="10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June 30, 2022 and 2021</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 of Changes in Stockholders’ Equity for the six months ended June 30, 2022 and</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69"/>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88"/>
              </w:rPr>
              <w:t>2021</w:t>
            </w:r>
          </w:p>
        </w:tc>
        <w:tc>
          <w:tcPr>
            <w:tcW w:w="20" w:type="dxa"/>
            <w:vAlign w:val="bottom"/>
            <w:tcBorders>
              <w:top w:val="single" w:sz="8" w:color="0000FF"/>
              <w:bottom w:val="single" w:sz="8" w:color="0000EE"/>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3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2022 and 2021</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8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88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8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340" w:type="dxa"/>
            <w:vAlign w:val="bottom"/>
          </w:tcPr>
          <w:p>
            <w:pPr>
              <w:spacing w:after="0"/>
              <w:rPr>
                <w:sz w:val="24"/>
                <w:szCs w:val="24"/>
                <w:color w:val="auto"/>
              </w:rPr>
            </w:pPr>
          </w:p>
        </w:tc>
        <w:tc>
          <w:tcPr>
            <w:tcW w:w="5700" w:type="dxa"/>
            <w:vAlign w:val="bottom"/>
            <w:gridSpan w:val="12"/>
          </w:tcPr>
          <w:p>
            <w:pPr>
              <w:jc w:val="center"/>
              <w:ind w:right="3220"/>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1000" w:type="dxa"/>
            <w:vAlign w:val="bottom"/>
          </w:tcPr>
          <w:p>
            <w:pPr>
              <w:spacing w:after="0"/>
              <w:rPr>
                <w:sz w:val="24"/>
                <w:szCs w:val="24"/>
                <w:color w:val="auto"/>
              </w:rPr>
            </w:pPr>
          </w:p>
        </w:tc>
      </w:tr>
      <w:tr>
        <w:trPr>
          <w:trHeight w:val="331"/>
        </w:trPr>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32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280" w:type="dxa"/>
            <w:vAlign w:val="bottom"/>
            <w:tcBorders>
              <w:top w:val="single" w:sz="8" w:color="0000FF"/>
            </w:tcBorders>
            <w:gridSpan w:val="4"/>
          </w:tcPr>
          <w:p>
            <w:pPr>
              <w:spacing w:after="0"/>
              <w:rPr>
                <w:sz w:val="24"/>
                <w:szCs w:val="24"/>
                <w:color w:val="auto"/>
              </w:rPr>
            </w:pPr>
          </w:p>
        </w:tc>
        <w:tc>
          <w:tcPr>
            <w:tcW w:w="3320" w:type="dxa"/>
            <w:vAlign w:val="bottom"/>
            <w:gridSpan w:val="7"/>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6"/>
          </w:tcPr>
          <w:p>
            <w:pPr>
              <w:spacing w:after="0" w:line="20" w:lineRule="exact"/>
              <w:rPr>
                <w:sz w:val="1"/>
                <w:szCs w:val="1"/>
                <w:color w:val="auto"/>
              </w:rPr>
            </w:pPr>
          </w:p>
        </w:tc>
        <w:tc>
          <w:tcPr>
            <w:tcW w:w="4460" w:type="dxa"/>
            <w:vAlign w:val="bottom"/>
            <w:gridSpan w:val="8"/>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8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4460" w:type="dxa"/>
            <w:vAlign w:val="bottom"/>
            <w:gridSpan w:val="8"/>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8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6"/>
            <w:shd w:val="clear" w:color="auto" w:fill="0000FF"/>
          </w:tcPr>
          <w:p>
            <w:pPr>
              <w:spacing w:after="0" w:line="20" w:lineRule="exact"/>
              <w:rPr>
                <w:sz w:val="1"/>
                <w:szCs w:val="1"/>
                <w:color w:val="auto"/>
              </w:rPr>
            </w:pPr>
          </w:p>
        </w:tc>
        <w:tc>
          <w:tcPr>
            <w:tcW w:w="4460" w:type="dxa"/>
            <w:vAlign w:val="bottom"/>
            <w:gridSpan w:val="8"/>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8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500" w:type="dxa"/>
            <w:vAlign w:val="bottom"/>
            <w:gridSpan w:val="1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8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331"/>
        </w:trPr>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655"/>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300" w:type="dxa"/>
            <w:vAlign w:val="bottom"/>
            <w:gridSpan w:val="10"/>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Pr>
          <w:p>
            <w:pPr>
              <w:spacing w:after="0"/>
              <w:rPr>
                <w:sz w:val="16"/>
                <w:szCs w:val="16"/>
                <w:color w:val="auto"/>
              </w:rPr>
            </w:pPr>
          </w:p>
        </w:tc>
        <w:tc>
          <w:tcPr>
            <w:tcW w:w="17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228,001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219,454</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85,232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234,674</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143,942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163,653</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225,772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234,676</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32,259</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22,352</w:t>
            </w:r>
          </w:p>
        </w:tc>
        <w:tc>
          <w:tcPr>
            <w:tcW w:w="100" w:type="dxa"/>
            <w:vAlign w:val="bottom"/>
          </w:tcPr>
          <w:p>
            <w:pPr>
              <w:spacing w:after="0"/>
              <w:rPr>
                <w:sz w:val="18"/>
                <w:szCs w:val="18"/>
                <w:color w:val="auto"/>
              </w:rPr>
            </w:pPr>
          </w:p>
        </w:tc>
      </w:tr>
      <w:tr>
        <w:trPr>
          <w:trHeight w:val="209"/>
        </w:trPr>
        <w:tc>
          <w:tcPr>
            <w:tcW w:w="750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719,124</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878,727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Long-term investments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34,996</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inventory</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210,252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121,254</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8"/>
                <w:szCs w:val="18"/>
                <w:color w:val="auto"/>
              </w:rPr>
            </w:pPr>
          </w:p>
        </w:tc>
      </w:tr>
      <w:tr>
        <w:trPr>
          <w:trHeight w:val="216"/>
        </w:trPr>
        <w:tc>
          <w:tcPr>
            <w:tcW w:w="75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Intangible asset, net</w:t>
            </w: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22,274</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973,237</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1,068,065</w:t>
            </w:r>
          </w:p>
        </w:tc>
        <w:tc>
          <w:tcPr>
            <w:tcW w:w="100" w:type="dxa"/>
            <w:vAlign w:val="bottom"/>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116,312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114,922</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243,064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253,111</w:t>
            </w:r>
          </w:p>
        </w:tc>
        <w:tc>
          <w:tcPr>
            <w:tcW w:w="100" w:type="dxa"/>
            <w:vAlign w:val="bottom"/>
          </w:tcPr>
          <w:p>
            <w:pPr>
              <w:spacing w:after="0"/>
              <w:rPr>
                <w:sz w:val="18"/>
                <w:szCs w:val="18"/>
                <w:color w:val="auto"/>
              </w:rPr>
            </w:pPr>
          </w:p>
        </w:tc>
      </w:tr>
      <w:tr>
        <w:trPr>
          <w:trHeight w:val="216"/>
        </w:trPr>
        <w:tc>
          <w:tcPr>
            <w:tcW w:w="75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Current deferred revenue</w:t>
            </w: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361,574</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370,682</w:t>
            </w:r>
          </w:p>
        </w:tc>
        <w:tc>
          <w:tcPr>
            <w:tcW w:w="100" w:type="dxa"/>
            <w:vAlign w:val="bottom"/>
          </w:tcPr>
          <w:p>
            <w:pPr>
              <w:spacing w:after="0"/>
              <w:rPr>
                <w:sz w:val="18"/>
                <w:szCs w:val="18"/>
                <w:color w:val="auto"/>
              </w:rPr>
            </w:pPr>
          </w:p>
        </w:tc>
      </w:tr>
      <w:tr>
        <w:trPr>
          <w:trHeight w:val="210"/>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10,174</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7,648</w:t>
            </w:r>
          </w:p>
        </w:tc>
        <w:tc>
          <w:tcPr>
            <w:tcW w:w="100" w:type="dxa"/>
            <w:vAlign w:val="bottom"/>
          </w:tcPr>
          <w:p>
            <w:pPr>
              <w:spacing w:after="0"/>
              <w:rPr>
                <w:sz w:val="18"/>
                <w:szCs w:val="18"/>
                <w:color w:val="auto"/>
              </w:rPr>
            </w:pPr>
          </w:p>
        </w:tc>
      </w:tr>
      <w:tr>
        <w:trPr>
          <w:trHeight w:val="210"/>
        </w:trPr>
        <w:tc>
          <w:tcPr>
            <w:tcW w:w="750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393,194</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400,966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1"/>
        </w:trPr>
        <w:tc>
          <w:tcPr>
            <w:tcW w:w="7500" w:type="dxa"/>
            <w:vAlign w:val="bottom"/>
          </w:tcPr>
          <w:p>
            <w:pPr>
              <w:ind w:left="380"/>
              <w:spacing w:after="0" w:line="170" w:lineRule="exact"/>
              <w:rPr>
                <w:sz w:val="20"/>
                <w:szCs w:val="20"/>
                <w:color w:val="auto"/>
              </w:rPr>
            </w:pPr>
            <w:r>
              <w:rPr>
                <w:rFonts w:ascii="Times New Roman" w:cs="Times New Roman" w:eastAsia="Times New Roman" w:hAnsi="Times New Roman"/>
                <w:sz w:val="18"/>
                <w:szCs w:val="18"/>
                <w:color w:val="auto"/>
              </w:rPr>
              <w:t>Common stock, £0.50 par, unlimited authorized; 405,056,452 shares issued, 397,347,051 shares</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50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outstanding as of June 30, 2022; 404,084,775 shares issued, 396,598,008 shares outstanding as</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of December 31, 2021</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294,659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294,027</w:t>
            </w:r>
          </w:p>
        </w:tc>
        <w:tc>
          <w:tcPr>
            <w:tcW w:w="100" w:type="dxa"/>
            <w:vAlign w:val="bottom"/>
          </w:tcPr>
          <w:p>
            <w:pPr>
              <w:spacing w:after="0"/>
              <w:rPr>
                <w:sz w:val="20"/>
                <w:szCs w:val="20"/>
                <w:color w:val="auto"/>
              </w:rPr>
            </w:pPr>
          </w:p>
        </w:tc>
      </w:tr>
      <w:tr>
        <w:trPr>
          <w:trHeight w:val="216"/>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1,869,770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1,855,246</w:t>
            </w:r>
          </w:p>
        </w:tc>
        <w:tc>
          <w:tcPr>
            <w:tcW w:w="100" w:type="dxa"/>
            <w:vAlign w:val="bottom"/>
            <w:shd w:val="clear" w:color="auto" w:fill="CFF0FC"/>
          </w:tcPr>
          <w:p>
            <w:pPr>
              <w:spacing w:after="0"/>
              <w:rPr>
                <w:sz w:val="18"/>
                <w:szCs w:val="18"/>
                <w:color w:val="auto"/>
              </w:rPr>
            </w:pPr>
          </w:p>
        </w:tc>
      </w:tr>
      <w:tr>
        <w:trPr>
          <w:trHeight w:val="171"/>
        </w:trPr>
        <w:tc>
          <w:tcPr>
            <w:tcW w:w="7500" w:type="dxa"/>
            <w:vAlign w:val="bottom"/>
          </w:tcPr>
          <w:p>
            <w:pPr>
              <w:ind w:left="380"/>
              <w:spacing w:after="0" w:line="170" w:lineRule="exact"/>
              <w:rPr>
                <w:sz w:val="20"/>
                <w:szCs w:val="20"/>
                <w:color w:val="auto"/>
              </w:rPr>
            </w:pPr>
            <w:r>
              <w:rPr>
                <w:rFonts w:ascii="Times New Roman" w:cs="Times New Roman" w:eastAsia="Times New Roman" w:hAnsi="Times New Roman"/>
                <w:sz w:val="18"/>
                <w:szCs w:val="18"/>
                <w:color w:val="auto"/>
              </w:rPr>
              <w:t>Treasury stock; 7,709,401 shares as of June 30, 2022; 7,486,767 shares as of December 31,</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(61,419 )</w:t>
            </w:r>
          </w:p>
        </w:tc>
        <w:tc>
          <w:tcPr>
            <w:tcW w:w="22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(60,726 )</w:t>
            </w:r>
          </w:p>
        </w:tc>
      </w:tr>
      <w:tr>
        <w:trPr>
          <w:trHeight w:val="216"/>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(1,522,967 )</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(1,421,448 )</w:t>
            </w:r>
          </w:p>
        </w:tc>
      </w:tr>
      <w:tr>
        <w:trPr>
          <w:trHeight w:val="210"/>
        </w:trPr>
        <w:tc>
          <w:tcPr>
            <w:tcW w:w="750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580,043</w:t>
            </w: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667,099</w:t>
            </w:r>
          </w:p>
        </w:tc>
        <w:tc>
          <w:tcPr>
            <w:tcW w:w="100" w:type="dxa"/>
            <w:vAlign w:val="bottom"/>
            <w:tcBorders>
              <w:top w:val="single" w:sz="8" w:color="CFF0FC"/>
            </w:tcBorders>
          </w:tcPr>
          <w:p>
            <w:pPr>
              <w:spacing w:after="0"/>
              <w:rPr>
                <w:sz w:val="18"/>
                <w:szCs w:val="18"/>
                <w:color w:val="auto"/>
              </w:rPr>
            </w:pPr>
          </w:p>
        </w:tc>
      </w:tr>
      <w:tr>
        <w:trPr>
          <w:trHeight w:val="249"/>
        </w:trPr>
        <w:tc>
          <w:tcPr>
            <w:tcW w:w="75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973,237</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1,068,065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-4045585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-4045585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-3213735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-3213735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-2357120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-2357120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-1508125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-316865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-25400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ind w:left="426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2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7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8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93,796</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153,773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187,782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295,156</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tcPr>
          <w:p>
            <w:pPr>
              <w:spacing w:after="0"/>
              <w:rPr>
                <w:sz w:val="18"/>
                <w:szCs w:val="18"/>
                <w:color w:val="auto"/>
              </w:rPr>
            </w:pPr>
          </w:p>
        </w:tc>
      </w:tr>
      <w:tr>
        <w:trPr>
          <w:trHeight w:val="209"/>
        </w:trPr>
        <w:tc>
          <w:tcPr>
            <w:tcW w:w="48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revenue, net</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94,440</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154,488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189,070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296,658</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Less: Cost of goods sold</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60,481</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Cost of goods sold - restructuring inventory</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43,630</w:t>
            </w: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122,333</w:t>
            </w: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116,021</w:t>
            </w: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236,177</w:t>
            </w:r>
          </w:p>
        </w:tc>
        <w:tc>
          <w:tcPr>
            <w:tcW w:w="100" w:type="dxa"/>
            <w:vAlign w:val="bottom"/>
            <w:tcBorders>
              <w:top w:val="single" w:sz="8" w:color="CFF0FC"/>
            </w:tcBorders>
          </w:tcPr>
          <w:p>
            <w:pPr>
              <w:spacing w:after="0"/>
              <w:rPr>
                <w:sz w:val="18"/>
                <w:szCs w:val="18"/>
                <w:color w:val="auto"/>
              </w:rPr>
            </w:pPr>
          </w:p>
        </w:tc>
      </w:tr>
      <w:tr>
        <w:trPr>
          <w:trHeight w:val="20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86,893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177,540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213,001</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9,356</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15,734</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8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106,462</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113,560</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207,160</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320" w:type="dxa"/>
            <w:vAlign w:val="bottom"/>
          </w:tcPr>
          <w:p>
            <w:pPr>
              <w:spacing w:after="0"/>
              <w:rPr>
                <w:sz w:val="18"/>
                <w:szCs w:val="18"/>
                <w:color w:val="auto"/>
              </w:rPr>
            </w:pP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(62,832 )</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(91,139 )</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7,442</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Pr>
          <w:p>
            <w:pPr>
              <w:spacing w:after="0"/>
              <w:rPr>
                <w:sz w:val="18"/>
                <w:szCs w:val="18"/>
                <w:color w:val="auto"/>
              </w:rPr>
            </w:pP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(2,255 )</w:t>
            </w: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(191 )</w:t>
            </w:r>
          </w:p>
        </w:tc>
        <w:tc>
          <w:tcPr>
            <w:tcW w:w="300" w:type="dxa"/>
            <w:vAlign w:val="bottom"/>
          </w:tcPr>
          <w:p>
            <w:pPr>
              <w:spacing w:after="0"/>
              <w:rPr>
                <w:sz w:val="18"/>
                <w:szCs w:val="18"/>
                <w:color w:val="auto"/>
              </w:rPr>
            </w:pP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(2,501 )</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(333 )</w:t>
            </w:r>
          </w:p>
        </w:tc>
      </w:tr>
      <w:tr>
        <w:trPr>
          <w:trHeight w:val="20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from operations before taxes</w:t>
            </w:r>
          </w:p>
        </w:tc>
        <w:tc>
          <w:tcPr>
            <w:tcW w:w="3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(64,799</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8,867</w:t>
            </w: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(93,149</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7,865</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Pr>
          <w:p>
            <w:pPr>
              <w:spacing w:after="0"/>
              <w:rPr>
                <w:sz w:val="18"/>
                <w:szCs w:val="18"/>
                <w:color w:val="auto"/>
              </w:rPr>
            </w:pP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(5,157 )</w:t>
            </w: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(1,059 )</w:t>
            </w:r>
          </w:p>
        </w:tc>
        <w:tc>
          <w:tcPr>
            <w:tcW w:w="300" w:type="dxa"/>
            <w:vAlign w:val="bottom"/>
          </w:tcPr>
          <w:p>
            <w:pPr>
              <w:spacing w:after="0"/>
              <w:rPr>
                <w:sz w:val="18"/>
                <w:szCs w:val="18"/>
                <w:color w:val="auto"/>
              </w:rPr>
            </w:pP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(8,370 )</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(1,683 )</w:t>
            </w:r>
          </w:p>
        </w:tc>
      </w:tr>
      <w:tr>
        <w:trPr>
          <w:trHeight w:val="250"/>
        </w:trPr>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(69,956</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(101,519</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4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(Loss) earnings per share:</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(0.18 )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(0.26 )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(0.18 )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(0.26 )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398,187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395,899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397,997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395,272</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398,187</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401,767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397,997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402,778</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-2545715</wp:posOffset>
            </wp:positionV>
            <wp:extent cx="768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4960620</wp:posOffset>
            </wp:positionH>
            <wp:positionV relativeFrom="paragraph">
              <wp:posOffset>-2545715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-2545715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-2545715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-1696720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4960620</wp:posOffset>
            </wp:positionH>
            <wp:positionV relativeFrom="paragraph">
              <wp:posOffset>-1696720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-1696720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-1696720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-847725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-831215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4960620</wp:posOffset>
            </wp:positionH>
            <wp:positionV relativeFrom="paragraph">
              <wp:posOffset>-847725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4960620</wp:posOffset>
            </wp:positionH>
            <wp:positionV relativeFrom="paragraph">
              <wp:posOffset>-831215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-847725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-831215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-847725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-831215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52070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320" w:right="399" w:bottom="1440" w:gutter="0" w:footer="0" w:header="0"/>
        </w:sectPr>
      </w:pPr>
    </w:p>
    <w:bookmarkStart w:id="4" w:name="page5"/>
    <w:bookmarkEnd w:id="4"/>
    <w:p>
      <w:pPr>
        <w:ind w:left="434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2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STOCKHOLDERS’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20" w:type="dxa"/>
            <w:vAlign w:val="bottom"/>
          </w:tcPr>
          <w:p>
            <w:pPr>
              <w:spacing w:after="0"/>
              <w:rPr>
                <w:sz w:val="12"/>
                <w:szCs w:val="12"/>
                <w:color w:val="auto"/>
              </w:rPr>
            </w:pPr>
          </w:p>
        </w:tc>
        <w:tc>
          <w:tcPr>
            <w:tcW w:w="1300" w:type="dxa"/>
            <w:vAlign w:val="bottom"/>
            <w:gridSpan w:val="2"/>
          </w:tcPr>
          <w:p>
            <w:pPr>
              <w:jc w:val="center"/>
              <w:ind w:right="148"/>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40" w:type="dxa"/>
            <w:vAlign w:val="bottom"/>
          </w:tcPr>
          <w:p>
            <w:pPr>
              <w:spacing w:after="0"/>
              <w:rPr>
                <w:sz w:val="12"/>
                <w:szCs w:val="12"/>
                <w:color w:val="auto"/>
              </w:rPr>
            </w:pPr>
          </w:p>
        </w:tc>
        <w:tc>
          <w:tcPr>
            <w:tcW w:w="80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2"/>
                <w:szCs w:val="12"/>
                <w:color w:val="auto"/>
              </w:rPr>
            </w:pPr>
          </w:p>
        </w:tc>
        <w:tc>
          <w:tcPr>
            <w:tcW w:w="980" w:type="dxa"/>
            <w:vAlign w:val="bottom"/>
            <w:gridSpan w:val="2"/>
          </w:tcPr>
          <w:p>
            <w:pPr>
              <w:jc w:val="center"/>
              <w:ind w:right="268"/>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12"/>
                <w:szCs w:val="12"/>
                <w:color w:val="auto"/>
              </w:rPr>
            </w:pPr>
          </w:p>
        </w:tc>
        <w:tc>
          <w:tcPr>
            <w:tcW w:w="1100" w:type="dxa"/>
            <w:vAlign w:val="bottom"/>
            <w:gridSpan w:val="2"/>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20" w:type="dxa"/>
            <w:vAlign w:val="bottom"/>
          </w:tcPr>
          <w:p>
            <w:pPr>
              <w:spacing w:after="0"/>
              <w:rPr>
                <w:sz w:val="12"/>
                <w:szCs w:val="12"/>
                <w:color w:val="auto"/>
              </w:rPr>
            </w:pPr>
          </w:p>
        </w:tc>
        <w:tc>
          <w:tcPr>
            <w:tcW w:w="8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28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5"/>
                <w:szCs w:val="15"/>
                <w:color w:val="auto"/>
              </w:rPr>
            </w:pPr>
          </w:p>
        </w:tc>
        <w:tc>
          <w:tcPr>
            <w:tcW w:w="1300" w:type="dxa"/>
            <w:vAlign w:val="bottom"/>
            <w:gridSpan w:val="2"/>
          </w:tcPr>
          <w:p>
            <w:pPr>
              <w:jc w:val="center"/>
              <w:ind w:right="14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80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5"/>
                <w:szCs w:val="15"/>
                <w:color w:val="auto"/>
              </w:rPr>
            </w:pPr>
          </w:p>
        </w:tc>
        <w:tc>
          <w:tcPr>
            <w:tcW w:w="980" w:type="dxa"/>
            <w:vAlign w:val="bottom"/>
            <w:gridSpan w:val="2"/>
          </w:tcPr>
          <w:p>
            <w:pPr>
              <w:jc w:val="center"/>
              <w:ind w:right="268"/>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5"/>
                <w:szCs w:val="15"/>
                <w:color w:val="auto"/>
              </w:rPr>
            </w:pPr>
          </w:p>
        </w:tc>
        <w:tc>
          <w:tcPr>
            <w:tcW w:w="1100" w:type="dxa"/>
            <w:vAlign w:val="bottom"/>
            <w:gridSpan w:val="2"/>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404,084,775</w:t>
            </w:r>
          </w:p>
        </w:tc>
        <w:tc>
          <w:tcPr>
            <w:tcW w:w="220" w:type="dxa"/>
            <w:vAlign w:val="bottom"/>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(7,486,767</w:t>
            </w:r>
          </w:p>
        </w:tc>
        <w:tc>
          <w:tcPr>
            <w:tcW w:w="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294,027</w:t>
            </w:r>
          </w:p>
        </w:tc>
        <w:tc>
          <w:tcPr>
            <w:tcW w:w="24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1,855,246</w:t>
            </w:r>
          </w:p>
        </w:tc>
        <w:tc>
          <w:tcPr>
            <w:tcW w:w="20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(60,726</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(1,421,448</w:t>
            </w:r>
          </w:p>
        </w:tc>
        <w:tc>
          <w:tcPr>
            <w:tcW w:w="2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667,099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10,602</w:t>
            </w:r>
          </w:p>
        </w:tc>
        <w:tc>
          <w:tcPr>
            <w:tcW w:w="220" w:type="dxa"/>
            <w:vAlign w:val="bottom"/>
          </w:tcPr>
          <w:p>
            <w:pPr>
              <w:spacing w:after="0"/>
              <w:rPr>
                <w:sz w:val="15"/>
                <w:szCs w:val="15"/>
                <w:color w:val="auto"/>
              </w:rPr>
            </w:pPr>
          </w:p>
        </w:tc>
        <w:tc>
          <w:tcPr>
            <w:tcW w:w="13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493,381</w:t>
            </w:r>
          </w:p>
        </w:tc>
        <w:tc>
          <w:tcPr>
            <w:tcW w:w="1520" w:type="dxa"/>
            <w:vAlign w:val="bottom"/>
            <w:gridSpan w:val="3"/>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(161,083 )</w:t>
            </w: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(331 )</w:t>
            </w:r>
          </w:p>
        </w:tc>
        <w:tc>
          <w:tcPr>
            <w:tcW w:w="1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(535 )</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(535 )</w:t>
            </w:r>
          </w:p>
        </w:tc>
        <w:tc>
          <w:tcPr>
            <w:tcW w:w="0" w:type="dxa"/>
            <w:vAlign w:val="bottom"/>
          </w:tcPr>
          <w:p>
            <w:pPr>
              <w:spacing w:after="0"/>
              <w:rPr>
                <w:sz w:val="1"/>
                <w:szCs w:val="1"/>
                <w:color w:val="auto"/>
              </w:rPr>
            </w:pPr>
          </w:p>
        </w:tc>
      </w:tr>
      <w:tr>
        <w:trPr>
          <w:trHeight w:val="17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for the period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(31,563 )</w:t>
            </w: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(31,563 )</w:t>
            </w:r>
          </w:p>
        </w:tc>
        <w:tc>
          <w:tcPr>
            <w:tcW w:w="0" w:type="dxa"/>
            <w:vAlign w:val="bottom"/>
          </w:tcPr>
          <w:p>
            <w:pPr>
              <w:spacing w:after="0"/>
              <w:rPr>
                <w:sz w:val="1"/>
                <w:szCs w:val="1"/>
                <w:color w:val="auto"/>
              </w:rPr>
            </w:pPr>
          </w:p>
        </w:tc>
      </w:tr>
      <w:tr>
        <w:trPr>
          <w:trHeight w:val="20"/>
        </w:trPr>
        <w:tc>
          <w:tcPr>
            <w:tcW w:w="28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404,588,758</w:t>
            </w:r>
          </w:p>
        </w:tc>
        <w:tc>
          <w:tcPr>
            <w:tcW w:w="2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(7,647,850 )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294,364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1,861,017</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(61,261 )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(1,453,011 )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641,109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80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3"/>
                <w:szCs w:val="13"/>
                <w:color w:val="auto"/>
              </w:rPr>
              <w:t>Issuance of common stock under employee</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265,214</w:t>
            </w:r>
          </w:p>
        </w:tc>
        <w:tc>
          <w:tcPr>
            <w:tcW w:w="220" w:type="dxa"/>
            <w:vAlign w:val="bottom"/>
            <w:shd w:val="clear" w:color="auto" w:fill="CFF0FC"/>
          </w:tcPr>
          <w:p>
            <w:pPr>
              <w:spacing w:after="0"/>
              <w:rPr>
                <w:sz w:val="10"/>
                <w:szCs w:val="10"/>
                <w:color w:val="auto"/>
              </w:rPr>
            </w:pPr>
          </w:p>
        </w:tc>
        <w:tc>
          <w:tcPr>
            <w:tcW w:w="130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8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10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8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 purchase plan</w:t>
            </w:r>
          </w:p>
        </w:tc>
        <w:tc>
          <w:tcPr>
            <w:tcW w:w="114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300" w:type="dxa"/>
            <w:vAlign w:val="bottom"/>
            <w:gridSpan w:val="2"/>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4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8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800" w:type="dxa"/>
            <w:vAlign w:val="bottom"/>
            <w:vMerge w:val="continue"/>
            <w:shd w:val="clear" w:color="auto" w:fill="CFF0FC"/>
          </w:tcPr>
          <w:p>
            <w:pPr>
              <w:spacing w:after="0"/>
              <w:rPr>
                <w:sz w:val="6"/>
                <w:szCs w:val="6"/>
                <w:color w:val="auto"/>
              </w:rPr>
            </w:pPr>
          </w:p>
        </w:tc>
        <w:tc>
          <w:tcPr>
            <w:tcW w:w="114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08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84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76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90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7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14,645</w:t>
            </w:r>
          </w:p>
        </w:tc>
        <w:tc>
          <w:tcPr>
            <w:tcW w:w="220" w:type="dxa"/>
            <w:vAlign w:val="bottom"/>
          </w:tcPr>
          <w:p>
            <w:pPr>
              <w:spacing w:after="0"/>
              <w:rPr>
                <w:sz w:val="15"/>
                <w:szCs w:val="15"/>
                <w:color w:val="auto"/>
              </w:rPr>
            </w:pPr>
          </w:p>
        </w:tc>
        <w:tc>
          <w:tcPr>
            <w:tcW w:w="13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187,835</w:t>
            </w:r>
          </w:p>
        </w:tc>
        <w:tc>
          <w:tcPr>
            <w:tcW w:w="1520" w:type="dxa"/>
            <w:vAlign w:val="bottom"/>
            <w:gridSpan w:val="3"/>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(61,551 )</w:t>
            </w: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(120 )</w:t>
            </w:r>
          </w:p>
        </w:tc>
        <w:tc>
          <w:tcPr>
            <w:tcW w:w="1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(158 )</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(158 )</w:t>
            </w:r>
          </w:p>
        </w:tc>
        <w:tc>
          <w:tcPr>
            <w:tcW w:w="0" w:type="dxa"/>
            <w:vAlign w:val="bottom"/>
          </w:tcPr>
          <w:p>
            <w:pPr>
              <w:spacing w:after="0"/>
              <w:rPr>
                <w:sz w:val="1"/>
                <w:szCs w:val="1"/>
                <w:color w:val="auto"/>
              </w:rPr>
            </w:pPr>
          </w:p>
        </w:tc>
      </w:tr>
      <w:tr>
        <w:trPr>
          <w:trHeight w:val="17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for the period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(69,956 )</w:t>
            </w: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(69,956 )</w:t>
            </w:r>
          </w:p>
        </w:tc>
        <w:tc>
          <w:tcPr>
            <w:tcW w:w="0" w:type="dxa"/>
            <w:vAlign w:val="bottom"/>
          </w:tcPr>
          <w:p>
            <w:pPr>
              <w:spacing w:after="0"/>
              <w:rPr>
                <w:sz w:val="1"/>
                <w:szCs w:val="1"/>
                <w:color w:val="auto"/>
              </w:rPr>
            </w:pPr>
          </w:p>
        </w:tc>
      </w:tr>
      <w:tr>
        <w:trPr>
          <w:trHeight w:val="20"/>
        </w:trPr>
        <w:tc>
          <w:tcPr>
            <w:tcW w:w="28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405,056,452</w:t>
            </w:r>
          </w:p>
        </w:tc>
        <w:tc>
          <w:tcPr>
            <w:tcW w:w="2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(7,709,401 )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294,659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1,869,770</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(61,419 )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(1,522,967 )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580,043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20" w:type="dxa"/>
            <w:vAlign w:val="bottom"/>
          </w:tcPr>
          <w:p>
            <w:pPr>
              <w:spacing w:after="0"/>
              <w:rPr>
                <w:sz w:val="12"/>
                <w:szCs w:val="12"/>
                <w:color w:val="auto"/>
              </w:rPr>
            </w:pPr>
          </w:p>
        </w:tc>
        <w:tc>
          <w:tcPr>
            <w:tcW w:w="1300" w:type="dxa"/>
            <w:vAlign w:val="bottom"/>
            <w:gridSpan w:val="2"/>
          </w:tcPr>
          <w:p>
            <w:pPr>
              <w:jc w:val="center"/>
              <w:ind w:right="148"/>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40" w:type="dxa"/>
            <w:vAlign w:val="bottom"/>
          </w:tcPr>
          <w:p>
            <w:pPr>
              <w:spacing w:after="0"/>
              <w:rPr>
                <w:sz w:val="12"/>
                <w:szCs w:val="12"/>
                <w:color w:val="auto"/>
              </w:rPr>
            </w:pPr>
          </w:p>
        </w:tc>
        <w:tc>
          <w:tcPr>
            <w:tcW w:w="80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2"/>
                <w:szCs w:val="12"/>
                <w:color w:val="auto"/>
              </w:rPr>
            </w:pPr>
          </w:p>
        </w:tc>
        <w:tc>
          <w:tcPr>
            <w:tcW w:w="980" w:type="dxa"/>
            <w:vAlign w:val="bottom"/>
            <w:gridSpan w:val="2"/>
          </w:tcPr>
          <w:p>
            <w:pPr>
              <w:jc w:val="center"/>
              <w:ind w:right="268"/>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12"/>
                <w:szCs w:val="12"/>
                <w:color w:val="auto"/>
              </w:rPr>
            </w:pPr>
          </w:p>
        </w:tc>
        <w:tc>
          <w:tcPr>
            <w:tcW w:w="1100" w:type="dxa"/>
            <w:vAlign w:val="bottom"/>
            <w:gridSpan w:val="2"/>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20" w:type="dxa"/>
            <w:vAlign w:val="bottom"/>
          </w:tcPr>
          <w:p>
            <w:pPr>
              <w:spacing w:after="0"/>
              <w:rPr>
                <w:sz w:val="12"/>
                <w:szCs w:val="12"/>
                <w:color w:val="auto"/>
              </w:rPr>
            </w:pPr>
          </w:p>
        </w:tc>
        <w:tc>
          <w:tcPr>
            <w:tcW w:w="8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28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5"/>
                <w:szCs w:val="15"/>
                <w:color w:val="auto"/>
              </w:rPr>
            </w:pPr>
          </w:p>
        </w:tc>
        <w:tc>
          <w:tcPr>
            <w:tcW w:w="1300" w:type="dxa"/>
            <w:vAlign w:val="bottom"/>
            <w:gridSpan w:val="2"/>
          </w:tcPr>
          <w:p>
            <w:pPr>
              <w:jc w:val="center"/>
              <w:ind w:right="14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80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5"/>
                <w:szCs w:val="15"/>
                <w:color w:val="auto"/>
              </w:rPr>
            </w:pPr>
          </w:p>
        </w:tc>
        <w:tc>
          <w:tcPr>
            <w:tcW w:w="980" w:type="dxa"/>
            <w:vAlign w:val="bottom"/>
            <w:gridSpan w:val="2"/>
          </w:tcPr>
          <w:p>
            <w:pPr>
              <w:jc w:val="center"/>
              <w:ind w:right="268"/>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5"/>
                <w:szCs w:val="15"/>
                <w:color w:val="auto"/>
              </w:rPr>
            </w:pPr>
          </w:p>
        </w:tc>
        <w:tc>
          <w:tcPr>
            <w:tcW w:w="1100" w:type="dxa"/>
            <w:vAlign w:val="bottom"/>
            <w:gridSpan w:val="2"/>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398,425,000</w:t>
            </w:r>
          </w:p>
        </w:tc>
        <w:tc>
          <w:tcPr>
            <w:tcW w:w="220" w:type="dxa"/>
            <w:vAlign w:val="bottom"/>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(5,886,919</w:t>
            </w:r>
          </w:p>
        </w:tc>
        <w:tc>
          <w:tcPr>
            <w:tcW w:w="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290,115</w:t>
            </w:r>
          </w:p>
        </w:tc>
        <w:tc>
          <w:tcPr>
            <w:tcW w:w="24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1,817,649</w:t>
            </w:r>
          </w:p>
        </w:tc>
        <w:tc>
          <w:tcPr>
            <w:tcW w:w="20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(51,082</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(1,429,177</w:t>
            </w:r>
          </w:p>
        </w:tc>
        <w:tc>
          <w:tcPr>
            <w:tcW w:w="2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627,505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783,320</w:t>
            </w:r>
          </w:p>
        </w:tc>
        <w:tc>
          <w:tcPr>
            <w:tcW w:w="220" w:type="dxa"/>
            <w:vAlign w:val="bottom"/>
          </w:tcPr>
          <w:p>
            <w:pPr>
              <w:spacing w:after="0"/>
              <w:rPr>
                <w:sz w:val="15"/>
                <w:szCs w:val="15"/>
                <w:color w:val="auto"/>
              </w:rPr>
            </w:pPr>
          </w:p>
        </w:tc>
        <w:tc>
          <w:tcPr>
            <w:tcW w:w="13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2,447,405</w:t>
            </w:r>
          </w:p>
        </w:tc>
        <w:tc>
          <w:tcPr>
            <w:tcW w:w="1520" w:type="dxa"/>
            <w:vAlign w:val="bottom"/>
            <w:gridSpan w:val="3"/>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(1,003,965 )</w:t>
            </w: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(1,709 )</w:t>
            </w:r>
          </w:p>
        </w:tc>
        <w:tc>
          <w:tcPr>
            <w:tcW w:w="1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(7,252 )</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(7,252 )</w:t>
            </w:r>
          </w:p>
        </w:tc>
        <w:tc>
          <w:tcPr>
            <w:tcW w:w="0" w:type="dxa"/>
            <w:vAlign w:val="bottom"/>
          </w:tcPr>
          <w:p>
            <w:pPr>
              <w:spacing w:after="0"/>
              <w:rPr>
                <w:sz w:val="1"/>
                <w:szCs w:val="1"/>
                <w:color w:val="auto"/>
              </w:rPr>
            </w:pPr>
          </w:p>
        </w:tc>
      </w:tr>
      <w:tr>
        <w:trPr>
          <w:trHeight w:val="17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for the period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(1,626 )</w:t>
            </w: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(1,626 )</w:t>
            </w:r>
          </w:p>
        </w:tc>
        <w:tc>
          <w:tcPr>
            <w:tcW w:w="0" w:type="dxa"/>
            <w:vAlign w:val="bottom"/>
          </w:tcPr>
          <w:p>
            <w:pPr>
              <w:spacing w:after="0"/>
              <w:rPr>
                <w:sz w:val="1"/>
                <w:szCs w:val="1"/>
                <w:color w:val="auto"/>
              </w:rPr>
            </w:pPr>
          </w:p>
        </w:tc>
      </w:tr>
      <w:tr>
        <w:trPr>
          <w:trHeight w:val="20"/>
        </w:trPr>
        <w:tc>
          <w:tcPr>
            <w:tcW w:w="28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401,655,725</w:t>
            </w:r>
          </w:p>
        </w:tc>
        <w:tc>
          <w:tcPr>
            <w:tcW w:w="2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(6,890,884 )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292,360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1,831,388</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(58,334 )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(1,430,803 )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634,611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80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3"/>
                <w:szCs w:val="13"/>
                <w:color w:val="auto"/>
              </w:rPr>
              <w:t>Issuance of common stock under employee</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226,402</w:t>
            </w:r>
          </w:p>
        </w:tc>
        <w:tc>
          <w:tcPr>
            <w:tcW w:w="220" w:type="dxa"/>
            <w:vAlign w:val="bottom"/>
            <w:shd w:val="clear" w:color="auto" w:fill="CFF0FC"/>
          </w:tcPr>
          <w:p>
            <w:pPr>
              <w:spacing w:after="0"/>
              <w:rPr>
                <w:sz w:val="10"/>
                <w:szCs w:val="10"/>
                <w:color w:val="auto"/>
              </w:rPr>
            </w:pPr>
          </w:p>
        </w:tc>
        <w:tc>
          <w:tcPr>
            <w:tcW w:w="130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8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10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 purchase plan</w:t>
            </w:r>
          </w:p>
        </w:tc>
        <w:tc>
          <w:tcPr>
            <w:tcW w:w="11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27,139</w:t>
            </w:r>
          </w:p>
        </w:tc>
        <w:tc>
          <w:tcPr>
            <w:tcW w:w="220" w:type="dxa"/>
            <w:vAlign w:val="bottom"/>
          </w:tcPr>
          <w:p>
            <w:pPr>
              <w:spacing w:after="0"/>
              <w:rPr>
                <w:sz w:val="15"/>
                <w:szCs w:val="15"/>
                <w:color w:val="auto"/>
              </w:rPr>
            </w:pPr>
          </w:p>
        </w:tc>
        <w:tc>
          <w:tcPr>
            <w:tcW w:w="13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346,010</w:t>
            </w:r>
          </w:p>
        </w:tc>
        <w:tc>
          <w:tcPr>
            <w:tcW w:w="1520" w:type="dxa"/>
            <w:vAlign w:val="bottom"/>
            <w:gridSpan w:val="3"/>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(142,204 )</w:t>
            </w: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(242 )</w:t>
            </w:r>
          </w:p>
        </w:tc>
        <w:tc>
          <w:tcPr>
            <w:tcW w:w="1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(677 )</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(677 )</w:t>
            </w:r>
          </w:p>
        </w:tc>
        <w:tc>
          <w:tcPr>
            <w:tcW w:w="0" w:type="dxa"/>
            <w:vAlign w:val="bottom"/>
          </w:tcPr>
          <w:p>
            <w:pPr>
              <w:spacing w:after="0"/>
              <w:rPr>
                <w:sz w:val="1"/>
                <w:szCs w:val="1"/>
                <w:color w:val="auto"/>
              </w:rPr>
            </w:pPr>
          </w:p>
        </w:tc>
      </w:tr>
      <w:tr>
        <w:trPr>
          <w:trHeight w:val="17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for the period</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7,808</w:t>
            </w:r>
          </w:p>
        </w:tc>
        <w:tc>
          <w:tcPr>
            <w:tcW w:w="2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7,808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402,255,276</w:t>
            </w:r>
          </w:p>
        </w:tc>
        <w:tc>
          <w:tcPr>
            <w:tcW w:w="15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(7,033,088 )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292,782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1,834,548</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(59,011 )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(1,422,995 )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645,324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-2870835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-2870835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-2870835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-2870835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-2870835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-2870835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-2870835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-2073910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-2073910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-2073910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-2073910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-2073910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-2073910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-942340</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-942340</wp:posOffset>
            </wp:positionV>
            <wp:extent cx="77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-942340</wp:posOffset>
            </wp:positionV>
            <wp:extent cx="76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-942340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-942340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-942340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-144780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-144780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-144780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-144780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-144780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-144780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ind w:left="376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2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70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(101,519 )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(loss) income to net cash used in operating activities: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investments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(27,685 )</w:t>
            </w:r>
          </w:p>
        </w:tc>
        <w:tc>
          <w:tcPr>
            <w:tcW w:w="0" w:type="dxa"/>
            <w:vAlign w:val="bottom"/>
          </w:tcPr>
          <w:p>
            <w:pPr>
              <w:spacing w:after="0"/>
              <w:rPr>
                <w:sz w:val="1"/>
                <w:szCs w:val="1"/>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(80,094 )</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(83,591 )</w:t>
            </w:r>
          </w:p>
        </w:tc>
        <w:tc>
          <w:tcPr>
            <w:tcW w:w="0" w:type="dxa"/>
            <w:vAlign w:val="bottom"/>
          </w:tcPr>
          <w:p>
            <w:pPr>
              <w:spacing w:after="0"/>
              <w:rPr>
                <w:sz w:val="1"/>
                <w:szCs w:val="1"/>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(9,907 )</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320" w:type="dxa"/>
            <w:vAlign w:val="bottom"/>
          </w:tcPr>
          <w:p>
            <w:pPr>
              <w:spacing w:after="0"/>
              <w:rPr>
                <w:sz w:val="18"/>
                <w:szCs w:val="18"/>
                <w:color w:val="auto"/>
              </w:rPr>
            </w:pPr>
          </w:p>
        </w:tc>
        <w:tc>
          <w:tcPr>
            <w:tcW w:w="13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receivable</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(701 )</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(1,164 )</w:t>
            </w:r>
          </w:p>
        </w:tc>
        <w:tc>
          <w:tcPr>
            <w:tcW w:w="0" w:type="dxa"/>
            <w:vAlign w:val="bottom"/>
          </w:tcPr>
          <w:p>
            <w:pPr>
              <w:spacing w:after="0"/>
              <w:rPr>
                <w:sz w:val="1"/>
                <w:szCs w:val="1"/>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(8,657 )</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(773 )</w:t>
            </w:r>
          </w:p>
        </w:tc>
        <w:tc>
          <w:tcPr>
            <w:tcW w:w="0" w:type="dxa"/>
            <w:vAlign w:val="bottom"/>
          </w:tcPr>
          <w:p>
            <w:pPr>
              <w:spacing w:after="0"/>
              <w:rPr>
                <w:sz w:val="1"/>
                <w:szCs w:val="1"/>
                <w:color w:val="auto"/>
              </w:rPr>
            </w:pPr>
          </w:p>
        </w:tc>
      </w:tr>
      <w:tr>
        <w:trPr>
          <w:trHeight w:val="210"/>
        </w:trPr>
        <w:tc>
          <w:tcPr>
            <w:tcW w:w="700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(163,431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Maturities of securities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186,411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securities</w:t>
            </w:r>
          </w:p>
        </w:tc>
        <w:tc>
          <w:tcPr>
            <w:tcW w:w="32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(14,172 )</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(74,510 )</w:t>
            </w:r>
          </w:p>
        </w:tc>
        <w:tc>
          <w:tcPr>
            <w:tcW w:w="0" w:type="dxa"/>
            <w:vAlign w:val="bottom"/>
          </w:tcPr>
          <w:p>
            <w:pPr>
              <w:spacing w:after="0"/>
              <w:rPr>
                <w:sz w:val="1"/>
                <w:szCs w:val="1"/>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Disposal of furniture, fixtures and equipment</w:t>
            </w: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0" w:type="dxa"/>
            <w:vAlign w:val="bottom"/>
            <w:tcBorders>
              <w:top w:val="single" w:sz="8" w:color="CFF0FC"/>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172,239</w:t>
            </w: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178,578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sale of common stock, net of transaction costs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 net of transaction costs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paid related to stock-based awards</w:t>
            </w:r>
          </w:p>
        </w:tc>
        <w:tc>
          <w:tcPr>
            <w:tcW w:w="32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(693 )</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(7,929 )</w:t>
            </w:r>
          </w:p>
        </w:tc>
        <w:tc>
          <w:tcPr>
            <w:tcW w:w="0" w:type="dxa"/>
            <w:vAlign w:val="bottom"/>
          </w:tcPr>
          <w:p>
            <w:pPr>
              <w:spacing w:after="0"/>
              <w:rPr>
                <w:sz w:val="1"/>
                <w:szCs w:val="1"/>
                <w:color w:val="auto"/>
              </w:rPr>
            </w:pPr>
          </w:p>
        </w:tc>
      </w:tr>
      <w:tr>
        <w:trPr>
          <w:trHeight w:val="209"/>
        </w:trPr>
        <w:tc>
          <w:tcPr>
            <w:tcW w:w="700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64"/>
        </w:trPr>
        <w:tc>
          <w:tcPr>
            <w:tcW w:w="700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NET INCREASE IN CASH AND CASH EQUIVALENTS AND</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00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CASH AND CASH EQUIVALENTS AND RESTRICTED CASH, BEGINNING OF</w:t>
            </w:r>
          </w:p>
        </w:tc>
        <w:tc>
          <w:tcPr>
            <w:tcW w:w="32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223,372</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PERIOD</w:t>
            </w: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231,919</w:t>
            </w:r>
          </w:p>
        </w:tc>
        <w:tc>
          <w:tcPr>
            <w:tcW w:w="2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received during the year for:</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(2,112 )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0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non-cash transactions:</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Initial recognition of operating lease right-of-use asset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Laxdale Milestone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-2965450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-2965450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-2407920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-2407920</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-1559560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-1559560</wp:posOffset>
            </wp:positionV>
            <wp:extent cx="60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-1045210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-1045210</wp:posOffset>
            </wp:positionV>
            <wp:extent cx="603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-462280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-445135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-462280</wp:posOffset>
            </wp:positionV>
            <wp:extent cx="603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-445135</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53340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20" w:right="8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Quarterly Report on Form 10-Q, ordinary shares may also be referred to as “common shares” or “common stock.”</w:t>
      </w:r>
    </w:p>
    <w:p>
      <w:pPr>
        <w:spacing w:after="0" w:line="31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w:t>
        <w:tab/>
        <w:t>Nature of Business and Basis of Presentation</w:t>
      </w:r>
    </w:p>
    <w:p>
      <w:pPr>
        <w:spacing w:after="0" w:line="2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Nature of Business</w:t>
      </w:r>
    </w:p>
    <w:p>
      <w:pPr>
        <w:spacing w:after="0" w:line="10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Amarin Corporation plc, or Amarin, or the Company, is a pharmaceutical company focused on the commercialization and development of therapeutics to improve cardiovascular, or CV, health and reduce CV risk. Most of the Company’s historical revenue and sales, marketing and administrative activities and costs have been associated with commercial operations in the United States, or U.S. As of September 1, 2021, product was made available in Germany with temporary reimbursement and as of October 1, 2021 was included in Germany's electronic prescribing system. The Company continues pre-launch commercial activities throughout Europe. The Company’s operations outside of the U.S. and Europe are in early stages of development with reliance on third-party commercial partners in select geographies, including China where regulatory approval for the Company’s lead product is being actively sought.</w:t>
      </w:r>
    </w:p>
    <w:p>
      <w:pPr>
        <w:spacing w:after="0" w:line="79"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18"/>
          <w:szCs w:val="18"/>
          <w:color w:val="auto"/>
        </w:rPr>
        <w:t>The Company’s lead product,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was first approved by the U.S. Food and Drug Administration, or U.S. FDA, in July 2012 for use as an adjunct to diet to reduce triglyceride, or TG, levels in adult patients with severe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mg/dL) hypertriglyceridemia. In January 2013, the Company launched 1-gram size VASCEPA in the U.S. and in October 2016, introduced a smaller 0.5-gram capsule size. On December 13, 2019, the U.S. FDA approved another indication and label expansion for VASCEPA based on the results of the Company’s long-term cardiovascular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approved by the U.S. FDA as an adjunct to maximally tolerated statin therapy for reducing persistent cardiovascular risk in select high risk patients.</w:t>
      </w:r>
    </w:p>
    <w:p>
      <w:pPr>
        <w:spacing w:after="0" w:line="7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and certain of their affiliates, or, collectively, the Defendants, that declared as invalid several of the Company's patents covering the first U.S. FDA-approved use of its drug, for use to reduce severely high triglyceride levels, which is known as the MARINE indication. The Company sought appeals of the Nevada Court judgment up to the United States Supreme Court, but the Company was unsuccessful. On June 18, 2021, the Company was notified that its petition for writ of certiorari to the United States Supreme Court was denied.</w:t>
      </w:r>
    </w:p>
    <w:p>
      <w:pPr>
        <w:spacing w:after="0" w:line="7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On May 22, 2020, Hikma received U.S. FDA approval to market its generic version of VASCEPA for the MARINE indication of VASCEPA. In November 2020, Hikma launched their generic version of VASCEPA on a limited scale. On November 30, 2020, the Company filed a patent infringement lawsuit against Hikma for making, selling, offering to sell and importing generic icosapent ethyl capsules in and into the United States in a manner that the Company alleges has induced the infringement of patents covering the use of VASCEPA to reduce specified cardiovascular risk. In January 2021, the Company expanded the scope of the VASCEPA CV risk reduction patent infringement lawsuit against Hikma to include a health care insurance provider in the United States, Health Net, LLC or Health Net. On January 4, 2022, the district court hearing the case granted Hikma's motion to dismiss. The Company intends to appeal the decision of the district court when permitted and also continue to vigorously pursue the ongoing litigation with Health Net, but cannot predict the outcome or impact on its business.</w:t>
      </w:r>
    </w:p>
    <w:p>
      <w:pPr>
        <w:spacing w:after="0" w:line="78"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On August 10, 2020, Dr. Reddy’s received U.S. FDA approval to market its generic version for the MARINE indication of VASCEPA. In June 2021, Dr. Reddy’s launched its generic version of VASCEPA with labeling that is substantially similar to labeling of the Hikma generic product. On September 11, 2020, Teva Pharmaceuticals USA, Inc’s., or Teva’s, abbreviated new drug application, or ANDA, was approved by the U.S. FDA and on June 30, 2021, Apotex, Inc.'s, or Apotex's, ANDA was approved by the U.S. FDA. In January 2022, Apotex launched its generic version of VASCEPA with labeling that is substantially consistent with the labeling of the Hikma and Dr. Reddy's generic product, not the cardiovascular risk reduction indication, which is known as the REDUCE-IT indication.</w:t>
      </w:r>
    </w:p>
    <w:p>
      <w:pPr>
        <w:spacing w:after="0" w:line="7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On March 26, 2021, the European Commission, or EC, approved the marketing authorization application for VAZKEPA, hereinafter along with the U.S. brand name VASCEPA, collectively referred to as VASCEPA, in the EU to reduce the risk of cardiovascular events in high-risk, statin-treated adult patients who have elevated triglycerides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150 mg/dL) and either established cardiovascular disease or diabetes and at least one additional cardiovascular risk event. On September 13, 2021, the Company launched VAZKEPA in Germany with temporary reimbursement, representing the Company's first European launch. On April 22, 2021, the Company announced that the Medicines and Healthcare Products Regulatory Agency, or MHRA, approved VAZKEPA in England, Scotland and Wales to reduce cardiovascular risk through MHRA’s new ‘reliance’ route following the end of the BREXIT transition period. Collectively CHMP, EMA, EC and MHRA are referred to herein as the European Regulatory Authorities.</w:t>
      </w:r>
    </w:p>
    <w:p>
      <w:pPr>
        <w:spacing w:after="0" w:line="73"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In November 2020, the Company announced topline results from the Phase 3 clinical trial of VASCEPA conducted by the Company’s partner in China. On February 9, 2021, the Company announced that regulatory review processes for approval of VASCEPA in Mainland China and Hong Kong had commenced. The Chinese National Medical Products Administration, or NMPA, has accepted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7" w:name="page8"/>
    <w:bookmarkEnd w:id="7"/>
    <w:p>
      <w:pPr>
        <w:ind w:right="200"/>
        <w:spacing w:after="0" w:line="258" w:lineRule="auto"/>
        <w:rPr>
          <w:sz w:val="20"/>
          <w:szCs w:val="20"/>
          <w:color w:val="auto"/>
        </w:rPr>
      </w:pPr>
      <w:r>
        <w:rPr>
          <w:rFonts w:ascii="Times New Roman" w:cs="Times New Roman" w:eastAsia="Times New Roman" w:hAnsi="Times New Roman"/>
          <w:sz w:val="18"/>
          <w:szCs w:val="18"/>
          <w:color w:val="auto"/>
        </w:rPr>
        <w:t>for review the new drug application for VASCEPA based on the results from the Phase 3 clinical trial and the results from the Company’s prior studies of VASCEPA. On February 23, 2022, the Hong Kong Department of Health concluded their evaluation and approved the use of VASCEPA under the REDUCE-IT indication.</w:t>
      </w:r>
    </w:p>
    <w:p>
      <w:pPr>
        <w:spacing w:after="0" w:line="6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Company currently has strategic collaborations to develop and commercialize VASCEPA in select territories outside the United States. Amarin is responsible for supplying VASCEPA to all markets in which the product is sold, including the United States, Germany and Sweden, as well as, in Canada, Lebanon and the United Arab Emirates where the drug is promoted and sold via collaboration with third-party companies that compensate Amarin for such supply. Amarin is not responsible for providing any generic company with drug product. The Company operates in one business segment.</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Presentation</w:t>
      </w:r>
    </w:p>
    <w:p>
      <w:pPr>
        <w:spacing w:after="0" w:line="108"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the Company in accordance with accounting principles generally accepted in the United States, or GAAP,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2021, or the Form 10-K, filed with the SEC. The balance sheet amounts in this report were derived from the Company’s audited consolidated financial statements included in the Form 10-K.</w:t>
      </w:r>
    </w:p>
    <w:p>
      <w:pPr>
        <w:spacing w:after="0" w:line="7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and six months ended June 30, 2022 and 2021 are not necessarily indicative of the results for any future period. Certain numbers presented throughout this document may not add precisely to the totals provided due to rounding. Absolute and percentage changes are calculated using the underlying amounts in thousands. The condensed consolidated financial statements include the accounts of the Company and its wholly-owned subsidiaries. All intercompany accounts and transactions have been eliminated in consolidation.</w:t>
      </w:r>
    </w:p>
    <w:p>
      <w:pPr>
        <w:spacing w:after="0" w:line="92" w:lineRule="exact"/>
        <w:rPr>
          <w:sz w:val="20"/>
          <w:szCs w:val="20"/>
          <w:color w:val="auto"/>
        </w:rPr>
      </w:pPr>
    </w:p>
    <w:p>
      <w:pPr>
        <w:jc w:val="both"/>
        <w:ind w:right="220"/>
        <w:spacing w:after="0" w:line="250"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 as well as the ongoing global pandemic, COVID-19.</w:t>
      </w:r>
    </w:p>
    <w:p>
      <w:pPr>
        <w:spacing w:after="0" w:line="69"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At June 30, 2022, the Company had Total assets of $973.2 million, of which $324.6 million consisted of cash and liquid short-term and long-term investments. More specifically, the Company had Current assets of $719.1 million, including Cash and cash equivalents of $228.0 million, Short-term investments of $85.2 million, Accounts receivable, net, of $143.9 million and Inventory of $225.8 million. In addition, as of June 30, 2022, the Company had Long-term investments of $11.4 million and Long-term inventory of $210.3 million. As of June 30, 2022, the Company had no debt outstanding.</w:t>
      </w:r>
    </w:p>
    <w:p>
      <w:pPr>
        <w:spacing w:after="0" w:line="27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11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or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Topic 606, the Company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net product revenue and licensing revenue, see Note 8—Revenue Recognition.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 w:name="page9"/>
    <w:bookmarkEnd w:id="8"/>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 and Restricted Cash</w:t>
      </w:r>
    </w:p>
    <w:p>
      <w:pPr>
        <w:spacing w:after="0" w:line="12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Cash and cash equivalents consist of cash, deposits with banks and short-term highly liquid money market instruments with original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 net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comprised of trade receivables, are generally due within 30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significant credit losses. All customer accounts are actively managed and no losses in excess of amounts reserved are currently expected; however, the Company is monitoring the potential negative impact of COVID-19 on the Company’s customers’ ability to meet their financial obligations.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of accounts receivable reserves on the gross trade accounts receivable balances as of June 30, 2022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w:t>
      </w:r>
    </w:p>
    <w:p>
      <w:pPr>
        <w:spacing w:after="0" w:line="212" w:lineRule="exact"/>
        <w:rPr>
          <w:sz w:val="20"/>
          <w:szCs w:val="20"/>
          <w:color w:val="auto"/>
        </w:rPr>
      </w:pPr>
    </w:p>
    <w:tbl>
      <w:tblPr>
        <w:tblLayout w:type="fixed"/>
        <w:tblInd w:w="1540" w:type="dxa"/>
        <w:tblCellMar>
          <w:top w:w="0" w:type="dxa"/>
          <w:left w:w="0" w:type="dxa"/>
          <w:bottom w:w="0" w:type="dxa"/>
          <w:right w:w="0" w:type="dxa"/>
        </w:tblCellMar>
      </w:tblPr>
      <w:tr>
        <w:trPr>
          <w:trHeight w:val="187"/>
        </w:trPr>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6"/>
                <w:szCs w:val="16"/>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6"/>
                <w:szCs w:val="16"/>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trade accounts receivable</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189,782</w:t>
            </w:r>
          </w:p>
        </w:tc>
        <w:tc>
          <w:tcPr>
            <w:tcW w:w="1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262,948</w:t>
            </w:r>
          </w:p>
        </w:tc>
        <w:tc>
          <w:tcPr>
            <w:tcW w:w="8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Trade allowances</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(30,986 )</w:t>
            </w:r>
          </w:p>
        </w:tc>
        <w:tc>
          <w:tcPr>
            <w:tcW w:w="12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(86,636 )</w:t>
            </w: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Chargebacks</w:t>
            </w: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(13,909 )</w:t>
            </w: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(11,714 )</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(945 )</w:t>
            </w:r>
          </w:p>
        </w:tc>
        <w:tc>
          <w:tcPr>
            <w:tcW w:w="12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(945 )</w:t>
            </w:r>
          </w:p>
        </w:tc>
      </w:tr>
      <w:tr>
        <w:trPr>
          <w:trHeight w:val="249"/>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143,942</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163,653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-25400</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51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51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51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Inventory</w:t>
      </w:r>
    </w:p>
    <w:p>
      <w:pPr>
        <w:spacing w:after="0" w:line="108"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The Company states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The Company classifies inventory as long-term inventory when consumption of the inventory is expected beyond the operating cycle.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active pharmaceutical ingredient, or API.</w:t>
      </w:r>
    </w:p>
    <w:p>
      <w:pPr>
        <w:spacing w:after="0" w:line="1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108"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of differences between the carrying amounts and tax bases of assets and liabilities and operating loss carryforwards and other tax attributes using enacted rates expected to be in effect when those differences reverse. Valuation allowances are provided against deferred tax assets that are not more likely than not to be realized. Deferred tax assets and liabilities are classified as non-current in the condensed consolidated balance sheet.</w:t>
      </w:r>
    </w:p>
    <w:p>
      <w:pPr>
        <w:spacing w:after="0" w:line="6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Company provides reserves for potential payments of tax to various tax authorities and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 as applicable.</w:t>
      </w:r>
    </w:p>
    <w:p>
      <w:pPr>
        <w:spacing w:after="0" w:line="69"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18"/>
          <w:szCs w:val="18"/>
          <w:color w:val="auto"/>
        </w:rPr>
        <w:t>The Company regularly assesses its ability to realize deferred tax assets. Changes in historical earnings performance, future earnings projections, and changes in tax laws, among other factors, may cause the Company to adjust its valuation allowance on deferred tax assets, which would impact the Company’s income tax expense in the period in which it is determined that these factors have changed.</w:t>
      </w:r>
    </w:p>
    <w:p>
      <w:pPr>
        <w:spacing w:after="0" w:line="61"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8"/>
          <w:szCs w:val="18"/>
          <w:color w:val="auto"/>
        </w:rPr>
        <w:t>Excess tax benefits and deficiencies that arise upon vesting or exercise of share-based payments are recognized as an income tax benefit and expense, respectively, in the condensed consolidated statement of operations. Excess income tax benefits are classified as cash flows from operating activities and cash paid to taxing authorities arising from the withholding of shares from employees are classified as cash flows from financing activities.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9" w:name="page10"/>
    <w:bookmarkEnd w:id="9"/>
    <w:p>
      <w:pPr>
        <w:spacing w:after="0" w:line="250" w:lineRule="auto"/>
        <w:rPr>
          <w:sz w:val="20"/>
          <w:szCs w:val="20"/>
          <w:color w:val="auto"/>
        </w:rPr>
      </w:pPr>
      <w:r>
        <w:rPr>
          <w:rFonts w:ascii="Times New Roman" w:cs="Times New Roman" w:eastAsia="Times New Roman" w:hAnsi="Times New Roman"/>
          <w:sz w:val="18"/>
          <w:szCs w:val="18"/>
          <w:color w:val="auto"/>
        </w:rPr>
        <w:t>The Company’s and its subsidiaries’ income tax returns are periodically examined by various tax authorities, including the Internal Revenue Service, or IRS, and states. The Company is currently under audit by the IRS for the Company’s 2018 U.S. income tax return and by the New Jersey Department of Treasury for the years 2012 to 2015. Although the outcome of tax audits is always uncertain and could result in significant cash tax payments, the Company does not believe the outcome of these audits will have a material adverse effect on its consolidated financial position or results of operations.</w:t>
      </w: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(Loss) Earnings per Share</w:t>
      </w:r>
    </w:p>
    <w:p>
      <w:pPr>
        <w:spacing w:after="0" w:line="108"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auto"/>
        </w:rPr>
        <w:t>Basic net (loss) earnings per share is determined by dividing net (loss) income by the weighted average shares of common stock outstanding during the period. Diluted net (loss) earnings per share is determined by dividing net (loss) income by diluted weighted average shares outstanding. Diluted weighted average shares reflects the dilutive effect, if any, of potentially dilutive common shares, such as from the exercise of stock options and vesting of restricted stock units calculated using the treasury stock method and the issuance of contingently issuable shares related to the Company's Laxdale share repurchase agreement. In periods with reported net operating losses, all stock options, restricted stock units and contingently issuable shares outstanding are deemed anti-dilutive such that basic and diluted net loss per share are equal.</w:t>
      </w:r>
    </w:p>
    <w:p>
      <w:pPr>
        <w:spacing w:after="0" w:line="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calculation of net (loss) income and the number of shares used to compute basic and diluted net (loss) earnings per share for the three and six months ended June 30, 2022 and 2021 are as follows:</w:t>
      </w:r>
    </w:p>
    <w:p>
      <w:pPr>
        <w:spacing w:after="0" w:line="61"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00" w:type="dxa"/>
            <w:vAlign w:val="bottom"/>
          </w:tcPr>
          <w:p>
            <w:pPr>
              <w:spacing w:after="0"/>
              <w:rPr>
                <w:sz w:val="16"/>
                <w:szCs w:val="16"/>
                <w:color w:val="auto"/>
              </w:rPr>
            </w:pPr>
          </w:p>
        </w:tc>
      </w:tr>
      <w:tr>
        <w:trPr>
          <w:trHeight w:val="169"/>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income—basic and 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(69,956</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(101,519</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00" w:type="dxa"/>
            <w:vAlign w:val="bottom"/>
            <w:shd w:val="clear" w:color="auto" w:fill="CFF0FC"/>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outstanding—basic</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398,187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397,997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395,272</w:t>
            </w:r>
          </w:p>
        </w:tc>
        <w:tc>
          <w:tcPr>
            <w:tcW w:w="100" w:type="dxa"/>
            <w:vAlign w:val="bottom"/>
          </w:tcPr>
          <w:p>
            <w:pPr>
              <w:spacing w:after="0"/>
              <w:rPr>
                <w:sz w:val="18"/>
                <w:szCs w:val="18"/>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0" w:type="dxa"/>
            <w:vAlign w:val="bottom"/>
          </w:tcPr>
          <w:p>
            <w:pPr>
              <w:spacing w:after="0"/>
              <w:rPr>
                <w:sz w:val="18"/>
                <w:szCs w:val="18"/>
                <w:color w:val="auto"/>
              </w:rPr>
            </w:pPr>
          </w:p>
        </w:tc>
        <w:tc>
          <w:tcPr>
            <w:tcW w:w="13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100" w:type="dxa"/>
            <w:vAlign w:val="bottom"/>
          </w:tcPr>
          <w:p>
            <w:pPr>
              <w:spacing w:after="0"/>
              <w:rPr>
                <w:sz w:val="18"/>
                <w:szCs w:val="18"/>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shd w:val="clear" w:color="auto" w:fill="CFF0FC"/>
          </w:tcPr>
          <w:p>
            <w:pPr>
              <w:spacing w:after="0"/>
              <w:rPr>
                <w:sz w:val="18"/>
                <w:szCs w:val="18"/>
                <w:color w:val="auto"/>
              </w:rPr>
            </w:pPr>
          </w:p>
        </w:tc>
      </w:tr>
      <w:tr>
        <w:trPr>
          <w:trHeight w:val="209"/>
        </w:trPr>
        <w:tc>
          <w:tcPr>
            <w:tcW w:w="4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 average shares outstanding—diluted</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398,187</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401,767</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397,997</w:t>
            </w:r>
          </w:p>
        </w:tc>
        <w:tc>
          <w:tcPr>
            <w:tcW w:w="2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402,778</w:t>
            </w:r>
          </w:p>
        </w:tc>
        <w:tc>
          <w:tcPr>
            <w:tcW w:w="100" w:type="dxa"/>
            <w:vAlign w:val="bottom"/>
            <w:tcBorders>
              <w:top w:val="single" w:sz="8" w:color="CFF0FC"/>
            </w:tcBorders>
          </w:tcPr>
          <w:p>
            <w:pPr>
              <w:spacing w:after="0"/>
              <w:rPr>
                <w:sz w:val="18"/>
                <w:szCs w:val="18"/>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earnings per share—basic</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(0.18 )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(0.26 )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FF0FC"/>
          </w:tcPr>
          <w:p>
            <w:pPr>
              <w:spacing w:after="0"/>
              <w:rPr>
                <w:sz w:val="18"/>
                <w:szCs w:val="18"/>
                <w:color w:val="auto"/>
              </w:rPr>
            </w:pP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(loss) earnings per share—diluted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(0.18 )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(0.26 )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-431165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-431165</wp:posOffset>
            </wp:positionV>
            <wp:extent cx="596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-431165</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-431165</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six months ended June 30, 2022 and 2021, the following potentially dilutive securities were not included in the computation of net (loss)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per share because the effect would be anti-dilutive or because performance criteria were not yet met for awards contingent upon such measures:</w:t>
      </w:r>
    </w:p>
    <w:p>
      <w:pPr>
        <w:spacing w:after="0" w:line="18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21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3"/>
                <w:szCs w:val="13"/>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w:t>
            </w:r>
          </w:p>
        </w:tc>
        <w:tc>
          <w:tcPr>
            <w:tcW w:w="80" w:type="dxa"/>
            <w:vAlign w:val="bottom"/>
          </w:tcPr>
          <w:p>
            <w:pPr>
              <w:spacing w:after="0"/>
              <w:rPr>
                <w:sz w:val="13"/>
                <w:szCs w:val="13"/>
                <w:color w:val="auto"/>
              </w:rPr>
            </w:pPr>
          </w:p>
        </w:tc>
      </w:tr>
      <w:tr>
        <w:trPr>
          <w:trHeight w:val="187"/>
        </w:trPr>
        <w:tc>
          <w:tcPr>
            <w:tcW w:w="3380" w:type="dxa"/>
            <w:vAlign w:val="bottom"/>
          </w:tcPr>
          <w:p>
            <w:pPr>
              <w:spacing w:after="0"/>
              <w:rPr>
                <w:sz w:val="16"/>
                <w:szCs w:val="16"/>
                <w:color w:val="auto"/>
              </w:rPr>
            </w:pPr>
          </w:p>
        </w:tc>
        <w:tc>
          <w:tcPr>
            <w:tcW w:w="1420" w:type="dxa"/>
            <w:vAlign w:val="bottom"/>
            <w:tcBorders>
              <w:bottom w:val="single" w:sz="8" w:color="auto"/>
            </w:tcBorders>
            <w:gridSpan w:val="3"/>
          </w:tcPr>
          <w:p>
            <w:pPr>
              <w:jc w:val="center"/>
              <w:ind w:left="6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80" w:type="dxa"/>
            <w:vAlign w:val="bottom"/>
          </w:tcPr>
          <w:p>
            <w:pPr>
              <w:spacing w:after="0"/>
              <w:rPr>
                <w:sz w:val="16"/>
                <w:szCs w:val="16"/>
                <w:color w:val="auto"/>
              </w:rPr>
            </w:pPr>
          </w:p>
        </w:tc>
      </w:tr>
      <w:tr>
        <w:trPr>
          <w:trHeight w:val="169"/>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9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9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169"/>
        </w:trPr>
        <w:tc>
          <w:tcPr>
            <w:tcW w:w="3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2"/>
          </w:tcPr>
          <w:p>
            <w:pPr>
              <w:spacing w:after="0"/>
              <w:rPr>
                <w:sz w:val="14"/>
                <w:szCs w:val="14"/>
                <w:color w:val="auto"/>
              </w:rPr>
            </w:pPr>
          </w:p>
        </w:tc>
        <w:tc>
          <w:tcPr>
            <w:tcW w:w="11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19,995</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10,711</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19,995</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80" w:type="dxa"/>
            <w:vAlign w:val="bottom"/>
            <w:shd w:val="clear" w:color="auto" w:fill="CFF0FC"/>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80" w:type="dxa"/>
            <w:vAlign w:val="bottom"/>
          </w:tcPr>
          <w:p>
            <w:pPr>
              <w:spacing w:after="0"/>
              <w:rPr>
                <w:sz w:val="18"/>
                <w:szCs w:val="18"/>
                <w:color w:val="auto"/>
              </w:rPr>
            </w:pPr>
          </w:p>
        </w:tc>
      </w:tr>
      <w:tr>
        <w:trPr>
          <w:trHeight w:val="21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Laxdale milestone shares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bl>
    <w:p>
      <w:pPr>
        <w:spacing w:after="0" w:line="33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Stock options are anti-dilutive during periods of net earnings when the exercise price of the stock options exceeds the market price of the underlying shares on the last day of the reporting period. Restricted stock and restricted stock units are anti-dilutive during periods of net earnings when underlying performance-based vesting requirements were not achieved as of the last day of the reporting period.</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Credit Risk</w:t>
      </w:r>
    </w:p>
    <w:p>
      <w:pPr>
        <w:spacing w:after="0" w:line="94"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and cash equivalents, short-term and long-term investments, and accounts receivable. The Company maintains substantially all of its cash and cash equivalents and short-term and long-term investments, in financial institutions believed to be of high-credit quality.</w:t>
      </w:r>
    </w:p>
    <w:p>
      <w:pPr>
        <w:spacing w:after="0" w:line="7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25%, 38%, and 31%, respectively, of gross product sales for the six months ended June 30, 2022, and represented 41%, 33%, and 21%, respectively, of the gross accounts receivable balance as of June 30, 2022. Customers A, B, and C accounted for 27%, 36%, and 30%, respectively, of gross product sales for the six months ended June 30, 2021 and represented 40%, 34%, and 21%, respectively, of the gross accounts receivable balance as of June 30, 2021. The Company has not experienced any significant write-offs of its accounts receivable. All customer accounts are actively managed and no losses in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0" w:name="page11"/>
    <w:bookmarkEnd w:id="10"/>
    <w:p>
      <w:pPr>
        <w:ind w:right="320"/>
        <w:spacing w:after="0" w:line="266" w:lineRule="auto"/>
        <w:rPr>
          <w:sz w:val="20"/>
          <w:szCs w:val="20"/>
          <w:color w:val="auto"/>
        </w:rPr>
      </w:pPr>
      <w:r>
        <w:rPr>
          <w:rFonts w:ascii="Times New Roman" w:cs="Times New Roman" w:eastAsia="Times New Roman" w:hAnsi="Times New Roman"/>
          <w:sz w:val="18"/>
          <w:szCs w:val="18"/>
          <w:color w:val="auto"/>
        </w:rPr>
        <w:t>excess of amounts reserved are currently expected; however, the Company is monitoring the potential negative impact of COVID-19 on the Company’s customers’ ability to meet their financial obligations.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Suppliers</w:t>
      </w:r>
    </w:p>
    <w:p>
      <w:pPr>
        <w:spacing w:after="0" w:line="10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6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disruption or termination of the Company’s current supply chain, including as a result of COVID-19, or the Company’s failure to enter into new and similar agreements in a timely fashion, if needed, could have a material adverse effect on its business, condition (financial and other), prospects or results of operations.</w:t>
      </w:r>
    </w:p>
    <w:p>
      <w:pPr>
        <w:spacing w:after="0" w:line="83"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The Company currently has manufacturing agreements with multiple independent API manufacturers and several independent API encapsulators and packagers for VASCEPA manufacturing. Each of these API manufacturers, encapsulators and packagers is U.S. FDA-approved and certain of these API manufacturers, encapsulators and packagers are also approved by the European Regulatory Authorities for manufacturing VAZKEPA in Europe. These suppliers are also used by the Company to source supply to meet the clinical trial and commercial demands of its partners in other countries. Each of these suppliers has qualified and validated its manufacturing processes. There can be no guarantee that these or other suppliers with which the Company may contract in the future to manufacture VASCEPA or VASCEPA API will remain qualified to do so to its specifications or that these and any future suppliers will have the manufacturing capacity to meet potential global demand for VASCEPA.</w:t>
      </w:r>
    </w:p>
    <w:p>
      <w:pPr>
        <w:spacing w:after="0" w:line="2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10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61"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 that the Company has the ability to access at the measurement date.</w:t>
      </w:r>
    </w:p>
    <w:p>
      <w:pPr>
        <w:spacing w:after="0" w:line="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 that reflect the Company’s estimates of the assumptions that market participants would use in pricing the asset or liability.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develops these inputs based on the best information available, including its own data.</w:t>
      </w:r>
    </w:p>
    <w:p>
      <w:pPr>
        <w:spacing w:after="0" w:line="9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estimated fair value of the Company’s assets and liabilities as of June 30, 2022 and December 31, 2021 and indicate the fair value hierarchy of the valuation techniques the Company utilized to determine such fair value: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10"/>
        </w:trPr>
        <w:tc>
          <w:tcPr>
            <w:tcW w:w="58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123,455</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123,455</w:t>
            </w:r>
          </w:p>
        </w:tc>
        <w:tc>
          <w:tcPr>
            <w:tcW w:w="6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Shares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26,148</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26,148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Repo Securities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Deposit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Non-US Government</w:t>
            </w: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234,914</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126,567</w:t>
            </w:r>
          </w:p>
        </w:tc>
        <w:tc>
          <w:tcPr>
            <w:tcW w:w="26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108,347</w:t>
            </w:r>
          </w:p>
        </w:tc>
        <w:tc>
          <w:tcPr>
            <w:tcW w:w="2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9"/>
        </w:trPr>
        <w:tc>
          <w:tcPr>
            <w:tcW w:w="5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32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-504825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-504825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-504825</wp:posOffset>
            </wp:positionV>
            <wp:extent cx="59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-504825</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1" w:name="page12"/>
    <w:bookmarkEnd w:id="11"/>
    <w:tbl>
      <w:tblPr>
        <w:tblLayout w:type="fixed"/>
        <w:tblInd w:w="580" w:type="dxa"/>
        <w:tblCellMar>
          <w:top w:w="0" w:type="dxa"/>
          <w:left w:w="0" w:type="dxa"/>
          <w:bottom w:w="0" w:type="dxa"/>
          <w:right w:w="0" w:type="dxa"/>
        </w:tblCellMar>
      </w:tblPr>
      <w:tr>
        <w:trPr>
          <w:trHeight w:val="187"/>
        </w:trPr>
        <w:tc>
          <w:tcPr>
            <w:tcW w:w="3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2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09"/>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95,063</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95,063</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Shares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23,219</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23,219</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83,587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83,587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121,773</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121,773</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Repo Securities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Deposit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3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Non-US Government</w:t>
            </w: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374,911</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118,282</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256,629</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0"/>
        </w:trPr>
        <w:tc>
          <w:tcPr>
            <w:tcW w:w="3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-170815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-170815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-170815</wp:posOffset>
            </wp:positionV>
            <wp:extent cx="59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carrying amount of the Company’s cash and cash equivalents approximates fair value because of their short-term nature. The cash and cash equivalents consist of cash, deposits with banks and short-term highly liquid money market instruments with remaining maturities at the date of the purchase of 90 days or less.</w:t>
      </w:r>
    </w:p>
    <w:p>
      <w:pPr>
        <w:spacing w:after="0" w:line="6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Company’s held-to-maturity investments are stated at amortized cost, which approximates fair value. The Company does not intend to sell these investment securities and the contractual maturities are not greater than 24 months. Those with original maturities greater than 90 days and maturities less than 12 months are included in short-term investments on its condensed consolidated balance sheet. Those with remaining maturities in excess of 12 months are included in long-term investments on its condensed consolidated balance sheet.</w:t>
      </w:r>
    </w:p>
    <w:p>
      <w:pPr>
        <w:spacing w:after="0" w:line="6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Unrealized gains or losses on held-to-maturity securities are not recognized until maturity, except other-than-temporary unrealized losses which are recognized in earnings in the period incurred. The Company evaluates securities with unrealized losses to determine whether such losses are other than temporary. The unrealized gain or loss for the six months ended June 30, 2022 and 2021 was a loss of $0.9 million and a gain of $0.1 million, respectively. Interest on investments is reported in interest income.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accounts payable and accrued liabilities approximate fair value because of their short-term nature.</w:t>
      </w:r>
    </w:p>
    <w:p>
      <w:pPr>
        <w:spacing w:after="0" w:line="2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and Geographical Information</w:t>
      </w:r>
    </w:p>
    <w:p>
      <w:pPr>
        <w:spacing w:after="0" w:line="121"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1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Restructuring</w:t>
      </w:r>
    </w:p>
    <w:p>
      <w:pPr>
        <w:spacing w:after="0" w:line="12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On September 22, 2021, the Company announced a Go-to-Market strategy for VASCEPA. As part of this strategy, the Company completed a reduction of its U.S. field force to approximately 300 sales representatives, enhanced managed care access and optimized VASCEPA prescriptions for cardiovascular risk reduction. During the year ended December 31, 2021, the Company recognized approximately $13.7 million in charges related to the reduction in force, substantially all of which were cash expenditures for one-time termination benefits and associated costs.</w:t>
      </w:r>
    </w:p>
    <w:p>
      <w:pPr>
        <w:spacing w:after="0" w:line="69"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On June 6, 2022, the Company announced a Comprehensive Cost Reduction Plan which includes an organizational restructuring plan to address current shifts within the Company’s U.S. business. As part of the plan, the Company completed a reduction of its U.S. field force from approximately 300 sales representatives to approximately 75 sales representatives. The Company recognized approximately $10.2 million within Restructuring expense on the condensed consolidated statement of operations related to the reduction in force, substantially all of which are cash expenditures. The Company also reviewed its contractual supplier purchase obligations and has taken steps to amend supplier agreements to align supply arrangements with current and future market demand resulting in a charge of $15.0 million recognized within Cost of goods sold - restructuring inventory on the condensed consolidated statement of operations. The Company continues to negotiate with other contract suppliers to align its supply arrangements with current and future global demand which may result in additional costs to the Company. Collectively these actions comprise the "Plans".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Company's restructuring charges for the three and six months ended June 30, 2022 and 2021:</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12" w:name="page13"/>
    <w:bookmarkEnd w:id="12"/>
    <w:tbl>
      <w:tblPr>
        <w:tblLayout w:type="fixed"/>
        <w:tblInd w:w="580" w:type="dxa"/>
        <w:tblCellMar>
          <w:top w:w="0" w:type="dxa"/>
          <w:left w:w="0" w:type="dxa"/>
          <w:bottom w:w="0" w:type="dxa"/>
          <w:right w:w="0" w:type="dxa"/>
        </w:tblCellMar>
      </w:tblPr>
      <w:tr>
        <w:trPr>
          <w:trHeight w:val="187"/>
        </w:trPr>
        <w:tc>
          <w:tcPr>
            <w:tcW w:w="314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00" w:type="dxa"/>
            <w:vAlign w:val="bottom"/>
          </w:tcPr>
          <w:p>
            <w:pPr>
              <w:spacing w:after="0"/>
              <w:rPr>
                <w:sz w:val="16"/>
                <w:szCs w:val="16"/>
                <w:color w:val="auto"/>
              </w:rPr>
            </w:pPr>
          </w:p>
        </w:tc>
      </w:tr>
      <w:tr>
        <w:trPr>
          <w:trHeight w:val="169"/>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4"/>
                <w:szCs w:val="14"/>
                <w:color w:val="auto"/>
              </w:rPr>
            </w:pPr>
          </w:p>
        </w:tc>
        <w:tc>
          <w:tcPr>
            <w:tcW w:w="148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4"/>
        </w:trPr>
        <w:tc>
          <w:tcPr>
            <w:tcW w:w="3140" w:type="dxa"/>
            <w:vAlign w:val="bottom"/>
            <w:shd w:val="clear" w:color="auto" w:fill="CFF0FC"/>
          </w:tcPr>
          <w:p>
            <w:pPr>
              <w:spacing w:after="0" w:line="164" w:lineRule="exact"/>
              <w:rPr>
                <w:sz w:val="20"/>
                <w:szCs w:val="20"/>
                <w:color w:val="auto"/>
              </w:rPr>
            </w:pPr>
            <w:r>
              <w:rPr>
                <w:rFonts w:ascii="Times New Roman" w:cs="Times New Roman" w:eastAsia="Times New Roman" w:hAnsi="Times New Roman"/>
                <w:sz w:val="18"/>
                <w:szCs w:val="18"/>
                <w:color w:val="auto"/>
              </w:rPr>
              <w:t>Employee restructuring separation</w:t>
            </w:r>
          </w:p>
        </w:tc>
        <w:tc>
          <w:tcPr>
            <w:tcW w:w="96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charges</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1480" w:type="dxa"/>
            <w:vAlign w:val="bottom"/>
            <w:gridSpan w:val="2"/>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6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0"/>
                <w:szCs w:val="20"/>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Vendor contract charges</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49"/>
        </w:trPr>
        <w:tc>
          <w:tcPr>
            <w:tcW w:w="31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restructuring expense</w:t>
            </w:r>
          </w:p>
        </w:tc>
        <w:tc>
          <w:tcPr>
            <w:tcW w:w="9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3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Restructuring inventory</w:t>
            </w: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15,000</w:t>
            </w:r>
          </w:p>
        </w:tc>
        <w:tc>
          <w:tcPr>
            <w:tcW w:w="26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ind w:left="16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15,000</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98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7"/>
                <w:szCs w:val="17"/>
                <w:color w:val="auto"/>
              </w:rPr>
            </w:pPr>
          </w:p>
        </w:tc>
      </w:tr>
      <w:tr>
        <w:trPr>
          <w:trHeight w:val="249"/>
        </w:trPr>
        <w:tc>
          <w:tcPr>
            <w:tcW w:w="31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restructuring charge</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25,213</w:t>
            </w: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25,213</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-334010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-316865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-334010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-316865</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-334010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-316865</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-334010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-316865</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-25400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-25400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shows the change in restructuring liability, associated with the Plans, which is included within accrued expenses and other current liabilities:</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7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60" w:type="dxa"/>
            <w:vAlign w:val="bottom"/>
          </w:tcPr>
          <w:p>
            <w:pPr>
              <w:spacing w:after="0"/>
              <w:rPr>
                <w:sz w:val="16"/>
                <w:szCs w:val="16"/>
                <w:color w:val="auto"/>
              </w:rPr>
            </w:pPr>
          </w:p>
        </w:tc>
        <w:tc>
          <w:tcPr>
            <w:tcW w:w="3580" w:type="dxa"/>
            <w:vAlign w:val="bottom"/>
            <w:gridSpan w:val="2"/>
          </w:tcPr>
          <w:p>
            <w:pPr>
              <w:jc w:val="right"/>
              <w:ind w:right="1500"/>
              <w:spacing w:after="0"/>
              <w:rPr>
                <w:sz w:val="20"/>
                <w:szCs w:val="20"/>
                <w:color w:val="auto"/>
              </w:rPr>
            </w:pPr>
            <w:r>
              <w:rPr>
                <w:rFonts w:ascii="Times New Roman" w:cs="Times New Roman" w:eastAsia="Times New Roman" w:hAnsi="Times New Roman"/>
                <w:sz w:val="14"/>
                <w:szCs w:val="14"/>
                <w:b w:val="1"/>
                <w:bCs w:val="1"/>
                <w:color w:val="auto"/>
              </w:rPr>
              <w:t>Restructuring Liability</w:t>
            </w:r>
          </w:p>
        </w:tc>
      </w:tr>
      <w:tr>
        <w:trPr>
          <w:trHeight w:val="20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760" w:type="dxa"/>
            <w:vAlign w:val="bottom"/>
            <w:tcBorders>
              <w:top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incurred</w:t>
            </w:r>
          </w:p>
        </w:tc>
        <w:tc>
          <w:tcPr>
            <w:tcW w:w="760" w:type="dxa"/>
            <w:vAlign w:val="bottom"/>
          </w:tcPr>
          <w:p>
            <w:pPr>
              <w:spacing w:after="0"/>
              <w:rPr>
                <w:sz w:val="18"/>
                <w:szCs w:val="18"/>
                <w:color w:val="auto"/>
              </w:rPr>
            </w:pP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25,213</w:t>
            </w: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760" w:type="dxa"/>
            <w:vAlign w:val="bottom"/>
            <w:shd w:val="clear" w:color="auto" w:fill="CFF0FC"/>
          </w:tcPr>
          <w:p>
            <w:pPr>
              <w:spacing w:after="0"/>
              <w:rPr>
                <w:sz w:val="18"/>
                <w:szCs w:val="18"/>
                <w:color w:val="auto"/>
              </w:rPr>
            </w:pPr>
          </w:p>
        </w:tc>
        <w:tc>
          <w:tcPr>
            <w:tcW w:w="3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(3,938 )</w:t>
            </w:r>
          </w:p>
        </w:tc>
      </w:tr>
      <w:tr>
        <w:trPr>
          <w:trHeight w:val="216"/>
        </w:trPr>
        <w:tc>
          <w:tcPr>
            <w:tcW w:w="57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76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8"/>
                <w:szCs w:val="18"/>
                <w:color w:val="auto"/>
              </w:rPr>
            </w:pPr>
          </w:p>
        </w:tc>
      </w:tr>
      <w:tr>
        <w:trPr>
          <w:trHeight w:val="249"/>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5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(1) - Represents the reversal of expense associated with unvested equity awards</w:t>
      </w:r>
    </w:p>
    <w:p>
      <w:pPr>
        <w:spacing w:after="0" w:line="2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Accounting Pronouncements</w:t>
      </w:r>
    </w:p>
    <w:p>
      <w:pPr>
        <w:spacing w:after="0" w:line="108"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and are early adopted by the Company or adopted as of the specified effective date.</w:t>
      </w:r>
    </w:p>
    <w:p>
      <w:pPr>
        <w:spacing w:after="0" w:line="6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has evaluated all recently issued accounting pronouncements through the date of the financial statements and found that no recently issued accounting pronouncements, when adopted, will have a material impact on the Company’s condensed consolidated financial position, results of operations, and cash flows, or do not apply to the Company’s operations.</w:t>
      </w:r>
    </w:p>
    <w:p>
      <w:pPr>
        <w:spacing w:after="0" w:line="29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(3)</w:t>
        <w:tab/>
        <w:t>Intangible Asset</w:t>
      </w:r>
    </w:p>
    <w:p>
      <w:pPr>
        <w:spacing w:after="0" w:line="10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Intangible asset consists of milestone payments to the former shareholders of Laxdale related to the 2004 acquisition of the rights to VASCEPA, which is the result of VASCEPA receiving marketing approval in the U.S. for the first indication in 2012, the expanded label in 2019 and marketing approval in Europe in 2021. Upon approval of the marketing authorization application for VAZKEPA in March 2021, a milestone for £7.5 million was achieved, which resulted in the Intangible asset increasing by $12.0 million. Refer to Note 5 – Commitments and Contingencies for further details. In accordance with ASC 350, the Company evaluates the remaining useful life of the intangible asset at each reporting period to determine if any events or circumstances warrant a revision to the remaining period of amortization. As of June 30, 2022, the intangible asset has an estimated weighted-average remaining life of 8.8 years. The carrying value as of June 30, 2022 and December 31, 2021 is as follows: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7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6"/>
                <w:szCs w:val="16"/>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16"/>
                <w:szCs w:val="16"/>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rights</w:t>
            </w: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32,081</w:t>
            </w: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32,081</w:t>
            </w:r>
          </w:p>
        </w:tc>
        <w:tc>
          <w:tcPr>
            <w:tcW w:w="80" w:type="dxa"/>
            <w:vAlign w:val="bottom"/>
            <w:shd w:val="clear" w:color="auto" w:fill="CFF0FC"/>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(9,807 )</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(8,534 )</w:t>
            </w:r>
          </w:p>
        </w:tc>
      </w:tr>
      <w:tr>
        <w:trPr>
          <w:trHeight w:val="250"/>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22,274</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-24765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Inventory</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capitalizes its purchases of saleable inventory of VASCEPA from suppliers that have been qualified by regulatory authorities. Inventories as of June 30, 2022 and December 31, 2021 consist of the following:</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7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16"/>
                <w:szCs w:val="16"/>
                <w:color w:val="auto"/>
              </w:rPr>
            </w:pPr>
          </w:p>
        </w:tc>
      </w:tr>
      <w:tr>
        <w:trPr>
          <w:trHeight w:val="21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132,687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107,695</w:t>
            </w:r>
          </w:p>
        </w:tc>
        <w:tc>
          <w:tcPr>
            <w:tcW w:w="80" w:type="dxa"/>
            <w:vAlign w:val="bottom"/>
            <w:shd w:val="clear" w:color="auto" w:fill="CFF0FC"/>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41,965</w:t>
            </w:r>
          </w:p>
        </w:tc>
        <w:tc>
          <w:tcPr>
            <w:tcW w:w="80" w:type="dxa"/>
            <w:vAlign w:val="bottom"/>
          </w:tcPr>
          <w:p>
            <w:pPr>
              <w:spacing w:after="0"/>
              <w:rPr>
                <w:sz w:val="18"/>
                <w:szCs w:val="18"/>
                <w:color w:val="auto"/>
              </w:rPr>
            </w:pPr>
          </w:p>
        </w:tc>
      </w:tr>
      <w:tr>
        <w:trPr>
          <w:trHeight w:val="216"/>
        </w:trPr>
        <w:tc>
          <w:tcPr>
            <w:tcW w:w="576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Finished goods </w:t>
            </w:r>
            <w:r>
              <w:rPr>
                <w:rFonts w:ascii="Times New Roman" w:cs="Times New Roman" w:eastAsia="Times New Roman" w:hAnsi="Times New Roman"/>
                <w:sz w:val="24"/>
                <w:szCs w:val="24"/>
                <w:color w:val="auto"/>
                <w:vertAlign w:val="superscript"/>
              </w:rPr>
              <w:t>(1)</w:t>
            </w: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240,309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206,270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436,024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355,930</w:t>
            </w:r>
          </w:p>
        </w:tc>
        <w:tc>
          <w:tcPr>
            <w:tcW w:w="8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-170815</wp:posOffset>
            </wp:positionV>
            <wp:extent cx="51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ind w:left="1360" w:right="1800" w:hanging="4"/>
        <w:spacing w:after="0" w:line="253" w:lineRule="auto"/>
        <w:tabs>
          <w:tab w:leader="none" w:pos="16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During the three months ended June 30, 2022 approximately $9.6 million of finished goods were expensed through Cost of goods sold related to unsellable inventory not related to product dating.</w:t>
      </w: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71" w:right="379" w:bottom="1440" w:gutter="0" w:footer="0" w:header="0"/>
        </w:sectPr>
      </w:pPr>
    </w:p>
    <w:bookmarkStart w:id="13" w:name="page14"/>
    <w:bookmarkEnd w:id="13"/>
    <w:p>
      <w:pPr>
        <w:ind w:right="100"/>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Company had $210.3 million and $121.3 million of Long-term inventory, respectively, as consumption is expected beyond the Company's operating cycle.</w:t>
      </w:r>
    </w:p>
    <w:p>
      <w:pPr>
        <w:spacing w:after="0" w:line="25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Commitments and Contingencies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 – U.S. ANDAs</w:t>
      </w:r>
    </w:p>
    <w:p>
      <w:pPr>
        <w:spacing w:after="0" w:line="11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On March 30, 2020, the Nevada Court, ruled in favor of two generics companies, Hikma and Dr. Reddy’s, in Amarin’s patent litigation related to its ANDAs that sought U.S. FDA approval for sale of generic versions of VASCEPA for the original indication of VASCEPA as an adjunct to diet to reduce TG levels in adult patients with severe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mg/dL) hypertriglyceridemia. On September 3, 2020, the U.S. Court of Appeals for the Federal Circuit, or the Federal Circuit, upheld the March ruling by the Nevada Court in favor of the two generics companies. On October 2, 2020, the Company filed a combined petition for panel rehearing or rehearing en banc. On November 4, 2020, the Company’s rehearing and en banc petitions were denied. On February 11, 2021, Amarin filed a petition for a writ of certiorari with the United States Supreme Court to ask the Court to hear the Company’s appeal in this litigation, which was denied on June 18, 2021.</w:t>
      </w:r>
    </w:p>
    <w:p>
      <w:pPr>
        <w:spacing w:after="0" w:line="7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On May 22, 2020 and August 10, 2020, Hikma and Dr. Reddy’s, respectively, received U.S. FDA approval to market its generic versions of VASCEPA. During the ANDA litigation, the Company reached agreements with Teva and Apotex, under which they received royalty-free license agreements to promote a generic version of icosapent ethyl in the U.S. under certain circumstances, one of which circumstances was achieved when the Federal Circuit upheld the ruling by the Nevada Court and Hikma launched its generic version of icosapent ethyl. On September 11, 2020, and June 30, 2021, Teva and Apotex, respectively, received U.S. FDA approval to market their respective generic versions of icosapent ethyl. In November 2020, Hikma priced and launched its generic version of icosapent ethyl. In June 2021, Dr. Reddy’s announced the price of its generic version of icosapent ethyl and launched its generic version of icosapent ethyl. In January 2022, Apotex announced the price of its generic version of icosapent ethyl and launched its generic version of icosapent ethyl. The generic versions of icosapent ethyl as approved by the U.S. FDA for Hikma, Dr. Reddy’s, and Apotex pertains to the MARINE indication of VASCEPA, lowering of TG levels in patients with very high TG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mg/dL). As of June 30, 2022, Teva had not announced pricing or launched a generic version of icosapent ethyl. Current generic competition, together with past and on-going litigation related to such generic versions of icosapent ethyl are applicable to the U.S. only. The Company did not seek, nor is VAZKEPA approved in Europe for lowering of TG levels in patients with very high TG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mg/dL).</w:t>
      </w:r>
    </w:p>
    <w:p>
      <w:pPr>
        <w:spacing w:after="0" w:line="9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The active pharmaceutical ingredient in VASCEPA is difficult and time consuming to manufacture, often requires considerable advanced planning and long-term financial commitment, including manufacturing infrastructure such as dedicated facilities, to ensure sufficient capacity is available when needed. The Company has invested over a decade of resources and expenses to develop with individual members of its third-party, active pharmaceutical ingredient supply chain the technical knowhow, manufacturing processes and related regulatory approvals that have helped enable the Company’s suppliers to supply the Company’s need for clinical and commercial supply globally.</w:t>
      </w:r>
    </w:p>
    <w:p>
      <w:pPr>
        <w:spacing w:after="0" w:line="73"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In November 2020, the Company filed a patent infringement lawsuit against Hikma in the United States District Court in Delaware. The complaint alleges that Hikma induced the infringement of VASCEPA-related CV risk reduction U.S. Patent Nos. 9,700,537 (Composition for preventing the occurrence of cardiovascular event in multiple risk patient), 8,642,077 (Stable pharmaceutical composition and methods of using same), and 10,568,861 (Methods of reducing the risk of a cardiovascular event in a subject at risk for cardiovascular disease) by making, selling, offering to sell and importing generic icosapent ethyl capsules in or into the United States.</w:t>
      </w:r>
    </w:p>
    <w:p>
      <w:pPr>
        <w:spacing w:after="0" w:line="69"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In January 2021, the Company expanded the scope of the VASCEPA CV risk reduction patent infringement lawsuit against Hikma to include a health care insurance provider in the United States, Health Net. Through insurance coverage and economic incentives the Company alleges that Health Net has actively induced pharmacies to dispense, and patients to use, Hikma generic icosapent ethyl capsules in infringement of the related patents. In the complaint, the Company is seeking remedies including a permanent injunction against the unlawful inducement by Hikma and Health Net of infringing uses of the Hikma generic product, i.e., uses to reduce cardiovascular risk as detailed in the patents, and monetary damages in an amount sufficient to compensate the Company for such infringement. On January 4, 2022, the district court hearing the case granted Hikma's motion to dismiss. The Company intends to appeal the decision of the district court when permitted and also intends to continue to vigorously pursue its ongoing litigation with Health Net, but cannot predict the outcome or the impact on its business. The Company will continue to consider its legal options against parties similarly situated to Health Net and Hikma and acting in concert with either by making or selling any drug product or component thereof covered by the subject patents, or inducing others to do the same. The Company intends to vigorously enforce its intellectual property rights relating to VASCEPA, but cannot predict the outcome of these lawsuits or any subsequently filed lawsuits.</w:t>
      </w:r>
    </w:p>
    <w:p>
      <w:pPr>
        <w:spacing w:after="0" w:line="80"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8"/>
          <w:szCs w:val="18"/>
          <w:color w:val="auto"/>
        </w:rPr>
        <w:t>As has been a practice in the generic pharmaceutical industry, on April 27, 2021, Dr. Reddy’s filed a complaint against the Company in the United States District Court for the District of New Jersey, Civil action No.21-cv-10309, alleging various antitrust violations stemming from alleged anticompetitive practices related to the supply of active pharmaceutical ingredient of VASCEPA. The complaint also includes a related state law tortious interference claim. Damages sought include recovery for alleged economic harm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4" w:name="page15"/>
    <w:bookmarkEnd w:id="14"/>
    <w:p>
      <w:pPr>
        <w:ind w:right="40"/>
        <w:spacing w:after="0" w:line="282" w:lineRule="auto"/>
        <w:rPr>
          <w:sz w:val="20"/>
          <w:szCs w:val="20"/>
          <w:color w:val="auto"/>
        </w:rPr>
      </w:pPr>
      <w:r>
        <w:rPr>
          <w:rFonts w:ascii="Times New Roman" w:cs="Times New Roman" w:eastAsia="Times New Roman" w:hAnsi="Times New Roman"/>
          <w:sz w:val="18"/>
          <w:szCs w:val="18"/>
          <w:color w:val="auto"/>
        </w:rPr>
        <w:t>Dr. Reddy’s, payors and consumers, treble damages and other costs and fees. Injunctive relief against the alleged violative activities is also being sought by Dr. Reddy’s. Amarin believes it has valid defenses and will vigorously defend against the claims.</w:t>
      </w:r>
    </w:p>
    <w:p>
      <w:pPr>
        <w:spacing w:after="0" w:line="40"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In March 2021, Amarin received a civil investigative demand, or CID, from the U.S. Federal Trade Commission and a subpoena from the New York Attorney General with respect to information on the same antitrust topic covered in the Dr. Reddy's litigation. Similarly, in June 2020, the Company received a CID from the U.S. Department of Justice, or the DOJ, informing Amarin that the DOJ is investigating whether aspects of its promotional speaker programs and copayment waiver program during the period from January 1, 2015 to the present violated the U.S. Anti-Kickback Statute and the U.S. Civil False Claims Act, in relation to the sale and marketing of VASCEPA by the Company and its previous co-marketing partner, Kowa Pharmaceuticals America, Inc. The Company believes such contact from the governments may have been prompted by a generic competitor. The inquiries require the Company to produce documents and answer written questions, or interrogatories, relevant to specified time periods. Amarin is cooperating with the government agencies and cannot predict when these investigations will be resolved, the outcome of the investigations or their potential impact on the Company’s business.</w:t>
      </w:r>
    </w:p>
    <w:p>
      <w:pPr>
        <w:spacing w:after="0" w:line="9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As has been a practice of class action legal counsel following governmental investigations and litigation by generics companies, Amarin is also named as a defendant in five antitrust class action lawsuits in the District Court for the District of New Jersey. Amarin is a defendant in a class action lawsuit filed by Uniformed Fire Officers Association Family Protection Plan Local 854 and the Uniformed Fire Officers Association for Retired Fire Officers Family Protection Plan, on behalf of indirect purchasers, in the District Court for the District of New Jersey, Civil Action No. 21-12061, alleging Amarin and its co-defendant suppliers violated state and federal antitrust laws by monopolizing and engaging in a conspiracy to restrain trade in the icosapent ethyl drug and API markets. Amarin is a defendant in a class action lawsuit filed by The International Union of Operating Engineers Locals 137, 137A, 137B, 137C, 137R, on behalf of indirect purchasers, in the District Court for the District of New Jersey, Civil Action No. 21-12416, alleging Amarin violated state and federal antitrust laws by monopolizing and engaging in a conspiracy to restrain trade in the icosapent ethyl drug and API markets. Amarin is a defendant in a class action lawsuit filed by KPH Healthcare Services, Inc., on behalf of direct purchasers, in the District Court for the District of New Jersey, Civil Action No. 21-12747, alleging Amarin and its co-defendant suppliers violated state and federal antitrust laws by monopolizing and engaging in a conspiracy to restrain trade in the icosapent ethyl drug and API markets. Amarin is a defendant in a class action lawsuit filed by Local 464A United Food and Commercial Workers Union Welfare Service Benefit Fund, on behalf of direct purchasers, in the District Court for the District of New Jersey, Civil Action No. 21-13009. Amarin is a defendant in a class action lawsuit filed by Teamsters Health &amp; Welfare Fund of Philadelphia and Vicinity, on behalf of indirect purchasers, in the District Court for the District of New Jersey, Civil Action No. 21-13406, alleging Amarin violated state and federal antitrust laws by monopolizing and engaging in a conspiracy to restrain trade in the icosapent ethyl drug and API markets.</w:t>
      </w:r>
    </w:p>
    <w:p>
      <w:pPr>
        <w:spacing w:after="0" w:line="82"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Such antitrust litigation and investigations can be lengthy, costly and could materially affect and disrupt the Company’s business. The Company cannot predict when these matters will be resolved, their outcome or their potential impact on the Company’s business. If a government determines that Amarin has violated antitrust law, the Company could be subject to significant civil fines and penalties.</w:t>
      </w:r>
    </w:p>
    <w:p>
      <w:pPr>
        <w:spacing w:after="0" w:line="6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intends to vigorously enforce its intellectual property rights relating to VASCEPA, but cannot predict the outcome of these lawsuits or any subsequently filed lawsuits.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 – Other</w:t>
      </w:r>
    </w:p>
    <w:p>
      <w:pPr>
        <w:spacing w:after="0" w:line="11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On February 22, 2019, a purported investor in the Company’s publicly traded securities filed a putative class action lawsuit against Amarin Corporation plc, the chief executive officer and chief scientific officer in the U.S. District Court for the District of New Jersey, Debendra Sharma v. Amarin Corporation plc, John F. Thero and Steven Ketchum, No. 2:19-cv-06601 (D.N.J. Feb. 22, 2019). On March 12, 2019, another purported investor filed a substantially similar lawsuit captioned Richard Borghesi v. Amarin Corporation plc, John F. Thero and Steven Ketchum, No. 3:19-cv-08423 (D.N.J. March 12, 2019). On May 14, 2019 the court consolidated the cases under the caption In re Amarin Corporation PLC Securities Litigation, No. 3:19-cv-06601 and appointed two other purported shareholders, Dan Kotecki and the Gaetano Cecchini Living Trust, as Co-Lead Plaintiffs. Co-Lead Plaintiffs filed a consolidated amended complaint, or Amended Complaint, on July 22, 2019 that added as defendants the Company’s former chief medical officer and the Company’s former chief executive officer. The Amended Complaint alleged that from September 24, 2018 to November 9, 2018 the Company misled investors by releasing topline results for the REDUCE-IT study without disclosing data on biomarker increases in the placebo group as compared with baseline measurement. The Amended Complaint alleged that these data suggest that the mineral oil placebo used in the REDUCE-IT study may have interfered with statin absorption in the placebo group, which they alleged may have increased adverse outcomes in the placebo group. The Amended Complaint further alleged that these purported misrepresentations and omissions inflated the share price. Based on these allegations, the suit asserted claims under the Securities Exchange Act of 1934 and sought unspecified monetary damages and attorneys’ fees and costs.</w:t>
      </w:r>
    </w:p>
    <w:p>
      <w:pPr>
        <w:spacing w:after="0" w:line="9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 xml:space="preserve">On March 29, 2021, the court granted the Company’s motion to dismiss this litigation for failure to state a valid claim. The litigation was dismissed without prejudice, giving the plaintiffs the right to file an amended complaint. Plaintiffs in this action did not file an amended complaint within the permitted filing deadline. Plaintiffs filed a notice of appeal of the motion to dismiss ruling, which has been denominated </w:t>
      </w:r>
      <w:r>
        <w:rPr>
          <w:rFonts w:ascii="Times New Roman" w:cs="Times New Roman" w:eastAsia="Times New Roman" w:hAnsi="Times New Roman"/>
          <w:sz w:val="18"/>
          <w:szCs w:val="18"/>
          <w:i w:val="1"/>
          <w:iCs w:val="1"/>
          <w:color w:val="auto"/>
        </w:rPr>
        <w:t>In re: Amarin Corp. PLC</w:t>
      </w:r>
      <w:r>
        <w:rPr>
          <w:rFonts w:ascii="Times New Roman" w:cs="Times New Roman" w:eastAsia="Times New Roman" w:hAnsi="Times New Roman"/>
          <w:sz w:val="18"/>
          <w:szCs w:val="18"/>
          <w:color w:val="auto"/>
        </w:rPr>
        <w:t>, case number 21-2071 (3d Cir.). On June 14, 2022, the Court of Appeals for the Third Circuit affirmed the dismissal of the matter by the trial district court.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5" w:name="page16"/>
    <w:bookmarkEnd w:id="15"/>
    <w:p>
      <w:pPr>
        <w:ind w:right="60"/>
        <w:spacing w:after="0" w:line="243" w:lineRule="auto"/>
        <w:rPr>
          <w:sz w:val="20"/>
          <w:szCs w:val="20"/>
          <w:color w:val="auto"/>
        </w:rPr>
      </w:pPr>
      <w:r>
        <w:rPr>
          <w:rFonts w:ascii="Times New Roman" w:cs="Times New Roman" w:eastAsia="Times New Roman" w:hAnsi="Times New Roman"/>
          <w:sz w:val="18"/>
          <w:szCs w:val="18"/>
          <w:color w:val="auto"/>
        </w:rPr>
        <w:t>On October 21, 2021, a purported investor in the Company's publicly traded securities filed a putative class action lawsuit against Amarin Corporation plc, the former chief executive officer and the chief financial officer in the U.S. District Court for the District of New Jersey, Vincent Dang v. Amarin Corporation plc, John F. Thero and Michael W. Kalb, No. 1:21-cv-19212 (D.N.J. Oct. 21, 2021) and a subsequent case, Dorfman v. Amarin Corporation plc, et al., No. 3:21-cv-19911 (D.N.J. filed Nov. 10, 2021), was filed in November 2021. In December 2021, several Amarin shareholders moved to consolidate the cases, or the Securities Litigation, and appoint a lead plaintiff and lead counsel pursuant to the Private Securities Litigation Reform Act. The complaints in these actions are nearly identical and allege that the Company misled investors by allegedly downplaying the risk associated with the ANDA litigation described above and the risk that certain of the Company's patents would be invalidated. Based on these allegations, plaintiff alleges that he purchased securities at an inflated share price and brings claims under the Securities and Exchange Act of 1934 seeking unspecified monetary damages and attorneys' fees and costs. The Company believes it has valid defenses and will vigorously defend against the claims but cannot predict the outcome. The Company is unable to reasonably estimate the loss exposure, if any, associated with these claims.</w:t>
      </w:r>
    </w:p>
    <w:p>
      <w:pPr>
        <w:spacing w:after="0" w:line="7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On April 7, 2022, a purported investor in the Company's publicly traded securities filed a derivative lawsuit naming the same officer defendants from the Securities Litigation, the Officer Defendants, and also the members of the Company's board of directors, and the Company as nominal defendant in the U.S. District Court for the District of New Jersey, Gary Schader v. Amarin Corporation plc, John F. Thero, Michael W. Kalb, Lars G. Ekman, Jan Van Heek, Karim Mikhail, Patrick J. O'Sullivan, Per Wold-Olsen, Kristine Peterson, David Stack, and Joseph S. Zakrzewski, No. 3:22-cv-02017 (D.N.J. Apr. 7, 2022). The complaint alleges, like the Securities Litigation, that the defendants allegedly downplayed the risk associated with the ANDA litigation and the risk that certain of the Company's patents would be invalidated. Based on the allegations, plaintiffs allege that the directors breached their fiduciary duties and that the Officer Defendants were unjustly enriched, and plaintiffs seek contribution from the Officer Defendants for any liability they incur in the Securities Litigation and for which they are indemnified by the Company. On July 1, 2022, the plaintiff voluntarily dismissed this matter.</w:t>
      </w:r>
    </w:p>
    <w:p>
      <w:pPr>
        <w:spacing w:after="0" w:line="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the above, in the ordinary course of business, the Company is from time to time involved in lawsuits, claims, investigations, proceedings, and threats of litigation relating to intellectual property, commercial arrangements and other matters.</w:t>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Milestone and Supply Purchase Obligations</w:t>
      </w:r>
    </w:p>
    <w:p>
      <w:pPr>
        <w:spacing w:after="0" w:line="106" w:lineRule="exact"/>
        <w:rPr>
          <w:sz w:val="20"/>
          <w:szCs w:val="20"/>
          <w:color w:val="auto"/>
        </w:rPr>
      </w:pPr>
    </w:p>
    <w:p>
      <w:pPr>
        <w:jc w:val="both"/>
        <w:ind w:right="340"/>
        <w:spacing w:after="0" w:line="258" w:lineRule="auto"/>
        <w:rPr>
          <w:sz w:val="20"/>
          <w:szCs w:val="20"/>
          <w:color w:val="auto"/>
        </w:rPr>
      </w:pPr>
      <w:r>
        <w:rPr>
          <w:rFonts w:ascii="Times New Roman" w:cs="Times New Roman" w:eastAsia="Times New Roman" w:hAnsi="Times New Roman"/>
          <w:sz w:val="18"/>
          <w:szCs w:val="18"/>
          <w:color w:val="auto"/>
        </w:rPr>
        <w:t>The Company currently has long-term supply agreements with multiple API suppliers and encapsulators. The Company is relying on these suppliers to meet current and potential future global demand for its lead product. Certain supply agreements require annual minimum volume commitments by the Company and certain volume shortfalls may require payments for such shortfalls.</w:t>
      </w:r>
    </w:p>
    <w:p>
      <w:pPr>
        <w:spacing w:after="0" w:line="61" w:lineRule="exact"/>
        <w:rPr>
          <w:sz w:val="20"/>
          <w:szCs w:val="20"/>
          <w:color w:val="auto"/>
        </w:rPr>
      </w:pPr>
    </w:p>
    <w:p>
      <w:pPr>
        <w:jc w:val="both"/>
        <w:ind w:right="340"/>
        <w:spacing w:after="0" w:line="250" w:lineRule="auto"/>
        <w:rPr>
          <w:sz w:val="20"/>
          <w:szCs w:val="20"/>
          <w:color w:val="auto"/>
        </w:rPr>
      </w:pPr>
      <w:r>
        <w:rPr>
          <w:rFonts w:ascii="Times New Roman" w:cs="Times New Roman" w:eastAsia="Times New Roman" w:hAnsi="Times New Roman"/>
          <w:sz w:val="18"/>
          <w:szCs w:val="18"/>
          <w:color w:val="auto"/>
        </w:rPr>
        <w:t>These agreements include requirements for the suppliers to meet certain product specifications and qualify their materials and facilities with applicable regulatory authorities, including the U.S. FDA. The Company has incurred certain costs associated with the qualification of product produced by these suppliers.</w:t>
      </w:r>
    </w:p>
    <w:p>
      <w:pPr>
        <w:spacing w:after="0" w:line="82"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On June 6, 2022, the Company announced a Comprehensive Cost Reduction Plan which includes a comprehensive cost and organizational restructuring plan to address current shifts within the Company’s U.S. business as a result of the generic competition. As part of this plan, the Company has reviewed its contractual supplier purchase obligations and has taken steps to amend supplier agreements to align supply arrangements with current and future market demand. The Company continues to negotiate with other contract suppliers to align its supply arrangements with current and future global demand which may result in additional costs to the Company. The Company has a total of approximately $81.5 million in future contractual purchase obligations without consideration to ongoing discussions with other suppliers.</w:t>
      </w:r>
    </w:p>
    <w:p>
      <w:pPr>
        <w:spacing w:after="0" w:line="8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On March 26, 2021, the EC approved the marketing authorization application for VAZKEPA. Under the 2004 share repurchase agreement with Laxdale, upon receipt of pricing approval in Europe for the first indication for VASCEPA (or first indication of any product containing intellectual property acquired from Laxdale in 2004), the Company must make an aggregate stock or cash payment to the former shareholders of Laxdale (at the sole option of each of such former shareholders) of £7.5 million. The Company recorded a liability of $12.0 million in Accrued expenses and other current liabilities on the condensed consolidated balance sheet as of June 30, 2022.</w:t>
      </w:r>
    </w:p>
    <w:p>
      <w:pPr>
        <w:spacing w:after="0" w:line="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Also under the Laxdale agreement, upon receipt of a marketing approval in Europe for a further indication of VASCEPA (or further indication of any other product acquired from Laxdale in 2004), the Company must make an aggregate stock or cash payment (at the sole option of each of such former shareholder) of £5 million (approximately $6.1 million as of June 30, 2022) for the potential market approval.</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provision for any of these obligations, except as noted above, since the amounts are either not paid or payable as of June 30, 2022.</w:t>
      </w:r>
    </w:p>
    <w:p>
      <w:pPr>
        <w:spacing w:after="0" w:line="2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Marketing Obligations</w:t>
      </w:r>
    </w:p>
    <w:p>
      <w:pPr>
        <w:spacing w:after="0" w:line="119" w:lineRule="exact"/>
        <w:rPr>
          <w:sz w:val="20"/>
          <w:szCs w:val="20"/>
          <w:color w:val="auto"/>
        </w:rPr>
      </w:pPr>
    </w:p>
    <w:p>
      <w:pPr>
        <w:ind w:right="360"/>
        <w:spacing w:after="0" w:line="246" w:lineRule="auto"/>
        <w:rPr>
          <w:sz w:val="20"/>
          <w:szCs w:val="20"/>
          <w:color w:val="auto"/>
        </w:rPr>
      </w:pPr>
      <w:r>
        <w:rPr>
          <w:rFonts w:ascii="Times New Roman" w:cs="Times New Roman" w:eastAsia="Times New Roman" w:hAnsi="Times New Roman"/>
          <w:sz w:val="18"/>
          <w:szCs w:val="18"/>
          <w:color w:val="auto"/>
        </w:rPr>
        <w:t>As of June 30, 2022, the Company had certain marketing commitments, consisting of communication costs related to the direct-to-consumer activities, totaling approximately $0.6 million.</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6" w:name="page17"/>
    <w:bookmarkEnd w:id="16"/>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Equity</w:t>
      </w: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w:t>
      </w:r>
    </w:p>
    <w:p>
      <w:pPr>
        <w:spacing w:after="0" w:line="104"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 xml:space="preserve">During the six months ended June 30, 2022 and 2021, in addition to ordinary shares issued as described in </w:t>
      </w:r>
      <w:r>
        <w:rPr>
          <w:rFonts w:ascii="Times New Roman" w:cs="Times New Roman" w:eastAsia="Times New Roman" w:hAnsi="Times New Roman"/>
          <w:sz w:val="18"/>
          <w:szCs w:val="18"/>
          <w:i w:val="1"/>
          <w:iCs w:val="1"/>
          <w:color w:val="auto"/>
        </w:rPr>
        <w:t>Incentive Equity Awards</w:t>
      </w:r>
      <w:r>
        <w:rPr>
          <w:rFonts w:ascii="Times New Roman" w:cs="Times New Roman" w:eastAsia="Times New Roman" w:hAnsi="Times New Roman"/>
          <w:sz w:val="18"/>
          <w:szCs w:val="18"/>
          <w:color w:val="auto"/>
        </w:rPr>
        <w:t xml:space="preserve"> below, the Company issued 265,214 and 226,402 ordinary shares, respectively, under the Amarin Corporation plc 2017 Employee Stock Purchase Plan.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Incentive Equity Awards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aggregate number of stock options and restricted stock units, or RSUs, outstanding under the Amarin Corporation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Stock Incentive Plan, or the 2020 Plan, as of June 30, 2022: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3"/>
          </w:tcPr>
          <w:p>
            <w:pPr>
              <w:jc w:val="right"/>
              <w:ind w:right="14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209"/>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6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19,995,396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outstanding shares on a fully diluted basis</w:t>
            </w: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RSUs</w:t>
            </w:r>
          </w:p>
        </w:tc>
        <w:tc>
          <w:tcPr>
            <w:tcW w:w="6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15,023,937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outstanding shares on a fully diluted basis</w:t>
            </w:r>
          </w:p>
        </w:tc>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306"/>
        </w:trPr>
        <w:tc>
          <w:tcPr>
            <w:tcW w:w="8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represents equity awards activity during the six months ended June 30, 2022 and 2021:</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40" w:type="dxa"/>
            <w:vAlign w:val="bottom"/>
            <w:gridSpan w:val="7"/>
          </w:tcPr>
          <w:p>
            <w:pPr>
              <w:jc w:val="right"/>
              <w:ind w:right="17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09"/>
        </w:trPr>
        <w:tc>
          <w:tcPr>
            <w:tcW w:w="5860" w:type="dxa"/>
            <w:vAlign w:val="bottom"/>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220" w:type="dxa"/>
            <w:vAlign w:val="bottom"/>
            <w:tcBorders>
              <w:top w:val="single" w:sz="8" w:color="auto"/>
              <w:bottom w:val="single" w:sz="8" w:color="auto"/>
            </w:tcBorders>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shares issued for stock option exercises</w:t>
            </w:r>
          </w:p>
        </w:tc>
        <w:tc>
          <w:tcPr>
            <w:tcW w:w="6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25,247</w:t>
            </w: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810,459</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and net proceeds from stock option exercises</w:t>
            </w: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shares issued in settlement of vested RSUs</w:t>
            </w:r>
          </w:p>
        </w:tc>
        <w:tc>
          <w:tcPr>
            <w:tcW w:w="6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681,216</w:t>
            </w: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1,031,171</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retained for settlement of employee tax obligations ─ RSUs</w:t>
            </w:r>
          </w:p>
        </w:tc>
        <w:tc>
          <w:tcPr>
            <w:tcW w:w="60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222,634</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398,214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Common shares issued in settlement of vested Performance-Based RSUs </w:t>
            </w:r>
            <w:r>
              <w:rPr>
                <w:rFonts w:ascii="Times New Roman" w:cs="Times New Roman" w:eastAsia="Times New Roman" w:hAnsi="Times New Roman"/>
                <w:sz w:val="24"/>
                <w:szCs w:val="24"/>
                <w:color w:val="auto"/>
                <w:vertAlign w:val="superscript"/>
              </w:rPr>
              <w:t>(1)</w:t>
            </w:r>
          </w:p>
        </w:tc>
        <w:tc>
          <w:tcPr>
            <w:tcW w:w="6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1,762,244</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8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w w:val="99"/>
              </w:rPr>
              <w:t>Shares retained for settlement of employee tax obligations ─ Performance-Based</w:t>
            </w: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747,955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58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60" w:right="20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RSUs vested in connection with the achievement of certain regulatory and sales performance conditions associated with the REDUCE-IT clinical trial and subsequent revenue growth. These performance-based RSUs have fully vested as of August 2021.</w:t>
      </w:r>
    </w:p>
    <w:p>
      <w:pPr>
        <w:spacing w:after="0" w:line="5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On June 27, 2022, the Company granted a total of 661,459 RSUs and 817,873 stock options to members of the Company’s Board of Directors under the 2020 Plan and in accordance with the Company's non-employee Director compensation policy. The RSUs vest in equal installments over a three-year period upon the earlier of the anniversary of the grant date or the Company’s annual general meeting of shareholders in such anniversary year, and are subject to deferred settlement upon the Director’s separation of service with the Company. The stock options vest in full upon the earlier of the one-year anniversary of the grant date or the Company’s annual general meeting of shareholders in such anniversary year. Upon termination of service to the Company or upon a change of control as defined in the 2020 Plan, each Director shall be entitled to a payment equal to the fair market value of one share of Amarin common stock per award vested or granted, respectively, which is required to be made in shares.</w:t>
      </w:r>
    </w:p>
    <w:p>
      <w:pPr>
        <w:spacing w:after="0" w:line="87"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On February 4, 2022, the Company granted a total of 5,987,500 RSUs and 1,976,600 stock options to employees under the 2020 Plan. The RSUs vest annually over a three-year period and the stock options vest quarterly over a four-year period with a one-year cliff vesting. Also on February 4, 2022, the Company granted a total of 1,089,500 RSUs to certain employees under the 2020 Plan that vest upon the achievement of specified sales and operational performance conditions.</w:t>
      </w:r>
    </w:p>
    <w:p>
      <w:pPr>
        <w:spacing w:after="0" w:line="6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On January 10, 2022 and May 16, 2022, the Company granted a total of 81,082 and 360,000 RSUs, respectively, and 103,569 and 447,438 stock options, respectively, to newly appointed members of the Company’s Board of Directors under the 2020 Plan and in accordance with the Company's non-employee Director compensation policy. The RSUs vest in equal installments over a three-year period upon the anniversary of the grant date, and are subject to deferred settlement upon the Director’s separation of service with the Company. The stock options vest in full upon the one-year anniversary of the grant date. Upon termination of service to the Company or upon a change of control as defined in the 2020 Plan, each Director shall be entitled to a payment equal to the fair market value of one share of Amarin common stock per award vested or granted, respectively, which is required to be made in shares.</w:t>
      </w:r>
    </w:p>
    <w:p>
      <w:pPr>
        <w:spacing w:after="0" w:line="74" w:lineRule="exact"/>
        <w:rPr>
          <w:sz w:val="20"/>
          <w:szCs w:val="20"/>
          <w:color w:val="auto"/>
        </w:rPr>
      </w:pPr>
    </w:p>
    <w:p>
      <w:pPr>
        <w:ind w:right="340"/>
        <w:spacing w:after="0" w:line="242" w:lineRule="auto"/>
        <w:rPr>
          <w:sz w:val="20"/>
          <w:szCs w:val="20"/>
          <w:color w:val="auto"/>
        </w:rPr>
      </w:pPr>
      <w:r>
        <w:rPr>
          <w:rFonts w:ascii="Times New Roman" w:cs="Times New Roman" w:eastAsia="Times New Roman" w:hAnsi="Times New Roman"/>
          <w:sz w:val="18"/>
          <w:szCs w:val="18"/>
          <w:color w:val="auto"/>
        </w:rPr>
        <w:t>On June 14, 2021, the Company granted a total of 218,000 RSUs and 278,271 stock options to members of the Company’s Board of Directors under the 2020 Plan and in accordance with the Company's non-employee Director compensation policy. The RSUs vest in equal installments over a three-year period upon the earlier of the anniversary of the grant date or the Company’s annual general meeting of shareholders in such anniversary year, and are subject to deferred settlement upon the Director’s separation of service with the Company. The stock options vest in full upon the earlier of the one-year anniversary of the grant date or the Company’s annual</w:t>
      </w:r>
    </w:p>
    <w:p>
      <w:pPr>
        <w:spacing w:after="0" w:line="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630" w:right="279" w:bottom="1440" w:gutter="0" w:footer="0" w:header="0"/>
        </w:sectPr>
      </w:pPr>
    </w:p>
    <w:bookmarkStart w:id="17" w:name="page18"/>
    <w:bookmarkEnd w:id="17"/>
    <w:p>
      <w:pPr>
        <w:ind w:right="160"/>
        <w:spacing w:after="0" w:line="258" w:lineRule="auto"/>
        <w:rPr>
          <w:sz w:val="20"/>
          <w:szCs w:val="20"/>
          <w:color w:val="auto"/>
        </w:rPr>
      </w:pPr>
      <w:r>
        <w:rPr>
          <w:rFonts w:ascii="Times New Roman" w:cs="Times New Roman" w:eastAsia="Times New Roman" w:hAnsi="Times New Roman"/>
          <w:sz w:val="18"/>
          <w:szCs w:val="18"/>
          <w:color w:val="auto"/>
        </w:rPr>
        <w:t>general meeting of shareholders in such anniversary year. Upon termination of service to the Company or upon a change of control as defined in the 2020 plan, each Director shall be entitled to a payment equal to the fair market value of one share of Amarin common stock per award vested or granted, respectively, which is required to be made in shares.</w:t>
      </w:r>
    </w:p>
    <w:p>
      <w:pPr>
        <w:spacing w:after="0" w:line="61"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On January 4, 2021, the Company granted a total of 3,265,700 RSUs and 3,100,200 stock options to employees under the 2020 Plan. The RSUs vest annually over a three-year period and the stock options vest quarterly over a four-year period with a one-year cliff vesting. Also on January 4, 2021, the Company granted a total of 1,345,800 RSUs to certain employees under the 2020 Plan that vest upon the achievement of specified sales and operational performance conditions.</w:t>
      </w:r>
    </w:p>
    <w:p>
      <w:pPr>
        <w:spacing w:after="0" w:line="29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tab/>
        <w:t>Co-Promotion Agreement</w:t>
      </w:r>
    </w:p>
    <w:p>
      <w:pPr>
        <w:spacing w:after="0" w:line="108"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On March 31, 2014, the Company entered into a Co-Promotion Agreement, or the Agreement, with Kowa Pharmaceuticals America, Inc. related to the commercialization of VASCEPA capsules in the United States. The Company and Kowa Pharmaceuticals America, Inc. intentionally designed the Agreement to naturally end as of December 31, 2018 and mutually agreed not to renew the Agreement.</w:t>
      </w:r>
    </w:p>
    <w:p>
      <w:pPr>
        <w:spacing w:after="0" w:line="8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During 2018, which was the last year of the co-promotion of VASCEPA by Kowa Pharmaceuticals America, Inc., the Company incurred expense for co-promotion tail payments which are calculated as a percentage of the 2018 co-promotion fee, which was eighteen and a half percent (18.5%) of VASCEPA gross margin in 2018. The accrued tail payments are paid over three years with declining amounts each year. Kowa Pharmaceuticals America, Inc. was eligible to receive $17.8 million in co-promotion tail payments, the present value of which $16.6 million, was fully accrued as of December 31, 2018.</w:t>
      </w:r>
    </w:p>
    <w:p>
      <w:pPr>
        <w:spacing w:after="0" w:line="52" w:lineRule="exact"/>
        <w:rPr>
          <w:sz w:val="20"/>
          <w:szCs w:val="20"/>
          <w:color w:val="auto"/>
        </w:rPr>
      </w:pPr>
    </w:p>
    <w:p>
      <w:pPr>
        <w:jc w:val="both"/>
        <w:ind w:right="320"/>
        <w:spacing w:after="0" w:line="258" w:lineRule="auto"/>
        <w:rPr>
          <w:sz w:val="20"/>
          <w:szCs w:val="20"/>
          <w:color w:val="auto"/>
        </w:rPr>
      </w:pPr>
      <w:r>
        <w:rPr>
          <w:rFonts w:ascii="Times New Roman" w:cs="Times New Roman" w:eastAsia="Times New Roman" w:hAnsi="Times New Roman"/>
          <w:sz w:val="18"/>
          <w:szCs w:val="18"/>
          <w:color w:val="auto"/>
        </w:rPr>
        <w:t>During the first quarter of 2022, the final co-promotion tail payment was made to Kowa Pharmaceuticals America, Inc. As of December 31, 2021, a net payable to Kowa Pharmaceuticals America, Inc. of $0.6 million was classified as current on the condensed consolidated balance sheet, representing the remaining accrued co-promotion tail payments.</w:t>
      </w:r>
    </w:p>
    <w:p>
      <w:pPr>
        <w:spacing w:after="0" w:line="27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Revenue Recognition</w:t>
      </w:r>
    </w:p>
    <w:p>
      <w:pPr>
        <w:spacing w:after="0" w:line="108"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 Company sells VASCEPA principally to a limited number of major wholesalers, as well as selected regional wholesalers and specialty pharmacy providers in the United States and Europe, or collectively, its distributors or its customers, most of whom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6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Revenues from product sales are recognized when the distributor obtains control of the Company’s product, which occurs at a point in time, typically upon delivery to the distributor. Payments from distributors are generally received 30-60 days from the date of sale. The Company evaluates the creditworthiness of each of its distributors to determine whether revenues can be recognized upon delivery, subject to satisfaction of the other requirements, or whether recognition is required to be delayed until receipt of payment</w:t>
      </w:r>
      <w:r>
        <w:rPr>
          <w:rFonts w:ascii="Times New Roman" w:cs="Times New Roman" w:eastAsia="Times New Roman" w:hAnsi="Times New Roman"/>
          <w:sz w:val="18"/>
          <w:szCs w:val="18"/>
          <w:color w:val="00B050"/>
        </w:rPr>
        <w:t>.</w:t>
      </w:r>
      <w:r>
        <w:rPr>
          <w:rFonts w:ascii="Times New Roman" w:cs="Times New Roman" w:eastAsia="Times New Roman" w:hAnsi="Times New Roman"/>
          <w:sz w:val="18"/>
          <w:szCs w:val="18"/>
          <w:color w:val="auto"/>
        </w:rPr>
        <w:t xml:space="preserve"> The Company calculates gross product revenues generally based on the wholesale acquisition cost or list price that the Company charges its distributors for VASCEPA.</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11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73" w:lineRule="exact"/>
        <w:rPr>
          <w:sz w:val="20"/>
          <w:szCs w:val="20"/>
          <w:color w:val="auto"/>
        </w:rPr>
      </w:pPr>
    </w:p>
    <w:p>
      <w:pPr>
        <w:ind w:left="520" w:right="20" w:firstLine="509"/>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Trade Allowances: </w:t>
      </w:r>
      <w:r>
        <w:rPr>
          <w:rFonts w:ascii="Times New Roman" w:cs="Times New Roman" w:eastAsia="Times New Roman" w:hAnsi="Times New Roman"/>
          <w:sz w:val="18"/>
          <w:szCs w:val="18"/>
          <w:color w:val="auto"/>
        </w:rPr>
        <w:t>The Company generally provides invoice discounts on VASCEPA sales to its distributors for prompt payment and fees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services, such as fees for certain data that distributors provide to the Company. The payment terms for sales to distributors in the U.S. and Germany generally include a 2-3% discount for prompt payment while the fees for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8" w:name="page19"/>
    <w:bookmarkEnd w:id="18"/>
    <w:p>
      <w:pPr>
        <w:ind w:left="520" w:right="220"/>
        <w:spacing w:after="0" w:line="258" w:lineRule="auto"/>
        <w:rPr>
          <w:sz w:val="20"/>
          <w:szCs w:val="20"/>
          <w:color w:val="auto"/>
        </w:rPr>
      </w:pPr>
      <w:r>
        <w:rPr>
          <w:rFonts w:ascii="Times New Roman" w:cs="Times New Roman" w:eastAsia="Times New Roman" w:hAnsi="Times New Roman"/>
          <w:sz w:val="18"/>
          <w:szCs w:val="18"/>
          <w:color w:val="auto"/>
        </w:rPr>
        <w:t>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59" w:lineRule="exact"/>
        <w:rPr>
          <w:sz w:val="20"/>
          <w:szCs w:val="20"/>
          <w:color w:val="auto"/>
        </w:rPr>
      </w:pPr>
    </w:p>
    <w:p>
      <w:pPr>
        <w:ind w:left="520" w:right="40" w:firstLine="509"/>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Rebates, Chargebacks and Discounts: </w:t>
      </w:r>
      <w:r>
        <w:rPr>
          <w:rFonts w:ascii="Times New Roman" w:cs="Times New Roman" w:eastAsia="Times New Roman" w:hAnsi="Times New Roman"/>
          <w:sz w:val="18"/>
          <w:szCs w:val="18"/>
          <w:color w:val="auto"/>
        </w:rPr>
        <w:t>The Company contracts with Medicaid, Medicare, other government agencies and various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or 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condensed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89" w:lineRule="exact"/>
        <w:rPr>
          <w:sz w:val="20"/>
          <w:szCs w:val="20"/>
          <w:color w:val="auto"/>
        </w:rPr>
      </w:pPr>
    </w:p>
    <w:p>
      <w:pPr>
        <w:ind w:left="520" w:firstLine="509"/>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Company’s distributors have the right to return unopened unprescribed VASCEPA during the 18-month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six months prior to the labeled expiration date and ending 12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w:t>
      </w:r>
    </w:p>
    <w:p>
      <w:pPr>
        <w:spacing w:after="0" w:line="92" w:lineRule="exact"/>
        <w:rPr>
          <w:sz w:val="20"/>
          <w:szCs w:val="20"/>
          <w:color w:val="auto"/>
        </w:rPr>
      </w:pPr>
    </w:p>
    <w:p>
      <w:pPr>
        <w:ind w:left="520" w:right="20" w:firstLine="509"/>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that the Company offers to indirect customers include co-pay mitigation rebates provided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 The Company adjusts its accruals for co-pay mitigation rebates based on actual redemption activity and estimates regarding the portion of issued co-pay mitigation rebates that it estimates will be redeemed.</w:t>
      </w:r>
    </w:p>
    <w:p>
      <w:pPr>
        <w:spacing w:after="0" w:line="9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tables summarize activity in each of the net product revenue allowance and reserve categories described above for the six months ended June 30, 2022 and 2021: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48"/>
        </w:trPr>
        <w:tc>
          <w:tcPr>
            <w:tcW w:w="5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Trade</w:t>
            </w:r>
          </w:p>
        </w:tc>
        <w:tc>
          <w:tcPr>
            <w:tcW w:w="10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16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Product</w:t>
            </w:r>
          </w:p>
        </w:tc>
        <w:tc>
          <w:tcPr>
            <w:tcW w:w="120" w:type="dxa"/>
            <w:vAlign w:val="bottom"/>
          </w:tcPr>
          <w:p>
            <w:pPr>
              <w:spacing w:after="0"/>
              <w:rPr>
                <w:sz w:val="12"/>
                <w:szCs w:val="12"/>
                <w:color w:val="auto"/>
              </w:rPr>
            </w:pPr>
          </w:p>
        </w:tc>
        <w:tc>
          <w:tcPr>
            <w:tcW w:w="10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87"/>
        </w:trPr>
        <w:tc>
          <w:tcPr>
            <w:tcW w:w="52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6"/>
                <w:szCs w:val="16"/>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0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160" w:type="dxa"/>
            <w:vAlign w:val="bottom"/>
          </w:tcPr>
          <w:p>
            <w:pPr>
              <w:spacing w:after="0"/>
              <w:rPr>
                <w:sz w:val="16"/>
                <w:szCs w:val="16"/>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20" w:type="dxa"/>
            <w:vAlign w:val="bottom"/>
          </w:tcPr>
          <w:p>
            <w:pPr>
              <w:spacing w:after="0"/>
              <w:rPr>
                <w:sz w:val="16"/>
                <w:szCs w:val="16"/>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220" w:type="dxa"/>
            <w:vAlign w:val="bottom"/>
          </w:tcPr>
          <w:p>
            <w:pPr>
              <w:spacing w:after="0"/>
              <w:rPr>
                <w:sz w:val="16"/>
                <w:szCs w:val="16"/>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00" w:type="dxa"/>
            <w:vAlign w:val="bottom"/>
          </w:tcPr>
          <w:p>
            <w:pPr>
              <w:spacing w:after="0"/>
              <w:rPr>
                <w:sz w:val="16"/>
                <w:szCs w:val="16"/>
                <w:color w:val="auto"/>
              </w:rPr>
            </w:pPr>
          </w:p>
        </w:tc>
      </w:tr>
      <w:tr>
        <w:trPr>
          <w:trHeight w:val="210"/>
        </w:trPr>
        <w:tc>
          <w:tcPr>
            <w:tcW w:w="52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86,636</w:t>
            </w: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184,726</w:t>
            </w: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8,090</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1,241</w:t>
            </w:r>
          </w:p>
        </w:tc>
        <w:tc>
          <w:tcPr>
            <w:tcW w:w="2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280,693</w:t>
            </w: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398,246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(20,724 )</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(237,768 )</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(13,201 )</w:t>
            </w: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(271,693 )</w:t>
            </w:r>
          </w:p>
        </w:tc>
        <w:tc>
          <w:tcPr>
            <w:tcW w:w="5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(83,398 )</w:t>
            </w: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(128,152 )</w:t>
            </w: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(614 )</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(2,630 )</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(214,794 )</w:t>
            </w:r>
          </w:p>
        </w:tc>
        <w:tc>
          <w:tcPr>
            <w:tcW w:w="500" w:type="dxa"/>
            <w:vAlign w:val="bottom"/>
          </w:tcPr>
          <w:p>
            <w:pPr>
              <w:spacing w:after="0"/>
              <w:rPr>
                <w:sz w:val="18"/>
                <w:szCs w:val="18"/>
                <w:color w:val="auto"/>
              </w:rPr>
            </w:pPr>
          </w:p>
        </w:tc>
      </w:tr>
      <w:tr>
        <w:trPr>
          <w:trHeight w:val="210"/>
        </w:trPr>
        <w:tc>
          <w:tcPr>
            <w:tcW w:w="520" w:type="dxa"/>
            <w:vAlign w:val="bottom"/>
          </w:tcPr>
          <w:p>
            <w:pPr>
              <w:spacing w:after="0"/>
              <w:rPr>
                <w:sz w:val="18"/>
                <w:szCs w:val="18"/>
                <w:color w:val="auto"/>
              </w:rPr>
            </w:pPr>
          </w:p>
        </w:tc>
        <w:tc>
          <w:tcPr>
            <w:tcW w:w="4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30,986</w:t>
            </w: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152,039</w:t>
            </w: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8,654</w:t>
            </w: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880</w:t>
            </w:r>
          </w:p>
        </w:tc>
        <w:tc>
          <w:tcPr>
            <w:tcW w:w="2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192,559</w:t>
            </w:r>
          </w:p>
        </w:tc>
        <w:tc>
          <w:tcPr>
            <w:tcW w:w="100" w:type="dxa"/>
            <w:vAlign w:val="bottom"/>
            <w:tcBorders>
              <w:top w:val="single" w:sz="8" w:color="CFF0FC"/>
            </w:tcBorders>
          </w:tcPr>
          <w:p>
            <w:pPr>
              <w:spacing w:after="0"/>
              <w:rPr>
                <w:sz w:val="18"/>
                <w:szCs w:val="18"/>
                <w:color w:val="auto"/>
              </w:rPr>
            </w:pPr>
          </w:p>
        </w:tc>
        <w:tc>
          <w:tcPr>
            <w:tcW w:w="50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3"/>
        </w:trPr>
        <w:tc>
          <w:tcPr>
            <w:tcW w:w="5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88"/>
        </w:trPr>
        <w:tc>
          <w:tcPr>
            <w:tcW w:w="520" w:type="dxa"/>
            <w:vAlign w:val="bottom"/>
            <w:tcBorders>
              <w:bottom w:val="single" w:sz="8" w:color="9A9A9A"/>
            </w:tcBorders>
          </w:tcPr>
          <w:p>
            <w:pPr>
              <w:spacing w:after="0"/>
              <w:rPr>
                <w:sz w:val="7"/>
                <w:szCs w:val="7"/>
                <w:color w:val="auto"/>
              </w:rPr>
            </w:pPr>
          </w:p>
        </w:tc>
        <w:tc>
          <w:tcPr>
            <w:tcW w:w="43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-513715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-513715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-513715</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-513715</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-513715</wp:posOffset>
            </wp:positionV>
            <wp:extent cx="60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9" w:name="page20"/>
    <w:bookmarkEnd w:id="19"/>
    <w:tbl>
      <w:tblPr>
        <w:tblLayout w:type="fixed"/>
        <w:tblInd w:w="52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Trade</w:t>
            </w:r>
          </w:p>
        </w:tc>
        <w:tc>
          <w:tcPr>
            <w:tcW w:w="100" w:type="dxa"/>
            <w:vAlign w:val="bottom"/>
          </w:tcPr>
          <w:p>
            <w:pPr>
              <w:spacing w:after="0"/>
              <w:rPr>
                <w:sz w:val="13"/>
                <w:szCs w:val="13"/>
                <w:color w:val="auto"/>
              </w:rPr>
            </w:pPr>
          </w:p>
        </w:tc>
        <w:tc>
          <w:tcPr>
            <w:tcW w:w="122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140" w:type="dxa"/>
            <w:vAlign w:val="bottom"/>
          </w:tcPr>
          <w:p>
            <w:pPr>
              <w:spacing w:after="0"/>
              <w:rPr>
                <w:sz w:val="13"/>
                <w:szCs w:val="13"/>
                <w:color w:val="auto"/>
              </w:rPr>
            </w:pPr>
          </w:p>
        </w:tc>
        <w:tc>
          <w:tcPr>
            <w:tcW w:w="98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Product</w:t>
            </w:r>
          </w:p>
        </w:tc>
        <w:tc>
          <w:tcPr>
            <w:tcW w:w="120" w:type="dxa"/>
            <w:vAlign w:val="bottom"/>
          </w:tcPr>
          <w:p>
            <w:pPr>
              <w:spacing w:after="0"/>
              <w:rPr>
                <w:sz w:val="13"/>
                <w:szCs w:val="13"/>
                <w:color w:val="auto"/>
              </w:rPr>
            </w:pPr>
          </w:p>
        </w:tc>
        <w:tc>
          <w:tcPr>
            <w:tcW w:w="100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43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6"/>
                <w:szCs w:val="16"/>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0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140" w:type="dxa"/>
            <w:vAlign w:val="bottom"/>
          </w:tcPr>
          <w:p>
            <w:pPr>
              <w:spacing w:after="0"/>
              <w:rPr>
                <w:sz w:val="16"/>
                <w:szCs w:val="16"/>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20" w:type="dxa"/>
            <w:vAlign w:val="bottom"/>
          </w:tcPr>
          <w:p>
            <w:pPr>
              <w:spacing w:after="0"/>
              <w:rPr>
                <w:sz w:val="16"/>
                <w:szCs w:val="16"/>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220" w:type="dxa"/>
            <w:vAlign w:val="bottom"/>
          </w:tcPr>
          <w:p>
            <w:pPr>
              <w:spacing w:after="0"/>
              <w:rPr>
                <w:sz w:val="16"/>
                <w:szCs w:val="16"/>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36,242</w:t>
            </w: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141,201</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7,797</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5,587</w:t>
            </w:r>
          </w:p>
        </w:tc>
        <w:tc>
          <w:tcPr>
            <w:tcW w:w="2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190,827</w:t>
            </w: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409,766</w:t>
            </w: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(854 )</w:t>
            </w: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(854 )</w:t>
            </w: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(19,874 )</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(170,389 )</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(22,544 )</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(212,807 )</w:t>
            </w:r>
          </w:p>
        </w:tc>
      </w:tr>
      <w:tr>
        <w:trPr>
          <w:trHeight w:val="216"/>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(34,511 )</w:t>
            </w: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(127,379 )</w:t>
            </w: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(763 )</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(5,589 )</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(168,242 )</w:t>
            </w:r>
          </w:p>
        </w:tc>
      </w:tr>
      <w:tr>
        <w:trPr>
          <w:trHeight w:val="209"/>
        </w:trPr>
        <w:tc>
          <w:tcPr>
            <w:tcW w:w="4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2021</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42,344</w:t>
            </w: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163,979</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8,784</w:t>
            </w: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3,583</w:t>
            </w:r>
          </w:p>
        </w:tc>
        <w:tc>
          <w:tcPr>
            <w:tcW w:w="2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218,690</w:t>
            </w:r>
          </w:p>
        </w:tc>
        <w:tc>
          <w:tcPr>
            <w:tcW w:w="100" w:type="dxa"/>
            <w:vAlign w:val="bottom"/>
            <w:tcBorders>
              <w:top w:val="single" w:sz="8" w:color="CFF0FC"/>
            </w:tcBorders>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-170815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-170815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-170815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2" w:lineRule="exact"/>
        <w:rPr>
          <w:sz w:val="20"/>
          <w:szCs w:val="20"/>
          <w:color w:val="auto"/>
        </w:rPr>
      </w:pPr>
    </w:p>
    <w:p>
      <w:pPr>
        <w:ind w:right="280"/>
        <w:spacing w:after="0" w:line="296" w:lineRule="auto"/>
        <w:rPr>
          <w:sz w:val="20"/>
          <w:szCs w:val="20"/>
          <w:color w:val="auto"/>
        </w:rPr>
      </w:pPr>
      <w:r>
        <w:rPr>
          <w:rFonts w:ascii="Times New Roman" w:cs="Times New Roman" w:eastAsia="Times New Roman" w:hAnsi="Times New Roman"/>
          <w:sz w:val="17"/>
          <w:szCs w:val="17"/>
          <w:color w:val="auto"/>
        </w:rPr>
        <w:t>Such net product revenue allowances and reserves are included within Accrued expenses and other current liabilities within the condensed consolidated balance sheets, with the exception of trade allowances and chargebacks, which are included within Accounts receivable, net as discussed above.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Licensing Revenue</w:t>
      </w:r>
    </w:p>
    <w:p>
      <w:pPr>
        <w:spacing w:after="0" w:line="10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Company enters into licensing agreements which are within the scope of Topic 606,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and royalty revenues.</w:t>
      </w:r>
    </w:p>
    <w:p>
      <w:pPr>
        <w:spacing w:after="0" w:line="7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69"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include the stage of development of the license delivered, research and development capabilities of the partner and the ability of partners to develop and commercialize VASCEPA independent of the Company.</w:t>
      </w:r>
    </w:p>
    <w:p>
      <w:pPr>
        <w:spacing w:after="0" w:line="67"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 to the Company’s intellectual property is determined to be distinct from the other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7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 regulatory and commercial milestone payments,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93" w:lineRule="exact"/>
        <w:rPr>
          <w:sz w:val="20"/>
          <w:szCs w:val="20"/>
          <w:color w:val="auto"/>
        </w:rPr>
      </w:pPr>
    </w:p>
    <w:p>
      <w:pPr>
        <w:jc w:val="both"/>
        <w:ind w:right="80"/>
        <w:spacing w:after="0" w:line="242" w:lineRule="auto"/>
        <w:rPr>
          <w:sz w:val="20"/>
          <w:szCs w:val="20"/>
          <w:color w:val="auto"/>
        </w:rPr>
      </w:pPr>
      <w:r>
        <w:rPr>
          <w:rFonts w:ascii="Times New Roman" w:cs="Times New Roman" w:eastAsia="Times New Roman" w:hAnsi="Times New Roman"/>
          <w:sz w:val="18"/>
          <w:szCs w:val="18"/>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4" w:right="379" w:bottom="1440" w:gutter="0" w:footer="0" w:header="0"/>
        </w:sectPr>
      </w:pPr>
    </w:p>
    <w:bookmarkStart w:id="20" w:name="page21"/>
    <w:bookmarkEnd w:id="20"/>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(9)</w:t>
        <w:tab/>
        <w:t>Development, Commercialization and Supply Agreements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In-licenses</w:t>
      </w: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Mochida Pharmaceutical Co., Ltd.</w:t>
      </w:r>
    </w:p>
    <w:p>
      <w:pPr>
        <w:spacing w:after="0" w:line="10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In June 2018, the Company entered into a collaboration with Mochida Pharmaceutical Co., Ltd., or Mochida, related to the development and commercialization of drug products and indications based on the active pharmaceutical ingredient in VASCEPA, the omega-3 acid, EPA, or eicosapentaenoic acid. Among other terms in the agreement, the Company obtained an exclusive license to certain Mochida intellectual property to advance the Company’s interests in the United States and certain other territories and the parties will collaborate to research and develop new products and indications based on EPA for the Company’s commercialization in the United States and certain other territories. The potential new product and indication opportunities contemplated under this agreement are currently in early stages of development.</w:t>
      </w:r>
    </w:p>
    <w:p>
      <w:pPr>
        <w:spacing w:after="0" w:line="72"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Upon closing of the collaboration agreement, the Company made a non-refundable, non-creditable upfront payment of approximately $2.7 million. In addition, the agreement provides for the Company to pay milestone payments upon the achievement of certain product development milestones and royalties on net sales of future products arising from the collaboration, if any.</w:t>
      </w:r>
    </w:p>
    <w:p>
      <w:pPr>
        <w:spacing w:after="0" w:line="6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 January 2022 and 2021, the Company exercised certain rights under the agreement, resulting in payments of $1.0 million, respectively, to Mochida, which was recorded as Research and development expense in the condensed consolidated statement of operations.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u w:val="single" w:color="auto"/>
          <w:color w:val="auto"/>
        </w:rPr>
        <w:t>Out-licenses</w:t>
      </w: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Eddingpharm (Asia) Macao Commercial Offshore Limited</w:t>
      </w:r>
    </w:p>
    <w:p>
      <w:pPr>
        <w:spacing w:after="0" w:line="10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 February 2015, the Company entered into a Development, Commercialization and Supply Agreement, or the DCS Agreement, with Eddingpharm (Asia) Macao Commercial Offshore Limited, or Edding, related to the development and commercialization of VASCEPA in Mainland China, Hong Kong, Macau and Taiwan, or the China Territory. Under the terms of the DCS Agreement, the Company granted to Edding an exclusive (including as to the Company) license with right to sublicense to develop and commercialize VASCEPA in the China Territory for uses that are currently commercialized and under development by the Company based on the Company’s MARINE, ANCHOR and REDUCE-IT clinical trials of VASCEPA.</w:t>
      </w:r>
    </w:p>
    <w:p>
      <w:pPr>
        <w:spacing w:after="0" w:line="69"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Under the DCS Agreement, Edding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 agreed to certain restrictions regarding the commercialization of competitive products globally and the Company agreed to certain restrictions regarding the commercialization of competitive products in the China Territory.</w:t>
      </w:r>
    </w:p>
    <w:p>
      <w:pPr>
        <w:spacing w:after="0" w:line="5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The Company and Edding agreed to form a joint development committee to oversee regulatory and development activities for VASCEPA in the China Territory in accordance with a negotiated development plan and formed a separate joint commercialization committee in advance of expected approval in the China Territory to oversee VASCEPA planning and pre-launch commercialization activities in the China Territory. Development costs are paid by Edding to the extent such costs are incurred in connection with the negotiated development plan or otherwise incurred by Edding. Edding is responsible for preparing and filing regulatory applications in all countries of the China Territory at Edding’s cost with the Company’s assistance. The DCS Agreement also contains customary provisions regarding indemnification, supply, record keeping, audit rights, reporting obligations, and representations and warranties that are customary for an arrangement of this type.</w:t>
      </w:r>
    </w:p>
    <w:p>
      <w:pPr>
        <w:spacing w:after="0" w:line="7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The term of the DCS Agreement expires, on a product-by-product basis, upon the later of (i) the date on which such product is no longer covered by a valid claim under a licensed patent in the China Territory, or (ii) the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 has the right to terminate the DCS Agreement for convenience with 12 months’ prior notice. Neither party may assign or transfer the DCS Agreement without the prior consent of the other party, provided that the Company may assign the DCS Agreement in the event of a change of control transaction.</w:t>
      </w:r>
    </w:p>
    <w:p>
      <w:pPr>
        <w:spacing w:after="0" w:line="72"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8"/>
          <w:szCs w:val="18"/>
          <w:color w:val="auto"/>
        </w:rPr>
        <w:t>Upon closing of the DCS Agreement, the Company received a non-refundable $15.0 million up-front payment. In March 2016, Edding submitted its clinical trial application, or CTA, with respect to the MARINE indication for VASCEPA to the Chinese regulatory authority. Following the CTA submission, the Company received a non-refundable $1.0 million milestone payment. In March 2017, the CTA was approved by the Chinese regulatory authority, and, in December 2017, Edding commenced a pivotal clinical trial aimed to support the regulatory approval of the first indication of VASCEPA in a patient population with severe hypertriglyceridemia in Mainland China. In November 2020, the Company announced statistically significant topline results from the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1" w:name="page22"/>
    <w:bookmarkEnd w:id="21"/>
    <w:p>
      <w:pPr>
        <w:ind w:right="480"/>
        <w:spacing w:after="0" w:line="282" w:lineRule="auto"/>
        <w:rPr>
          <w:sz w:val="20"/>
          <w:szCs w:val="20"/>
          <w:color w:val="auto"/>
        </w:rPr>
      </w:pPr>
      <w:r>
        <w:rPr>
          <w:rFonts w:ascii="Times New Roman" w:cs="Times New Roman" w:eastAsia="Times New Roman" w:hAnsi="Times New Roman"/>
          <w:sz w:val="18"/>
          <w:szCs w:val="18"/>
          <w:color w:val="auto"/>
        </w:rPr>
        <w:t>Phase 3 clinical trial of VASCEPA conducted by Edding, which is being used to seek regulatory approval in Mainland China. The Company received approval of VASCEPA under the REDUCE-IT indication in Hong Kong in February 2022.</w:t>
      </w:r>
    </w:p>
    <w:p>
      <w:pPr>
        <w:spacing w:after="0" w:line="40"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In addition to the non-refundable, up-front and regulatory milestone payments described above, the Company is entitled to receive certain regulatory and sales-based milestone payments of up to an additional $153.0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$2.0 million to $15.0 million for a total of $33.0 million. The sales-based milestone events occur when annual aggregate net sales of VASCEPA in the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9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Edding,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and (3) ongoing development and regulatory assistance. Based on the analysis performed, the Company concluded that the identified performance obligations are not distinct and therefore a combined performance obligation.</w:t>
      </w:r>
    </w:p>
    <w:p>
      <w:pPr>
        <w:spacing w:after="0" w:line="7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The transaction price includes the $15.0 million up-front consideration received and the $1.0 million milestone payment received related to the successful submission of the CTA for the MARINE indication. None of the other clinical or regulatory milestones have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87"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During the six months ended June 30, 2022 and 2021, the Company recognized $0.3 million and $0.6 million, respectively, as licensing revenue related to the up-front and milestone payments received in connection with the Edding agreement. From contract inception through June 30, 2022 and December 31, 2021, the Company recognized $7.4 million and $7.1 million, respectively, as licensing revenue under the DCS Agreement concurrent with the input measure of support hours provided by Amarin to Edding in achieving the combined development and regulatory performance obligation, which in the Company’s judgment is the best measure of progress towards satisfying this performance obligation. The remaining transaction price of $9.5 million and $9.8 million is recorded in deferred revenue as of June 30, 2022 and December 31, 2021, respectively, on the condensed consolidated balance sheets and will be recognized as revenue over the remaining period of 12 years.</w:t>
      </w:r>
    </w:p>
    <w:p>
      <w:pPr>
        <w:spacing w:after="0" w:line="9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recognized net product revenue of nil and $0.1 million for the three and six months ended June 30, 2022 and 2021, respectively, related to sales to Edding.</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Biologix FZCo</w:t>
      </w:r>
    </w:p>
    <w:p>
      <w:pPr>
        <w:spacing w:after="0" w:line="11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In March 2016, the Company entered into an agreement with Biologix FZCo, or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will be recognized as revenue over 10 years commencing upon first marketing approval of VASCEPA in the territory.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received approval of VASCEPA under the MARINE and REDUCE-IT indications in the following countries: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60" w:type="dxa"/>
            <w:vAlign w:val="bottom"/>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320" w:type="dxa"/>
            <w:vAlign w:val="bottom"/>
          </w:tcPr>
          <w:p>
            <w:pPr>
              <w:spacing w:after="0"/>
              <w:rPr>
                <w:sz w:val="16"/>
                <w:szCs w:val="16"/>
                <w:color w:val="auto"/>
              </w:rPr>
            </w:pPr>
          </w:p>
        </w:tc>
        <w:tc>
          <w:tcPr>
            <w:tcW w:w="1600" w:type="dxa"/>
            <w:vAlign w:val="bottom"/>
            <w:tcBorders>
              <w:bottom w:val="single" w:sz="8" w:color="auto"/>
            </w:tcBorders>
          </w:tcPr>
          <w:p>
            <w:pPr>
              <w:jc w:val="center"/>
              <w:ind w:left="234"/>
              <w:spacing w:after="0"/>
              <w:rPr>
                <w:sz w:val="20"/>
                <w:szCs w:val="20"/>
                <w:color w:val="auto"/>
              </w:rPr>
            </w:pPr>
            <w:r>
              <w:rPr>
                <w:rFonts w:ascii="Times New Roman" w:cs="Times New Roman" w:eastAsia="Times New Roman" w:hAnsi="Times New Roman"/>
                <w:sz w:val="14"/>
                <w:szCs w:val="14"/>
                <w:b w:val="1"/>
                <w:bCs w:val="1"/>
                <w:color w:val="auto"/>
              </w:rPr>
              <w:t>REDUCE-IT</w:t>
            </w:r>
          </w:p>
        </w:tc>
        <w:tc>
          <w:tcPr>
            <w:tcW w:w="34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100" w:type="dxa"/>
            <w:vAlign w:val="bottom"/>
          </w:tcPr>
          <w:p>
            <w:pPr>
              <w:spacing w:after="0"/>
              <w:rPr>
                <w:sz w:val="16"/>
                <w:szCs w:val="16"/>
                <w:color w:val="auto"/>
              </w:rPr>
            </w:pPr>
          </w:p>
        </w:tc>
      </w:tr>
      <w:tr>
        <w:trPr>
          <w:trHeight w:val="210"/>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Lebanon</w:t>
            </w:r>
          </w:p>
        </w:tc>
        <w:tc>
          <w:tcPr>
            <w:tcW w:w="260" w:type="dxa"/>
            <w:vAlign w:val="bottom"/>
            <w:shd w:val="clear" w:color="auto" w:fill="CFF0FC"/>
          </w:tcPr>
          <w:p>
            <w:pPr>
              <w:spacing w:after="0"/>
              <w:rPr>
                <w:sz w:val="18"/>
                <w:szCs w:val="18"/>
                <w:color w:val="auto"/>
              </w:rPr>
            </w:pPr>
          </w:p>
        </w:tc>
        <w:tc>
          <w:tcPr>
            <w:tcW w:w="1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2018</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center"/>
              <w:ind w:left="234"/>
              <w:spacing w:after="0"/>
              <w:rPr>
                <w:sz w:val="20"/>
                <w:szCs w:val="20"/>
                <w:color w:val="auto"/>
              </w:rPr>
            </w:pPr>
            <w:r>
              <w:rPr>
                <w:rFonts w:ascii="Times New Roman" w:cs="Times New Roman" w:eastAsia="Times New Roman" w:hAnsi="Times New Roman"/>
                <w:sz w:val="18"/>
                <w:szCs w:val="18"/>
                <w:color w:val="auto"/>
                <w:w w:val="99"/>
              </w:rPr>
              <w:t>August 2021</w:t>
            </w: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2018</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2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2018</w:t>
            </w:r>
          </w:p>
        </w:tc>
        <w:tc>
          <w:tcPr>
            <w:tcW w:w="320" w:type="dxa"/>
            <w:vAlign w:val="bottom"/>
          </w:tcPr>
          <w:p>
            <w:pPr>
              <w:spacing w:after="0"/>
              <w:rPr>
                <w:sz w:val="18"/>
                <w:szCs w:val="18"/>
                <w:color w:val="auto"/>
              </w:rPr>
            </w:pPr>
          </w:p>
        </w:tc>
        <w:tc>
          <w:tcPr>
            <w:tcW w:w="1600" w:type="dxa"/>
            <w:vAlign w:val="bottom"/>
          </w:tcPr>
          <w:p>
            <w:pPr>
              <w:jc w:val="center"/>
              <w:ind w:left="254"/>
              <w:spacing w:after="0"/>
              <w:rPr>
                <w:sz w:val="20"/>
                <w:szCs w:val="20"/>
                <w:color w:val="auto"/>
              </w:rPr>
            </w:pPr>
            <w:r>
              <w:rPr>
                <w:rFonts w:ascii="Times New Roman" w:cs="Times New Roman" w:eastAsia="Times New Roman" w:hAnsi="Times New Roman"/>
                <w:sz w:val="18"/>
                <w:szCs w:val="18"/>
                <w:color w:val="auto"/>
                <w:w w:val="99"/>
              </w:rPr>
              <w:t>October 2021</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2019</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260" w:type="dxa"/>
            <w:vAlign w:val="bottom"/>
            <w:shd w:val="clear" w:color="auto" w:fill="CFF0FC"/>
          </w:tcPr>
          <w:p>
            <w:pPr>
              <w:spacing w:after="0"/>
              <w:rPr>
                <w:sz w:val="18"/>
                <w:szCs w:val="18"/>
                <w:color w:val="auto"/>
              </w:rPr>
            </w:pPr>
          </w:p>
        </w:tc>
        <w:tc>
          <w:tcPr>
            <w:tcW w:w="1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center"/>
              <w:ind w:left="254"/>
              <w:spacing w:after="0"/>
              <w:rPr>
                <w:sz w:val="20"/>
                <w:szCs w:val="20"/>
                <w:color w:val="auto"/>
              </w:rPr>
            </w:pPr>
            <w:r>
              <w:rPr>
                <w:rFonts w:ascii="Times New Roman" w:cs="Times New Roman" w:eastAsia="Times New Roman" w:hAnsi="Times New Roman"/>
                <w:sz w:val="18"/>
                <w:szCs w:val="18"/>
                <w:color w:val="auto"/>
                <w:w w:val="99"/>
              </w:rPr>
              <w:t>April 2021</w:t>
            </w: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94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Bahrain</w:t>
            </w:r>
          </w:p>
        </w:tc>
        <w:tc>
          <w:tcPr>
            <w:tcW w:w="2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20" w:type="dxa"/>
            <w:vAlign w:val="bottom"/>
          </w:tcPr>
          <w:p>
            <w:pPr>
              <w:spacing w:after="0"/>
              <w:rPr>
                <w:sz w:val="18"/>
                <w:szCs w:val="18"/>
                <w:color w:val="auto"/>
              </w:rPr>
            </w:pPr>
          </w:p>
        </w:tc>
        <w:tc>
          <w:tcPr>
            <w:tcW w:w="1600" w:type="dxa"/>
            <w:vAlign w:val="bottom"/>
          </w:tcPr>
          <w:p>
            <w:pPr>
              <w:jc w:val="center"/>
              <w:ind w:left="254"/>
              <w:spacing w:after="0"/>
              <w:rPr>
                <w:sz w:val="20"/>
                <w:szCs w:val="20"/>
                <w:color w:val="auto"/>
              </w:rPr>
            </w:pPr>
            <w:r>
              <w:rPr>
                <w:rFonts w:ascii="Times New Roman" w:cs="Times New Roman" w:eastAsia="Times New Roman" w:hAnsi="Times New Roman"/>
                <w:sz w:val="18"/>
                <w:szCs w:val="18"/>
                <w:color w:val="auto"/>
                <w:w w:val="99"/>
              </w:rPr>
              <w:t>April 2022</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tcPr>
          <w:p>
            <w:pPr>
              <w:ind w:left="1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Kuwait</w:t>
            </w:r>
          </w:p>
        </w:tc>
        <w:tc>
          <w:tcPr>
            <w:tcW w:w="260" w:type="dxa"/>
            <w:vAlign w:val="bottom"/>
            <w:shd w:val="clear" w:color="auto" w:fill="CFF0FC"/>
          </w:tcPr>
          <w:p>
            <w:pPr>
              <w:spacing w:after="0"/>
              <w:rPr>
                <w:sz w:val="18"/>
                <w:szCs w:val="18"/>
                <w:color w:val="auto"/>
              </w:rPr>
            </w:pPr>
          </w:p>
        </w:tc>
        <w:tc>
          <w:tcPr>
            <w:tcW w:w="1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2021</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FF0FC"/>
          </w:tcPr>
          <w:p>
            <w:pPr>
              <w:spacing w:after="0"/>
              <w:rPr>
                <w:sz w:val="18"/>
                <w:szCs w:val="18"/>
                <w:color w:val="auto"/>
              </w:rPr>
            </w:pPr>
          </w:p>
        </w:tc>
        <w:tc>
          <w:tcPr>
            <w:tcW w:w="194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3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26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20"/>
                <w:szCs w:val="20"/>
                <w:color w:val="auto"/>
              </w:rPr>
            </w:pPr>
          </w:p>
        </w:tc>
        <w:tc>
          <w:tcPr>
            <w:tcW w:w="1940" w:type="dxa"/>
            <w:vAlign w:val="bottom"/>
          </w:tcPr>
          <w:p>
            <w:pPr>
              <w:ind w:left="1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bl>
    <w:p>
      <w:pPr>
        <w:spacing w:after="0" w:line="71"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The Company recognized net product revenue of nil for both the three months ended June 30, 2022 and 2021 and nil and $0.5 million for the six months ended June 30, 2022 and 2021, respectively, related to sales to Biologix.</w:t>
      </w: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2" w:name="page23"/>
    <w:bookmarkEnd w:id="22"/>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HLS Therapeutics, Inc.</w:t>
      </w:r>
    </w:p>
    <w:p>
      <w:pPr>
        <w:spacing w:after="0" w:line="11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 September 2017, the Company entered into an agreement with HLS Therapeutics Inc., or HLS, a company incorporated under the laws of Canada, to register, commercialize and distribute VASCEPA in Canada. Under the agreement, HLS will be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w:t>
      </w:r>
    </w:p>
    <w:p>
      <w:pPr>
        <w:spacing w:after="0" w:line="6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Upon closing of the agreement, the Company received one-half of a non-refundable $5.0 million up-front payment, and received the remaining half on the six-month anniversary of the closing. Following achievement of the REDUCE-IT trial primary endpoint, which was announced in September 2018, the Company received a non-refundable $2.5 million milestone payment. Following approval from Health Canada in December 2019, the Company received a non-refundable milestone payment of $2.5 million in February 2020. In addition, in January 2020 HLS obtained regulatory exclusivity from the Office of Patented Medicines and Liaison, or OPML, as a result the Company received a non-refundable $3.8 million milestone payment. In addition to the non-refundable, up-front and regulatory milestone payments just described, the Company is entitled to receive certain sales-based milestone payments of up to an additional $50.0 million, as well as tiered double-digit royalties on net sales of VASCEPA in Canada.</w:t>
      </w:r>
    </w:p>
    <w:p>
      <w:pPr>
        <w:spacing w:after="0" w:line="7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and (3) participate in various steering committees. Based on the analysis performed, the Company concluded that the identified performance obligations in the agreement are not distinct and therefore a combined performance obligation.</w:t>
      </w:r>
    </w:p>
    <w:p>
      <w:pPr>
        <w:spacing w:after="0" w:line="6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transaction price includes the $5.0 million up-front consideration, the $2.5 million milestone related to the achievement of the REDUCE-IT trial primary endpoint, the $2.5 million milestone related to obtaining approval from Health Canada and $3.8 million milestone related to obtaining regulatory exclusivity from the OPML.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69"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During the six months ended June 30, 2022 and 2021, the Company recognized $0.3 million and $0.6 million, respectively, as licensing revenue related to up-front and milestone payments received in connection with the HLS agreement. From the contract’s inception through June 30, 2022 and December 31, 2021, the Company has recognized $7.8 million and $7.5 million, respectively, as licensing revenue is recognized under the agreement concurrent with the input measure of support hours provided by Amarin to HLS in achieving this performance obligation, which in the Company’s judgment is the best measure of progress towards satisfying the combined development and regulatory performance obligation. The remaining transaction price of $5.9 million and $6.2 million is recorded in deferred revenue as of June 30, 2022 and December 31, 2021, respectively, on the condensed consolidated balance sheets and will be recognized as revenue over the remaining period of 8 years.</w:t>
      </w:r>
    </w:p>
    <w:p>
      <w:pPr>
        <w:spacing w:after="0" w:line="7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recognized net product revenue of $2.3 million and nil for the three and six months ended June 30, 2022 and 2021, respectively, related to sales to HLS.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balances of the Company’s contract assets and liabilities during the six months ended June 30, 2022 and 2021:</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4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right"/>
              <w:ind w:right="336"/>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2"/>
                <w:szCs w:val="12"/>
                <w:color w:val="auto"/>
              </w:rPr>
            </w:pPr>
          </w:p>
        </w:tc>
      </w:tr>
      <w:tr>
        <w:trPr>
          <w:trHeight w:val="187"/>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6"/>
                <w:szCs w:val="16"/>
                <w:color w:val="auto"/>
              </w:rPr>
            </w:pPr>
          </w:p>
        </w:tc>
        <w:tc>
          <w:tcPr>
            <w:tcW w:w="12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320" w:type="dxa"/>
            <w:vAlign w:val="bottom"/>
          </w:tcPr>
          <w:p>
            <w:pPr>
              <w:spacing w:after="0"/>
              <w:rPr>
                <w:sz w:val="16"/>
                <w:szCs w:val="16"/>
                <w:color w:val="auto"/>
              </w:rPr>
            </w:pPr>
          </w:p>
        </w:tc>
        <w:tc>
          <w:tcPr>
            <w:tcW w:w="12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100" w:type="dxa"/>
            <w:vAlign w:val="bottom"/>
          </w:tcPr>
          <w:p>
            <w:pPr>
              <w:spacing w:after="0"/>
              <w:rPr>
                <w:sz w:val="16"/>
                <w:szCs w:val="16"/>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2022:</w:t>
            </w: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(701 )</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16,008</w:t>
            </w:r>
          </w:p>
        </w:tc>
        <w:tc>
          <w:tcPr>
            <w:tcW w:w="100" w:type="dxa"/>
            <w:vAlign w:val="bottom"/>
          </w:tcPr>
          <w:p>
            <w:pPr>
              <w:spacing w:after="0"/>
              <w:rPr>
                <w:sz w:val="18"/>
                <w:szCs w:val="18"/>
                <w:color w:val="auto"/>
              </w:rPr>
            </w:pPr>
          </w:p>
        </w:tc>
      </w:tr>
      <w:tr>
        <w:trPr>
          <w:trHeight w:val="230"/>
        </w:trPr>
        <w:tc>
          <w:tcPr>
            <w:tcW w:w="4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2021:</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18,632</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(662 )</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17,970</w:t>
            </w:r>
          </w:p>
        </w:tc>
        <w:tc>
          <w:tcPr>
            <w:tcW w:w="10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and 2021, the Company recognized the following revenues as a result of changes in the contract asset and contract liability balances in the respective periods: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7"/>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7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Revenue recognized in the period from:</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7"/>
                <w:szCs w:val="17"/>
                <w:color w:val="auto"/>
              </w:rPr>
            </w:pPr>
          </w:p>
        </w:tc>
      </w:tr>
      <w:tr>
        <w:trPr>
          <w:trHeight w:val="20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included in contract liability at the beginning of the period</w:t>
            </w: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0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The Company leases office space under operating leases. The lease liability is initially measured at the present value of the lease payments to be made over the lease term. Lease payments are comprised of the fixed and variable payments to be made by the 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 for the Company. As there are no significant economic penalties, renewal cannot be reasonably assured and the lease terms for the office space do not include any renewal options. The Company has not entered into any leases with related parties. The Company accounts for short-term leases (i.e., lease term of 12 months or less) by making the short-term lease policy election and will not apply the recognition and measurement requirements of ASC 842.</w:t>
      </w:r>
    </w:p>
    <w:p>
      <w:pPr>
        <w:spacing w:after="0" w:line="78"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condensed consolidated financial statements.</w:t>
      </w:r>
    </w:p>
    <w:p>
      <w:pPr>
        <w:spacing w:after="0" w:line="6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On February 5, 2019, the Company entered into a lease agreement for new office space in Bridgewater, New Jersey, or the New Jersey Lease. The New Jersey Lease commenced on August 15, 2019, or the New Jersey Commencement Date, for an 11-year period, with two five-year renewal options. Subject</w:t>
      </w:r>
    </w:p>
    <w:p>
      <w:pPr>
        <w:ind w:right="80"/>
        <w:spacing w:after="0" w:line="228" w:lineRule="auto"/>
        <w:rPr>
          <w:sz w:val="20"/>
          <w:szCs w:val="20"/>
          <w:color w:val="auto"/>
        </w:rPr>
      </w:pPr>
      <w:r>
        <w:rPr>
          <w:rFonts w:ascii="Times New Roman" w:cs="Times New Roman" w:eastAsia="Times New Roman" w:hAnsi="Times New Roman"/>
          <w:sz w:val="18"/>
          <w:szCs w:val="18"/>
          <w:color w:val="auto"/>
        </w:rPr>
        <w:t>to the terms of the New Jersey Lease, the Company will have a one-time option to terminate the agreement effective on the first day of the 97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month after the New Jersey Commencement Date upon advance written notice and a termination payment specified in the Lease. Under the New Jersey Lease, the Company paid monthly rent of approximately $0.1 million for the first year following the New Jersey Commencement Date, and such rent increases by a nominal percentage every year following the first anniversary of the New Jersey Commencement Date. In addition, Amarin receives certain abatements subject to the limitations in the New Jersey Lease.</w:t>
      </w:r>
    </w:p>
    <w:p>
      <w:pPr>
        <w:spacing w:after="0" w:line="80" w:lineRule="exact"/>
        <w:rPr>
          <w:sz w:val="20"/>
          <w:szCs w:val="20"/>
          <w:color w:val="auto"/>
        </w:rPr>
      </w:pPr>
    </w:p>
    <w:p>
      <w:pPr>
        <w:ind w:right="300"/>
        <w:spacing w:after="0" w:line="246" w:lineRule="auto"/>
        <w:rPr>
          <w:sz w:val="20"/>
          <w:szCs w:val="20"/>
          <w:color w:val="auto"/>
        </w:rPr>
      </w:pPr>
      <w:r>
        <w:rPr>
          <w:rFonts w:ascii="Times New Roman" w:cs="Times New Roman" w:eastAsia="Times New Roman" w:hAnsi="Times New Roman"/>
          <w:sz w:val="18"/>
          <w:szCs w:val="18"/>
          <w:color w:val="auto"/>
        </w:rPr>
        <w:t>On November 17, 2021, the Company entered into a lease agreement for new office space in Zug Switzerland, or the Zug Lease. The Zug Lease commenced on February 1, 2022, or the Zug Commencement Date, for a 5-year period, with one five-year renewal option. Under the Zug Lease, the Company will pay annual rent of approximately $0.2 million for the first year following the Zug Commencement Date, and such rent increases by a nominal percentage every year following the first anniversary of the Zug Commencement Date. In addition to the real estate leases, the Company leases various vehicles with terms ranging from month to month up to 36 months.</w:t>
      </w:r>
    </w:p>
    <w:p>
      <w:pPr>
        <w:spacing w:after="0" w:line="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June 30, 2022 and December 31, 2021, the total operating lease liability is $11.2 million and $10.3 million, respectively, and the total operating lease right-of-use asset is $8.6 million and $7.7 million, respectively.</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lease expense for the three and six months ended June 30, 2022 is approximately $0.6 million and $1.2 million, respectively. The lease expense for the three and six months ended June 30, 2021 is approximately $0.4 million and $1.2 million, respectively.</w:t>
      </w:r>
    </w:p>
    <w:p>
      <w:pPr>
        <w:spacing w:after="0" w:line="4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table below depicts a maturity analysis of the Company’s undiscounted payments for its operating lease liabilities and their reconciliation with the carrying amount of lease liability presented in the statement of financial position as of June 30, 2022: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Undiscounted</w:t>
            </w:r>
          </w:p>
        </w:tc>
      </w:tr>
      <w:tr>
        <w:trPr>
          <w:trHeight w:val="148"/>
        </w:trPr>
        <w:tc>
          <w:tcPr>
            <w:tcW w:w="40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lease</w:t>
            </w:r>
          </w:p>
        </w:tc>
      </w:tr>
      <w:tr>
        <w:trPr>
          <w:trHeight w:val="162"/>
        </w:trPr>
        <w:tc>
          <w:tcPr>
            <w:tcW w:w="40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payments</w:t>
            </w:r>
          </w:p>
        </w:tc>
      </w:tr>
      <w:tr>
        <w:trPr>
          <w:trHeight w:val="187"/>
        </w:trPr>
        <w:tc>
          <w:tcPr>
            <w:tcW w:w="40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($000s)</w:t>
            </w:r>
          </w:p>
        </w:tc>
      </w:tr>
      <w:tr>
        <w:trPr>
          <w:trHeight w:val="210"/>
        </w:trPr>
        <w:tc>
          <w:tcPr>
            <w:tcW w:w="40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49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tcPr>
          <w:p>
            <w:pPr>
              <w:spacing w:after="0"/>
              <w:rPr>
                <w:sz w:val="18"/>
                <w:szCs w:val="18"/>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Pr>
          <w:p>
            <w:pPr>
              <w:spacing w:after="0"/>
              <w:rPr>
                <w:sz w:val="18"/>
                <w:szCs w:val="18"/>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100" w:type="dxa"/>
            <w:vAlign w:val="bottom"/>
          </w:tcPr>
          <w:p>
            <w:pPr>
              <w:spacing w:after="0"/>
              <w:rPr>
                <w:sz w:val="18"/>
                <w:szCs w:val="18"/>
                <w:color w:val="auto"/>
              </w:rPr>
            </w:pPr>
          </w:p>
        </w:tc>
      </w:tr>
      <w:tr>
        <w:trPr>
          <w:trHeight w:val="209"/>
        </w:trPr>
        <w:tc>
          <w:tcPr>
            <w:tcW w:w="4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payments</w:t>
            </w:r>
          </w:p>
        </w:tc>
        <w:tc>
          <w:tcPr>
            <w:tcW w:w="5160" w:type="dxa"/>
            <w:vAlign w:val="bottom"/>
            <w:tcBorders>
              <w:bottom w:val="single" w:sz="8" w:color="CFF0FC"/>
            </w:tcBorders>
            <w:gridSpan w:val="2"/>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Adjustments</w:t>
            </w:r>
          </w:p>
        </w:tc>
        <w:tc>
          <w:tcPr>
            <w:tcW w:w="55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(5,738 )</w:t>
            </w:r>
          </w:p>
        </w:tc>
      </w:tr>
      <w:tr>
        <w:trPr>
          <w:trHeight w:val="210"/>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5160" w:type="dxa"/>
            <w:vAlign w:val="bottom"/>
            <w:gridSpan w:val="2"/>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FF0FC"/>
          </w:tcPr>
          <w:p>
            <w:pPr>
              <w:spacing w:after="0"/>
              <w:rPr>
                <w:sz w:val="18"/>
                <w:szCs w:val="18"/>
                <w:color w:val="auto"/>
              </w:rPr>
            </w:pPr>
          </w:p>
        </w:tc>
      </w:tr>
      <w:tr>
        <w:trPr>
          <w:trHeight w:val="23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55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10,174</w:t>
            </w:r>
          </w:p>
        </w:tc>
        <w:tc>
          <w:tcPr>
            <w:tcW w:w="100" w:type="dxa"/>
            <w:vAlign w:val="bottom"/>
          </w:tcPr>
          <w:p>
            <w:pPr>
              <w:spacing w:after="0"/>
              <w:rPr>
                <w:sz w:val="20"/>
                <w:szCs w:val="20"/>
                <w:color w:val="auto"/>
              </w:rPr>
            </w:pPr>
          </w:p>
        </w:tc>
      </w:tr>
      <w:tr>
        <w:trPr>
          <w:trHeight w:val="400"/>
        </w:trPr>
        <w:tc>
          <w:tcPr>
            <w:tcW w:w="4020" w:type="dxa"/>
            <w:vAlign w:val="bottom"/>
          </w:tcPr>
          <w:p>
            <w:pPr>
              <w:spacing w:after="0"/>
              <w:rPr>
                <w:sz w:val="24"/>
                <w:szCs w:val="24"/>
                <w:color w:val="auto"/>
              </w:rPr>
            </w:pPr>
          </w:p>
        </w:tc>
        <w:tc>
          <w:tcPr>
            <w:tcW w:w="4940" w:type="dxa"/>
            <w:vAlign w:val="bottom"/>
          </w:tcPr>
          <w:p>
            <w:pPr>
              <w:jc w:val="right"/>
              <w:ind w:right="315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020" w:type="dxa"/>
            <w:vAlign w:val="bottom"/>
            <w:tcBorders>
              <w:bottom w:val="single" w:sz="8" w:color="9A9A9A"/>
            </w:tcBorders>
          </w:tcPr>
          <w:p>
            <w:pPr>
              <w:spacing w:after="0"/>
              <w:rPr>
                <w:sz w:val="7"/>
                <w:szCs w:val="7"/>
                <w:color w:val="auto"/>
              </w:rPr>
            </w:pPr>
          </w:p>
        </w:tc>
        <w:tc>
          <w:tcPr>
            <w:tcW w:w="49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-762000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10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On July 13 2022, in connection with the United Kingdom's National Institute for Health and Care Excellence, or NICE's, final guidance for reimbursement of VAZKEPA and use across the National Health Service, or NHS, in England and Wales, representing receipt of marketing approval in Europe for the first indication for VAZKEPA, the Company became obligated to make an aggregate milestone payment of £7.5 million to Laxdale’s former shareholders (in either stock or cash at the election of each shareholder) under the 2004 purchase agreement among the Company and such former shareholders. To date, one of the shareholders’ elected to receive payment in stock for its pro rata portion of the milestone payment, resulting in the issuance of 5,817,942 shares at a price of $1.41 per share in July 2022.</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60" w:right="379" w:bottom="1440" w:gutter="0" w:footer="0" w:header="0"/>
        </w:sectPr>
      </w:pPr>
    </w:p>
    <w:bookmarkStart w:id="25" w:name="page26"/>
    <w:bookmarkEnd w:id="2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6"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i w:val="1"/>
          <w:iCs w:val="1"/>
          <w:color w:val="auto"/>
        </w:rPr>
        <w:t>This Quarterly Report on Form 10-Q, or this Quarterly Report,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2021, or our Annual Report, and under Part II, Item IA, “Risk Factors” of this Quarterly Report.</w:t>
      </w:r>
    </w:p>
    <w:p>
      <w:pPr>
        <w:spacing w:after="0" w:line="74"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7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together with our unaudited condensed consolidated financial statements and notes thereto included elsewhere in this Quarterly Report, and the audited consolidated financial statements and accompanying notes, as well as Management’s Discussion and Analysis of Financial Condition and Results of Operations contained in our Annual Report.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120" w:firstLine="509"/>
        <w:spacing w:after="0" w:line="219" w:lineRule="auto"/>
        <w:rPr>
          <w:sz w:val="20"/>
          <w:szCs w:val="20"/>
          <w:color w:val="auto"/>
        </w:rPr>
      </w:pPr>
      <w:r>
        <w:rPr>
          <w:rFonts w:ascii="Times New Roman" w:cs="Times New Roman" w:eastAsia="Times New Roman" w:hAnsi="Times New Roman"/>
          <w:sz w:val="18"/>
          <w:szCs w:val="18"/>
          <w:color w:val="auto"/>
        </w:rPr>
        <w:t>We are a pharmaceutical company focused on the commercialization and development of therapeutics to improve cardiovascular, or CV, health and reduce CV risk. Our lead product,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was first approved by the United States Food and Drug Administration, or U.S. FDA, for use as an adjunct to diet to reduce triglyceride, or TG, levels in adult patients with severe (≥500 mg/dL) hypertriglyceridemia, or the MARINE indication. We launched VASCEPA in the United States, or U.S., in January 2013 under the MARINE indication. On December 13, 2019 the U.S. FDA approved an indication and label expansion for VASCEPA based on the landmark results of our cardiovascular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the first and only drug approved by the U.S. FDA as an adjunct to maximally tolerated statin therapy for reducing persistent cardiovascular risk in select high risk-patients, or the REDUCE-IT indication. On March 26, 2021, the European Commission, or EC, granted approval of the marketing authorization application in the EU for VAZKEPA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hereinafter along with the U.S. brand name VASCEPA, collectively referred to as VASCEPA, which is the first and only EC approved therapy to reduce cardiovascular risk in high-risk statin-treated patients with elevated TG levels. On April 22, 2021, we announced that we received marketing authorization from the Medicines and Healthcare Products Regulatory Agency, or MHRA, for VAZKEPA in England, Wales and Scotland to reduce cardiovascular risk through MHRA’s new ‘reliance’ route following the end of the Brexit transition period.</w:t>
      </w:r>
    </w:p>
    <w:p>
      <w:pPr>
        <w:spacing w:after="0" w:line="83"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VASCEPA is currently available by prescription in the U.S., Germany, Sweden, Canada, Lebanon and the United Arab Emirates. We are responsible for supplying VASCEPA to all markets in which the branded product is sold, either to and through our collaborations with third-party companies or by us. Subject to commercial launches in additional countries within Europe and Hong Kong and approval in China, we will be responsible for supplying products to those markets as well. We are not responsible for providing any generic company with drug product. Geographies outside the United States in which VASCEPA is sold and under regulatory review are not subject to the U.S. patent litigation and judgment described below. No similar litigation involving potential generic versions of VASCEPA is pending outside the United States.</w:t>
      </w: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08" w:lineRule="exact"/>
        <w:rPr>
          <w:sz w:val="20"/>
          <w:szCs w:val="20"/>
          <w:color w:val="auto"/>
        </w:rPr>
      </w:pPr>
    </w:p>
    <w:p>
      <w:pPr>
        <w:ind w:right="40" w:firstLine="509"/>
        <w:spacing w:after="0" w:line="238" w:lineRule="auto"/>
        <w:rPr>
          <w:sz w:val="20"/>
          <w:szCs w:val="20"/>
          <w:color w:val="auto"/>
        </w:rPr>
      </w:pPr>
      <w:r>
        <w:rPr>
          <w:rFonts w:ascii="Times New Roman" w:cs="Times New Roman" w:eastAsia="Times New Roman" w:hAnsi="Times New Roman"/>
          <w:sz w:val="18"/>
          <w:szCs w:val="18"/>
          <w:color w:val="auto"/>
        </w:rPr>
        <w:t>We commenced the commercial launch of VASCEPA in the United States in January 2013 based on the MARINE indication for VASCEPA. In October 2016, in addition to the original 1-gram capsule size, we introduced a smaller 0.5-gram capsule size. The U.S. FDA-approved dosing for VASCEPA continues to be 4 grams per day, and as expected, the majority of new and existing patients continue to be prescribed the 1-gram size VASCEPA capsule. VASCEPA is sold principally to a limited number of major wholesalers, as well as selected regional wholesalers and mail order pharmacy providers, or collectively, our distributors or our customers, most of whom in turn resell VASCEPA to retail pharmacies for subsequent resale to patients and healthcare providers. We employ various medical affairs and marketing personnel to support our commercialization of VASCEPA.</w:t>
      </w:r>
    </w:p>
    <w:p>
      <w:pPr>
        <w:spacing w:after="0" w:line="78" w:lineRule="exact"/>
        <w:rPr>
          <w:sz w:val="20"/>
          <w:szCs w:val="20"/>
          <w:color w:val="auto"/>
        </w:rPr>
      </w:pPr>
    </w:p>
    <w:p>
      <w:pPr>
        <w:ind w:right="240" w:firstLine="509"/>
        <w:spacing w:after="0" w:line="244" w:lineRule="auto"/>
        <w:rPr>
          <w:sz w:val="20"/>
          <w:szCs w:val="20"/>
          <w:color w:val="auto"/>
        </w:rPr>
      </w:pPr>
      <w:r>
        <w:rPr>
          <w:rFonts w:ascii="Times New Roman" w:cs="Times New Roman" w:eastAsia="Times New Roman" w:hAnsi="Times New Roman"/>
          <w:sz w:val="18"/>
          <w:szCs w:val="18"/>
          <w:color w:val="auto"/>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and certain of their affiliates, or, collectively, the Defendants, that declared as invalid several of our patents covering the MARINE indication for use to reduce severely high triglyceride levels. We sought appeals of the Nevada</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6" w:name="page27"/>
    <w:bookmarkEnd w:id="26"/>
    <w:p>
      <w:pPr>
        <w:ind w:right="680"/>
        <w:spacing w:after="0" w:line="282" w:lineRule="auto"/>
        <w:rPr>
          <w:sz w:val="20"/>
          <w:szCs w:val="20"/>
          <w:color w:val="auto"/>
        </w:rPr>
      </w:pPr>
      <w:r>
        <w:rPr>
          <w:rFonts w:ascii="Times New Roman" w:cs="Times New Roman" w:eastAsia="Times New Roman" w:hAnsi="Times New Roman"/>
          <w:sz w:val="18"/>
          <w:szCs w:val="18"/>
          <w:color w:val="auto"/>
        </w:rPr>
        <w:t>Court judgment up to the United States Supreme Court, but we were unsuccessful. On June 18, 2021, we were notified that our petition for writ of certiorari to the United States Supreme Court was denied.</w:t>
      </w:r>
    </w:p>
    <w:p>
      <w:pPr>
        <w:spacing w:after="0" w:line="40" w:lineRule="exact"/>
        <w:rPr>
          <w:sz w:val="20"/>
          <w:szCs w:val="20"/>
          <w:color w:val="auto"/>
        </w:rPr>
      </w:pPr>
    </w:p>
    <w:p>
      <w:pPr>
        <w:ind w:right="60" w:firstLine="544"/>
        <w:spacing w:after="0" w:line="243" w:lineRule="auto"/>
        <w:rPr>
          <w:sz w:val="20"/>
          <w:szCs w:val="20"/>
          <w:color w:val="auto"/>
        </w:rPr>
      </w:pPr>
      <w:r>
        <w:rPr>
          <w:rFonts w:ascii="Times New Roman" w:cs="Times New Roman" w:eastAsia="Times New Roman" w:hAnsi="Times New Roman"/>
          <w:sz w:val="18"/>
          <w:szCs w:val="18"/>
          <w:color w:val="auto"/>
        </w:rPr>
        <w:t>On May 22, 2020, Hikma received U.S. FDA approval to market its generic versions of VASCEPA for the MARINE indication of VASCEPA as an adjunct to diet to reduce TG levels in adult patients with severe (≥500 mg/dL) hypertriglyceridemia. In November 2020, Hikma launched their generic version of VASCEPA. On November 30, 2020, we filed a patent infringement lawsuit against Hikma for making, selling, offering to sell and importing generic icosapent ethyl capsules in and into the United States in a manner that we allege has induced the infringement of patents covering the use of VASCEPA to reduce specified cardiovascular risk. The earlier ANDA litigation did not pertain to our patents covering cardiovascular risk reduction. On January 25, 2021, we expanded the scope of the patent infringement lawsuit to include a health care insurance provider, Health Net, LLC. On January 4, 2022, the district court hearing the case granted Hikma's motion to dismiss. We intend to appeal the decision of the district court when permitted and also continue to vigorously pursue our ongoing litigation with Health Net, LLC, but cannot predict the outcome or the impact on our business.</w:t>
      </w:r>
    </w:p>
    <w:p>
      <w:pPr>
        <w:spacing w:after="0" w:line="78" w:lineRule="exact"/>
        <w:rPr>
          <w:sz w:val="20"/>
          <w:szCs w:val="20"/>
          <w:color w:val="auto"/>
        </w:rPr>
      </w:pPr>
    </w:p>
    <w:p>
      <w:pPr>
        <w:ind w:right="300" w:firstLine="544"/>
        <w:spacing w:after="0" w:line="250" w:lineRule="auto"/>
        <w:rPr>
          <w:sz w:val="20"/>
          <w:szCs w:val="20"/>
          <w:color w:val="auto"/>
        </w:rPr>
      </w:pPr>
      <w:r>
        <w:rPr>
          <w:rFonts w:ascii="Times New Roman" w:cs="Times New Roman" w:eastAsia="Times New Roman" w:hAnsi="Times New Roman"/>
          <w:sz w:val="18"/>
          <w:szCs w:val="18"/>
          <w:color w:val="auto"/>
        </w:rPr>
        <w:t>On August 10, 2020, Dr. Reddy's received U.S. FDA approval to market its generic version for the MARINE indication of VASCEPA. In June 2021, Dr. Reddy’s launched its generic version of VASCEPA with labeling that is substantially similar to labeling of the Hikma generic product. On September 11, 2020, Teva Pharmaceuticals USA, Inc.'s, or Teva's, ANDA was approved by the U.S. FDA and on June 30, 2021, Apotex, Inc.'s, or Apotex's, ANDA was approved by the U.S. FDA. In January 2022, Apotex launched its generic version of VASCEPA with labeling that is substantially consistent with the labeling of the Hikma and Dr. Reddy's generic product, not the cardiovascular risk reduction indication.</w:t>
      </w:r>
    </w:p>
    <w:p>
      <w:pPr>
        <w:spacing w:after="0" w:line="6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June 2022, to address current shifts within our U.S. business due to generic competitors, we announced a comprehensive cost and organizational restructuring plan. Our U.S. cost reduction plan includes:</w:t>
      </w:r>
    </w:p>
    <w:p>
      <w:pPr>
        <w:spacing w:after="0" w:line="66" w:lineRule="exact"/>
        <w:rPr>
          <w:sz w:val="20"/>
          <w:szCs w:val="20"/>
          <w:color w:val="auto"/>
        </w:rPr>
      </w:pPr>
    </w:p>
    <w:p>
      <w:pPr>
        <w:ind w:left="1020" w:hanging="50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workplace reduction: </w:t>
      </w:r>
      <w:r>
        <w:rPr>
          <w:rFonts w:ascii="Times New Roman" w:cs="Times New Roman" w:eastAsia="Times New Roman" w:hAnsi="Times New Roman"/>
          <w:sz w:val="18"/>
          <w:szCs w:val="18"/>
          <w:color w:val="auto"/>
        </w:rPr>
        <w:t>As a result of our cost reduction plan, we reduced our U.S. field force and corporate positions. Our U.S. field force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reduced from approximately 300 sales representatives to approximately 75 sales representatives.</w:t>
      </w:r>
    </w:p>
    <w:p>
      <w:pPr>
        <w:spacing w:after="0" w:line="50" w:lineRule="exact"/>
        <w:rPr>
          <w:rFonts w:ascii="Times New Roman" w:cs="Times New Roman" w:eastAsia="Times New Roman" w:hAnsi="Times New Roman"/>
          <w:sz w:val="18"/>
          <w:szCs w:val="18"/>
          <w:color w:val="auto"/>
        </w:rPr>
      </w:pPr>
    </w:p>
    <w:p>
      <w:pPr>
        <w:ind w:left="1020" w:right="20" w:hanging="503"/>
        <w:spacing w:after="0" w:line="259"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Streamlined operational expenditures: </w:t>
      </w:r>
      <w:r>
        <w:rPr>
          <w:rFonts w:ascii="Times New Roman" w:cs="Times New Roman" w:eastAsia="Times New Roman" w:hAnsi="Times New Roman"/>
          <w:sz w:val="18"/>
          <w:szCs w:val="18"/>
          <w:color w:val="auto"/>
        </w:rPr>
        <w:t>Includes reductions and reallocations in overall selling, general and administrative expenses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savings related to refining our research and development strategy to a more focused, stepwise approach for our fixed dose combination, or FDC, program.</w:t>
      </w:r>
    </w:p>
    <w:p>
      <w:pPr>
        <w:spacing w:after="0" w:line="61" w:lineRule="exact"/>
        <w:rPr>
          <w:sz w:val="20"/>
          <w:szCs w:val="20"/>
          <w:color w:val="auto"/>
        </w:rPr>
      </w:pPr>
    </w:p>
    <w:p>
      <w:pPr>
        <w:ind w:right="940" w:firstLine="509"/>
        <w:spacing w:after="0" w:line="282" w:lineRule="auto"/>
        <w:rPr>
          <w:sz w:val="20"/>
          <w:szCs w:val="20"/>
          <w:color w:val="auto"/>
        </w:rPr>
      </w:pPr>
      <w:r>
        <w:rPr>
          <w:rFonts w:ascii="Times New Roman" w:cs="Times New Roman" w:eastAsia="Times New Roman" w:hAnsi="Times New Roman"/>
          <w:sz w:val="18"/>
          <w:szCs w:val="18"/>
          <w:color w:val="auto"/>
        </w:rPr>
        <w:t>As a result of our U.S. cost reduction plan, our focus is primarily on engaging with our top prescribers, maintaining our exclusive payer relationships and targeted promotional initiatives amid the continued pressure from generic competitors.</w:t>
      </w:r>
    </w:p>
    <w:p>
      <w:pPr>
        <w:spacing w:after="0" w:line="40"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We obtain data from two third parties, Symphony Health and IQVIA, who collect and report estimates of weekly, monthly, quarterly and annual prescription information. There is a limited amount of information available to determine the actual number of total prescriptions for prescription products like VASCEPA during such periods. Each vendor’s estimates utilize a proprietary projection methodology and are based on a combination of data received from pharmacies and other distributors, and historical data when actual data is unavailable. Based on data from Symphony Health and IQVIA, the below chart represents the estimated number of normalized total VASCEPA prescriptions.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58420</wp:posOffset>
            </wp:positionV>
            <wp:extent cx="4954905" cy="29832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954905"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7" w:name="page28"/>
    <w:bookmarkEnd w:id="27"/>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61" w:lineRule="exact"/>
        <w:rPr>
          <w:sz w:val="20"/>
          <w:szCs w:val="20"/>
          <w:color w:val="auto"/>
        </w:rPr>
      </w:pPr>
    </w:p>
    <w:p>
      <w:pPr>
        <w:ind w:right="200" w:firstLine="509"/>
        <w:spacing w:after="0" w:line="247" w:lineRule="auto"/>
        <w:rPr>
          <w:sz w:val="20"/>
          <w:szCs w:val="20"/>
          <w:color w:val="auto"/>
        </w:rPr>
      </w:pPr>
      <w:r>
        <w:rPr>
          <w:rFonts w:ascii="Times New Roman" w:cs="Times New Roman" w:eastAsia="Times New Roman" w:hAnsi="Times New Roman"/>
          <w:sz w:val="18"/>
          <w:szCs w:val="18"/>
          <w:color w:val="auto"/>
        </w:rPr>
        <w:t>The resulting conclusions from Symphony Health and IQVIA are rarely identical and should be viewed with caution. The previous calculations of prescription levels by these vendors can change between periods and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 We are not responsible for the accuracy of these companies’ information and we do not receive prescription data directly from retail pharmacies.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108"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In December 2019, we announced that the European Medicines Agency, or EMA, validated the marketing authorization application seeking approval for VAZKEPA. The validation confirmed the submission was sufficiently complete for the EMA to begin its review. In August 2020, we announced our plans to launch VAZKEPA in major markets in Europe through our own European sales and marketing team. Such an approach allows us to retain substantially all of the economic potential of VAZKEPA in Europe and helps ensure that VAZKEPA would get the highest level of priority and focus. On January 28, 2021, the Committee for Medicinal Products for Human Use, or CHMP, of the EMA adopted a positive opinion, recommending that a marketing authorization be granted to icosapent ethyl in the EU for the reduction of risk of cardiovascular events in patients at high cardiovascular risk, under the brand name VAZKEPA. On March 26, 2021, the EC granted approval of the marketing authorization application in the EU. On April 22, 2021, we announced that we received marketing authorization from MHRA for VAZKEPA in England, Wales and Scotland.</w:t>
      </w:r>
    </w:p>
    <w:p>
      <w:pPr>
        <w:spacing w:after="0" w:line="7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In Europe, launch of VAZKEPA in individual countries is gated by timing of achieving product reimbursement on a country-by-country basis as is typical for new drugs. In seeking market access, during 2021 we filed ten dossiers in European countries, including in all of the largest countries in Europe, and filed three additional dossiers in Europe during the second quarter of 2022. In most European countries, securing product reimbursement is a requisite to launching. In certain countries, such as Denmark, individual patient reimbursement is allowed prior to national, general organization reimbursement. In all countries, securing adequate reimbursement is a requisite for commercial success of any therapeutic. The time required to secure reimbursement tends to vary from country to country and cannot be reliably predicted at this time. While we believe that we have strong arguments regarding the cost effectiveness of VAZKEPA, the success of such reimbursement negotiations could have a significant impact on the assessment of the commercial opportunity of VAZKEPA in Europe. Through the date of this Quarterly Report, we have received reimbursement in the following countries:</w:t>
      </w:r>
    </w:p>
    <w:p>
      <w:pPr>
        <w:spacing w:after="0" w:line="78" w:lineRule="exact"/>
        <w:rPr>
          <w:sz w:val="20"/>
          <w:szCs w:val="20"/>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we received official confirmation that the Swedish Dental and Pharmaceutical Benefits Agency, or TLV, approved VAZKEPA for national reimbursement in Sweden.</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we received individual patient reimbursement in Denmark.</w:t>
      </w:r>
    </w:p>
    <w:p>
      <w:pPr>
        <w:spacing w:after="0" w:line="103" w:lineRule="exact"/>
        <w:rPr>
          <w:rFonts w:ascii="Times New Roman" w:cs="Times New Roman" w:eastAsia="Times New Roman" w:hAnsi="Times New Roman"/>
          <w:sz w:val="18"/>
          <w:szCs w:val="18"/>
          <w:color w:val="auto"/>
        </w:rPr>
      </w:pPr>
    </w:p>
    <w:p>
      <w:pPr>
        <w:ind w:left="1020" w:right="140" w:hanging="503"/>
        <w:spacing w:after="0" w:line="25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2022, the United Kingdom, or UK’s, National Institute for Health and Care Excellence, or NICE, announced final guidance for reimbursement for VAZKEPA and use across the National Health Service, or NHS, in England and Wales to reduce the risk of CV events in adult statin-treated patients at high cardiovascular risk who have elevated triglycerides (≥150 mg/dL [≥ 1.7 mmol/L]), LDL-C levels &gt;1.04 mmol/L (and ≤ 2.60 mmol/L) and established cardiovascular disease.</w:t>
      </w:r>
    </w:p>
    <w:p>
      <w:pPr>
        <w:spacing w:after="0" w:line="83"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In order to launch impactfully throughout Europe, we are building a core team of experienced professionals and a highly capable commercial team involved with pre-launch planning and other commercial preparation activities and are leveraging third-party relationships for various support activities. We are building a digitally native commercial model balancing optimally digital and face-to-face approach for more impact and cost efficiency, which will be utilized throughout Europe as launches commence. Through the date of this Quarterly Report, we have commercial operations in the following countries:</w:t>
      </w:r>
    </w:p>
    <w:p>
      <w:pPr>
        <w:spacing w:after="0" w:line="73" w:lineRule="exact"/>
        <w:rPr>
          <w:sz w:val="20"/>
          <w:szCs w:val="20"/>
          <w:color w:val="auto"/>
        </w:rPr>
      </w:pPr>
    </w:p>
    <w:p>
      <w:pPr>
        <w:ind w:left="1020" w:right="20" w:hanging="503"/>
        <w:spacing w:after="0" w:line="247"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2021, as part of the German reimbursement process, VAZKEPA was made available in Germany with temporary reimbursement while negotiations for final reimbursement were ongoing and VAZKEPA was included in the country's electronic prescribing system as of October 1, 2021. In Germany, market and macroeconomic conditions remain difficult; however, we continue to engage in price negotiations and have taken prudent steps to ensure our financial investments match the high-risk profile of the market. These actions include a full suspension of our contracted primary care field force. We remain committed to our presence in Germany pending the outcome of price negotiations with the payer.</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VAZKEPA was made available in Sweden.</w:t>
      </w:r>
    </w:p>
    <w:p>
      <w:pPr>
        <w:spacing w:after="0" w:line="104" w:lineRule="exact"/>
        <w:rPr>
          <w:sz w:val="20"/>
          <w:szCs w:val="20"/>
          <w:color w:val="auto"/>
        </w:rPr>
      </w:pPr>
    </w:p>
    <w:p>
      <w:pPr>
        <w:ind w:right="400" w:firstLine="509"/>
        <w:spacing w:after="0" w:line="247" w:lineRule="auto"/>
        <w:rPr>
          <w:sz w:val="20"/>
          <w:szCs w:val="20"/>
          <w:color w:val="auto"/>
        </w:rPr>
      </w:pPr>
      <w:r>
        <w:rPr>
          <w:rFonts w:ascii="Times New Roman" w:cs="Times New Roman" w:eastAsia="Times New Roman" w:hAnsi="Times New Roman"/>
          <w:sz w:val="18"/>
          <w:szCs w:val="18"/>
          <w:color w:val="auto"/>
        </w:rPr>
        <w:t>In Europe, patients at high risk for cardiovascular disease tend, in contrast to the United States, to be treated more often by specialists, such as cardiologists rather than by physicians who are general practitioners. Privacy laws and other factors impact the availability of data to inform European commercial operations at an individual physician level. Generally, less data is available and at reduced frequencies as compared to the United States. However, this greater concentration of at-risk patients being treated by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8" w:name="page29"/>
    <w:bookmarkEnd w:id="28"/>
    <w:p>
      <w:pPr>
        <w:ind w:right="240"/>
        <w:spacing w:after="0" w:line="282" w:lineRule="auto"/>
        <w:rPr>
          <w:sz w:val="20"/>
          <w:szCs w:val="20"/>
          <w:color w:val="auto"/>
        </w:rPr>
      </w:pPr>
      <w:r>
        <w:rPr>
          <w:rFonts w:ascii="Times New Roman" w:cs="Times New Roman" w:eastAsia="Times New Roman" w:hAnsi="Times New Roman"/>
          <w:sz w:val="18"/>
          <w:szCs w:val="18"/>
          <w:color w:val="auto"/>
        </w:rPr>
        <w:t>specialists in Europe should allow for more efficient promotion in Europe than in the United States. In Europe, VAZKEPA has the benefit of ten years of market protection, and we have been issued a patent that expires in 2033 with additional pending applications that could extend exclusivity into 2039.</w:t>
      </w:r>
    </w:p>
    <w:p>
      <w:pPr>
        <w:spacing w:after="0" w:line="200" w:lineRule="exact"/>
        <w:rPr>
          <w:sz w:val="20"/>
          <w:szCs w:val="20"/>
          <w:color w:val="auto"/>
        </w:rPr>
      </w:pP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 of World</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China</w:t>
      </w:r>
    </w:p>
    <w:p>
      <w:pPr>
        <w:spacing w:after="0" w:line="106"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In February 2015, we announced an exclusive agreement with Eddingpharm (Asia) Macao Commercial Offshore Limited, or Edding, to develop and commercialize VASCEPA capsules in what we refer to as the China Territory, consisting of the territories of Mainland China, Hong Kong, Macau and Taiwan, for uses that are currently commercialized and under development by us in the United States. Edding, with our support, conducted a clinical trial of VASCEPA in China, which evaluated the effect of VASCEPA on patients with very high triglyceride levels (≥500 mg/dL). In November 2020, we announced statistically significant topline positive results from this Phase 3 clinical trial of VASCEPA conducted by Edding. The study, which investigated VASCEPA as a treatment for patients with very high triglycerides (≥500 mg/dL), met its primary efficacy endpoint as defined in the clinical trial protocol and demonstrated a safety profile similar to placebo. Importantly, the VASCEPA 4 grams per day dose in this study appeared to be well-tolerated with a safety profile similar to placebo. There were no treatment-related serious adverse events in this study. On February 9, 2021, we announced that the regulatory review processes in Mainland China and Hong Kong have commenced. The National Medical Products Administration, or NMPA, accepted for review the new drug application for VASCEPA, submitted by Edding, based on the results from the Phase 3 clinical trial and the results from our prior studies of VASCEPA. On February 23, 2022 the Hong Kong Department of Health completed their evaluation and approved the use of VASCEPA under the REDUCE-IT indication. We expect to receive a decision from the NMPA in Mainland China in the second half of 2022.</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Middle East and North Africa (MENA)</w:t>
      </w:r>
    </w:p>
    <w:p>
      <w:pPr>
        <w:spacing w:after="0" w:line="10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March 2016, we entered into an agreement with Biologix FZCo, or Biologix, to register and commercialize VASCEPA in several Middle Eastern and North African countries. Biologix obtained approval of VASCEPA under the MARINE and REDUCE-IT indications, and subsequently launched commercially, in the following countries: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60" w:type="dxa"/>
            <w:vAlign w:val="bottom"/>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320" w:type="dxa"/>
            <w:vAlign w:val="bottom"/>
          </w:tcPr>
          <w:p>
            <w:pPr>
              <w:spacing w:after="0"/>
              <w:rPr>
                <w:sz w:val="16"/>
                <w:szCs w:val="16"/>
                <w:color w:val="auto"/>
              </w:rPr>
            </w:pPr>
          </w:p>
        </w:tc>
        <w:tc>
          <w:tcPr>
            <w:tcW w:w="1600" w:type="dxa"/>
            <w:vAlign w:val="bottom"/>
            <w:tcBorders>
              <w:bottom w:val="single" w:sz="8" w:color="auto"/>
            </w:tcBorders>
          </w:tcPr>
          <w:p>
            <w:pPr>
              <w:jc w:val="center"/>
              <w:ind w:left="234"/>
              <w:spacing w:after="0"/>
              <w:rPr>
                <w:sz w:val="20"/>
                <w:szCs w:val="20"/>
                <w:color w:val="auto"/>
              </w:rPr>
            </w:pPr>
            <w:r>
              <w:rPr>
                <w:rFonts w:ascii="Times New Roman" w:cs="Times New Roman" w:eastAsia="Times New Roman" w:hAnsi="Times New Roman"/>
                <w:sz w:val="14"/>
                <w:szCs w:val="14"/>
                <w:b w:val="1"/>
                <w:bCs w:val="1"/>
                <w:color w:val="auto"/>
              </w:rPr>
              <w:t>REDUCE-IT</w:t>
            </w:r>
          </w:p>
        </w:tc>
        <w:tc>
          <w:tcPr>
            <w:tcW w:w="34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100" w:type="dxa"/>
            <w:vAlign w:val="bottom"/>
          </w:tcPr>
          <w:p>
            <w:pPr>
              <w:spacing w:after="0"/>
              <w:rPr>
                <w:sz w:val="16"/>
                <w:szCs w:val="16"/>
                <w:color w:val="auto"/>
              </w:rPr>
            </w:pPr>
          </w:p>
        </w:tc>
      </w:tr>
      <w:tr>
        <w:trPr>
          <w:trHeight w:val="209"/>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Lebanon</w:t>
            </w:r>
          </w:p>
        </w:tc>
        <w:tc>
          <w:tcPr>
            <w:tcW w:w="260" w:type="dxa"/>
            <w:vAlign w:val="bottom"/>
            <w:shd w:val="clear" w:color="auto" w:fill="CFF0FC"/>
          </w:tcPr>
          <w:p>
            <w:pPr>
              <w:spacing w:after="0"/>
              <w:rPr>
                <w:sz w:val="18"/>
                <w:szCs w:val="18"/>
                <w:color w:val="auto"/>
              </w:rPr>
            </w:pPr>
          </w:p>
        </w:tc>
        <w:tc>
          <w:tcPr>
            <w:tcW w:w="1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2018</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center"/>
              <w:ind w:left="234"/>
              <w:spacing w:after="0"/>
              <w:rPr>
                <w:sz w:val="20"/>
                <w:szCs w:val="20"/>
                <w:color w:val="auto"/>
              </w:rPr>
            </w:pPr>
            <w:r>
              <w:rPr>
                <w:rFonts w:ascii="Times New Roman" w:cs="Times New Roman" w:eastAsia="Times New Roman" w:hAnsi="Times New Roman"/>
                <w:sz w:val="18"/>
                <w:szCs w:val="18"/>
                <w:color w:val="auto"/>
                <w:w w:val="99"/>
              </w:rPr>
              <w:t>August 2021</w:t>
            </w: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2018</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2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2018</w:t>
            </w:r>
          </w:p>
        </w:tc>
        <w:tc>
          <w:tcPr>
            <w:tcW w:w="320" w:type="dxa"/>
            <w:vAlign w:val="bottom"/>
          </w:tcPr>
          <w:p>
            <w:pPr>
              <w:spacing w:after="0"/>
              <w:rPr>
                <w:sz w:val="18"/>
                <w:szCs w:val="18"/>
                <w:color w:val="auto"/>
              </w:rPr>
            </w:pPr>
          </w:p>
        </w:tc>
        <w:tc>
          <w:tcPr>
            <w:tcW w:w="1600" w:type="dxa"/>
            <w:vAlign w:val="bottom"/>
          </w:tcPr>
          <w:p>
            <w:pPr>
              <w:jc w:val="center"/>
              <w:ind w:left="254"/>
              <w:spacing w:after="0"/>
              <w:rPr>
                <w:sz w:val="20"/>
                <w:szCs w:val="20"/>
                <w:color w:val="auto"/>
              </w:rPr>
            </w:pPr>
            <w:r>
              <w:rPr>
                <w:rFonts w:ascii="Times New Roman" w:cs="Times New Roman" w:eastAsia="Times New Roman" w:hAnsi="Times New Roman"/>
                <w:sz w:val="18"/>
                <w:szCs w:val="18"/>
                <w:color w:val="auto"/>
                <w:w w:val="99"/>
              </w:rPr>
              <w:t>October 2021</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2019</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260" w:type="dxa"/>
            <w:vAlign w:val="bottom"/>
            <w:shd w:val="clear" w:color="auto" w:fill="CFF0FC"/>
          </w:tcPr>
          <w:p>
            <w:pPr>
              <w:spacing w:after="0"/>
              <w:rPr>
                <w:sz w:val="18"/>
                <w:szCs w:val="18"/>
                <w:color w:val="auto"/>
              </w:rPr>
            </w:pPr>
          </w:p>
        </w:tc>
        <w:tc>
          <w:tcPr>
            <w:tcW w:w="1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center"/>
              <w:ind w:left="254"/>
              <w:spacing w:after="0"/>
              <w:rPr>
                <w:sz w:val="20"/>
                <w:szCs w:val="20"/>
                <w:color w:val="auto"/>
              </w:rPr>
            </w:pPr>
            <w:r>
              <w:rPr>
                <w:rFonts w:ascii="Times New Roman" w:cs="Times New Roman" w:eastAsia="Times New Roman" w:hAnsi="Times New Roman"/>
                <w:sz w:val="18"/>
                <w:szCs w:val="18"/>
                <w:color w:val="auto"/>
                <w:w w:val="99"/>
              </w:rPr>
              <w:t>April 2021</w:t>
            </w: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94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Bahrain</w:t>
            </w:r>
          </w:p>
        </w:tc>
        <w:tc>
          <w:tcPr>
            <w:tcW w:w="2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20" w:type="dxa"/>
            <w:vAlign w:val="bottom"/>
          </w:tcPr>
          <w:p>
            <w:pPr>
              <w:spacing w:after="0"/>
              <w:rPr>
                <w:sz w:val="18"/>
                <w:szCs w:val="18"/>
                <w:color w:val="auto"/>
              </w:rPr>
            </w:pPr>
          </w:p>
        </w:tc>
        <w:tc>
          <w:tcPr>
            <w:tcW w:w="1600" w:type="dxa"/>
            <w:vAlign w:val="bottom"/>
          </w:tcPr>
          <w:p>
            <w:pPr>
              <w:jc w:val="center"/>
              <w:ind w:left="254"/>
              <w:spacing w:after="0"/>
              <w:rPr>
                <w:sz w:val="20"/>
                <w:szCs w:val="20"/>
                <w:color w:val="auto"/>
              </w:rPr>
            </w:pPr>
            <w:r>
              <w:rPr>
                <w:rFonts w:ascii="Times New Roman" w:cs="Times New Roman" w:eastAsia="Times New Roman" w:hAnsi="Times New Roman"/>
                <w:sz w:val="18"/>
                <w:szCs w:val="18"/>
                <w:color w:val="auto"/>
                <w:w w:val="99"/>
              </w:rPr>
              <w:t>April 2022</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tcPr>
          <w:p>
            <w:pPr>
              <w:ind w:left="1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Kuwait</w:t>
            </w:r>
          </w:p>
        </w:tc>
        <w:tc>
          <w:tcPr>
            <w:tcW w:w="260" w:type="dxa"/>
            <w:vAlign w:val="bottom"/>
            <w:shd w:val="clear" w:color="auto" w:fill="CFF0FC"/>
          </w:tcPr>
          <w:p>
            <w:pPr>
              <w:spacing w:after="0"/>
              <w:rPr>
                <w:sz w:val="18"/>
                <w:szCs w:val="18"/>
                <w:color w:val="auto"/>
              </w:rPr>
            </w:pPr>
          </w:p>
        </w:tc>
        <w:tc>
          <w:tcPr>
            <w:tcW w:w="1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2021</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FF0FC"/>
          </w:tcPr>
          <w:p>
            <w:pPr>
              <w:spacing w:after="0"/>
              <w:rPr>
                <w:sz w:val="18"/>
                <w:szCs w:val="18"/>
                <w:color w:val="auto"/>
              </w:rPr>
            </w:pPr>
          </w:p>
        </w:tc>
        <w:tc>
          <w:tcPr>
            <w:tcW w:w="194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3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26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20"/>
                <w:szCs w:val="20"/>
                <w:color w:val="auto"/>
              </w:rPr>
            </w:pPr>
          </w:p>
        </w:tc>
        <w:tc>
          <w:tcPr>
            <w:tcW w:w="1940" w:type="dxa"/>
            <w:vAlign w:val="bottom"/>
          </w:tcPr>
          <w:p>
            <w:pPr>
              <w:ind w:left="1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bl>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Canada</w:t>
      </w:r>
    </w:p>
    <w:p>
      <w:pPr>
        <w:spacing w:after="0" w:line="119"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In September 2017, we entered into an agreement with HLS Therapeutics Inc., or HLS, to register, commercialize and distribute VASCEPA in Canada. In March 2019, HLS received formal confirmation from Health Canada that the Canadian regulatory authority has granted priority review status for the upcoming New Drug Submission, which was filed in April 2019, for VASCEPA. In December 2019, HLS received formal confirmation from Health Canada that the Canadian regulatory authority granted approval for VASCEPA to reduce the risk of cardiovascular events (cardiovascular death, non-fatal myocardial infarction, non-fatal stroke, coronary revascularization or hospitalization for unstable angina) in statin-treated patients with elevated triglycerides, who are at high risk of cardiovascular events due to: established cardiovascular disease, or diabetes, and at least one other cardiovascular risk factor. In January 2020, HLS obtained a regulatory exclusivity designation and launched commercially in February 2020. In July 2020, the Canadian Agency for Drugs and Technologies in Health recommended that VASCEPA be reimbursed by participating public drug plans for statin-treated patients with established cardiovascular diseases and elevated triglycerides. In April 2022, HLS completed negotiations with Canada’s pan-Canadian Pharmaceutical Alliance for the terms and conditions under which VASCEPA would qualify for public market reimbursement in Canada. Following these negotiations, HLS has signed a Letter of Intent which allows HLS to work with all participating provincial jurisdictions to secure coverage from publicly funded drug plans across Canada, and for VASCEPA to potentially be added to their respective plans. HLS also received notification by the Patented Medical Prices Review Board that, further to its review, VASCEPA’s price did not trigger the investigation criteria for excessive pricing. In June 2022 HLS entered into Product Listing Agreements with New Brunswick, Northwest Territories and the non-insured health benefits, for the listing and public reimbursement of VASCEPA on their respective Public Prescription Drug Insurance Plans. Coverage of patients with established cardiovascular disease represents a substantial portion of VASCEPA’s approved label in Canada. VASCEPA has the benefit of data protection afforded through Health Canada until the end of 2027, in addition to separate patent protection with expiration dates that could extend into 2039.</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Other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9" w:name="page30"/>
    <w:bookmarkEnd w:id="29"/>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We plan to continue to assess other potential partnership opportunities for VASCEPA with partners outside of the United States and Europe with the intention of partnering in all other international markets. Our plan is to file three waves of regulatory submissions for approval of VASCEPA in 20 additional countries in order to ensure that patients in the top 50 cardiometabolic markets worldwide can benefit from VASCEPA. We have initiated the first wave of regulatory filings in 2022 and have obtained acceptances of VASCEPA for regulatory reviews in Australia, Israel and New Zealand.</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06"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Based on REDUCE-IT results, as of the date of the filing of this Quarterly Report, more than 30 clinical treatment guidelines, consensus statements or scientific statements from medical societies, scientific bodies, or journals have been updated recommending the use of icosapent ethyl in appropriate at-risk patients, including those statements which we were informed of by our global partners in Canada, China and the Middle East as well as guidelines or statements which were newly received during the second quarter of 2022 through the filing date of this Quarterly Report with recent examples as listed below:</w:t>
      </w:r>
    </w:p>
    <w:p>
      <w:pPr>
        <w:spacing w:after="0" w:line="46" w:lineRule="exact"/>
        <w:rPr>
          <w:sz w:val="20"/>
          <w:szCs w:val="20"/>
          <w:color w:val="auto"/>
        </w:rPr>
      </w:pPr>
    </w:p>
    <w:p>
      <w:pPr>
        <w:ind w:left="1020" w:right="240" w:hanging="503"/>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2022, the Canadian Cardiovascular Society, or CCS, published guidelines recommending that patients with peripheral arterial disease, who, despite a maximally tolerated dose of statin therapy have a TG level of 1.5–5.6 mmol/L, should be considered for use of IPE for the reduction of CV death, nonfatal MI, and nonfatal stroke concordant with the recommendations in the 2021 CCS guidelines for the management of dyslipidemia.</w:t>
      </w:r>
    </w:p>
    <w:p>
      <w:pPr>
        <w:spacing w:after="0" w:line="28" w:lineRule="exact"/>
        <w:rPr>
          <w:rFonts w:ascii="Times New Roman" w:cs="Times New Roman" w:eastAsia="Times New Roman" w:hAnsi="Times New Roman"/>
          <w:sz w:val="18"/>
          <w:szCs w:val="18"/>
          <w:color w:val="auto"/>
        </w:rPr>
      </w:pPr>
    </w:p>
    <w:p>
      <w:pPr>
        <w:ind w:left="1020" w:right="80" w:hanging="503"/>
        <w:spacing w:after="0" w:line="247"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the National Lipid Association released a statement on statin intolerance titled A New Definition and Key Considerations for ASCVD Risk Reduction in the Statin Intolerant Patient. The statement acknowledged that statin intolerance can compromise management of ASCVD and proposed the use of non-statin pharmacologic therapies, including IPE, as an option for patients with statin intolerance. The statement elaborated that non-statin therapies can be used as an adjunct or alternative to statin therapy to achieve therapeutic objectives. It cited data from REDUCE-IT as evidence of the efficacy of IPE in lowering atherogenic lipoproteins and CV events, adding that the effect of IPE on CV events is likely attributed to mechanisms that go beyond the lowering of lipid parameters.</w:t>
      </w:r>
    </w:p>
    <w:p>
      <w:pPr>
        <w:spacing w:after="0" w:line="71" w:lineRule="exact"/>
        <w:rPr>
          <w:rFonts w:ascii="Times New Roman" w:cs="Times New Roman" w:eastAsia="Times New Roman" w:hAnsi="Times New Roman"/>
          <w:sz w:val="18"/>
          <w:szCs w:val="18"/>
          <w:color w:val="auto"/>
        </w:rPr>
      </w:pPr>
    </w:p>
    <w:p>
      <w:pPr>
        <w:ind w:left="1020" w:right="380" w:hanging="503"/>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NICE published guidelines recommending in patients with established CVD (i.e., acute coronary syndrome, coronary or arterial revascularization procedures, coronary heart disease, ischemic stroke, peripheral arterial disease), at high risk of CV events, with fasting TG levels 1.7 mmol/L (150 mg/dL), and with LDL-C &gt;1.04 mmol/L (40 mg/dL) and ≤2.6 mmol/L (100 mg/dL), that IPE is recommended as an option for reducing the risk of CV events.</w:t>
      </w:r>
    </w:p>
    <w:p>
      <w:pPr>
        <w:spacing w:after="0" w:line="69"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During 2022, we added to our growing body of knowledge on VASCEPA as a result of our continued analysis of the REDUCE-IT trial results. A new post hoc sub-analysis of REDUCE-IT, published in the Journal of the American Heart Association, or JAHA, found VASCEPA reduced the risk of cardiovascular death, strokes, heart attacks, coronary revascularization and unstable angina by 34% in patients with a history of percutaneous coronary intervention, or PCI, noting 8.5% and 5.4% absolute risk reductions, respectively, for the primary and secondary composite endpoints. In addition, in vitro research results showed that EPA in combination with widely prescribed statins, contributed to a reduction in lipid oxidation in membranes in a manner that may be enhanced with the use of these statins. The combinations of EPA and atorvastatin active metabolite and of EPA and rosuvastatin reduced lipid oxidation by 86% and 75%, respectively.</w:t>
      </w: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January 10, 2022, we announced that we have initiated development of an FDC product that has both icosapent ethyl and a statin.</w:t>
      </w:r>
    </w:p>
    <w:p>
      <w:pPr>
        <w:spacing w:after="0" w:line="2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Commercial and Clinical Supply</w:t>
      </w:r>
    </w:p>
    <w:p>
      <w:pPr>
        <w:spacing w:after="0" w:line="10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7"/>
          <w:szCs w:val="17"/>
          <w:color w:val="auto"/>
        </w:rPr>
        <w:t>We manage the manufacturing and supply of VASCEPA internally and have done so since we began clinical development of VASCEPA prior to the drug’s marketing approval by the U.S. FDA in 2012. We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U.S. FDA-approved international API suppliers, encapsulators and packagers to support the VASCEPA commercial franchise. We also have multiple international API suppliers, encapsulators and packagers to support the commercialization of VASCEPA in geographies where the drug is approved outside the United States. Not all of our suppliers approved by the U.S. FDA are approved in every other geography. The regulatory process generally requires extensive details as part of the submission provided to a country or region in connection with a company's request for regulatory approval. Suppliers must be specifically identified as part of the submission for qualification and approval for commercialization in a country or region. As a result, only supply, as approved, may be used in finished goods available for sale in a specific country or region. The amount of supply we seek to purchase in future periods will depend on the level of growth of VASCEPA revenues and minimum purchase commitments with certain suppliers. In the second quarter of 2022, we reviewed our contractual supplier purchase obligations and have taken steps to amend supplier agreements to align supply arrangements with current and future market demand. We continue to negotiate with other contract suppliers to align our supply arrangements with current and future global market demand.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0" w:name="page31"/>
    <w:bookmarkEnd w:id="30"/>
    <w:p>
      <w:pPr>
        <w:ind w:left="520"/>
        <w:spacing w:after="0"/>
        <w:rPr>
          <w:sz w:val="20"/>
          <w:szCs w:val="20"/>
          <w:color w:val="auto"/>
        </w:rPr>
      </w:pPr>
      <w:r>
        <w:rPr>
          <w:rFonts w:ascii="Times New Roman" w:cs="Times New Roman" w:eastAsia="Times New Roman" w:hAnsi="Times New Roman"/>
          <w:sz w:val="18"/>
          <w:szCs w:val="18"/>
          <w:i w:val="1"/>
          <w:iCs w:val="1"/>
          <w:color w:val="auto"/>
        </w:rPr>
        <w:t>Impact of COVID-19</w:t>
      </w:r>
    </w:p>
    <w:p>
      <w:pPr>
        <w:spacing w:after="0" w:line="119"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Our ability to directly promote VASCEPA to healthcare professionals has been limited due to preventative measures associated with COVID-19 and by patients electing to forego visiting their doctors for non-urgent medical examinations and/or choosing to not get blood tests, the results of which blood tests provide useful information to the treatment of cardiovascular risk. These limitations have had a significant impact on slowing VASCEPA prescription and revenue growth.</w:t>
      </w:r>
    </w:p>
    <w:p>
      <w:pPr>
        <w:spacing w:after="0" w:line="6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the United States, at-risk patients increasingly resumed visiting their doctors for non-urgent medical care after they are vaccinated for COVID-19 and we anticipate that to continue. We continued to adjust our promotional initiatives, including pursuing increased face-to-face interactions with health care professionals based on COVID-19 protocols that are in place.</w:t>
      </w:r>
    </w:p>
    <w:p>
      <w:pPr>
        <w:spacing w:after="0" w:line="61"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In Europe, the spread of COVID-19 has led to a significant increase in COVID-19 related patients for healthcare professionals and hospitals. This has limited our access to and ability to directly promote VAZKEPA to healthcare professionals. We continue to explore other avenues, including digital, to reach and engage healthcare professionals despite the current restrictions and challenges.</w:t>
      </w:r>
    </w:p>
    <w:p>
      <w:pPr>
        <w:spacing w:after="0" w:line="82"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Thus far, while COVID-19 has created some added logistical challenges regarding supply deliveries, these challenges have been manageable and COVID-19 has not materially impacted our ability to secure and deliver supply of VASCEPA. And, thus far, COVID-19 is not known to have significantly impacted ongoing clinical trials of VASCEPA.</w:t>
      </w:r>
    </w:p>
    <w:p>
      <w:pPr>
        <w:spacing w:after="0" w:line="82" w:lineRule="exact"/>
        <w:rPr>
          <w:sz w:val="20"/>
          <w:szCs w:val="20"/>
          <w:color w:val="auto"/>
        </w:rPr>
      </w:pPr>
    </w:p>
    <w:p>
      <w:pPr>
        <w:ind w:right="40" w:firstLine="509"/>
        <w:spacing w:after="0" w:line="241" w:lineRule="auto"/>
        <w:rPr>
          <w:sz w:val="20"/>
          <w:szCs w:val="20"/>
          <w:color w:val="auto"/>
        </w:rPr>
      </w:pPr>
      <w:r>
        <w:rPr>
          <w:rFonts w:ascii="Times New Roman" w:cs="Times New Roman" w:eastAsia="Times New Roman" w:hAnsi="Times New Roman"/>
          <w:sz w:val="18"/>
          <w:szCs w:val="18"/>
          <w:color w:val="auto"/>
        </w:rPr>
        <w:t>The extent to which COVID-19 impacts our business, results of operations and financial condition will depend on future developments, which, despite progress in vaccination efforts, are highly uncertain and cannot be predicted with confidence, including the duration of the pandemic, new information that may emerge concerning the severity of COVID-19, such as new strains of the virus that may emerge, which may impact rates of infection and vaccination efforts, developments or perceptions regarding the safety of vaccines and the extent and effectiveness of actions to contain COVID-19 or treat its impact, including vaccination campaigns and lockdown measures, among others. We are actively monitoring the situation and evaluating the pandemic's effect on patients, distributors, customers and our employees, as well as on our operations and the operations of our business partners and communities. We may take precautionary and preemptive or reactive actions that we determine are in the best interests of our business. We cannot predict the effects that such actions may have on our business or on our financial results, in particular with respect to demand for or access to VASCEPA.</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65"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54"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All of our product revenue is derived from product sales of 1-gram and 0.5-gram size capsules of VASCEPA,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allowances, discounts, incentives, rebates, chargebacks and returns. In the United States, we sell product to a limited number of major wholesalers, as well as selected regional wholesalers and mail order pharmacy providers, or collectively, our distributors or our customers, most of whom resell the product to retail pharmacies for purposes of their reselling the product to fill patient prescriptions. Revenues from product sales are recognized when the customer obtains control of our product, which occurs at a point in time, typically upon delivery to the customer. Timing of shipments to wholesalers, as used for revenue recognition, and timing of prescriptions as estimated by third-party sources such as Symphony Health and IQVIA may differ from period to period. During the quarters ended June 30, 2022 and 2021, our Product revenue, net, included adjustment for co-pay mitigation rebates provided by us to commercially insured patients. Such support is intended to offset a portion of the out-of-pocket expense that patients are required to pay for VASCEPA based upon the benefit design of their prescription drug coverage. Our cost for these co-payment support payments in both of the quarters ended June 30, 2022 and 2021 was up to $150 per 30-day prescription filled and up to $450 per 90-day prescription filled. Currently the majority of our product revenue is derived from direct sales of VASCEPA in the United States.</w:t>
      </w:r>
    </w:p>
    <w:p>
      <w:pPr>
        <w:spacing w:after="0" w:line="82"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color w:val="auto"/>
        </w:rPr>
        <w:t>Outside of the United States, currently the majority of our product revenue is derived from the sales of VASCEPA to our commercial partners based on the net price for VASCEPA established in our contracts with such partners. These commercial partners then resell the product in their agreed commercial territory. Revenues from product sales to our international commercial partners are recognized when the commercial partners obtain control of our product, which occurs at a point in time, typically upon delivery to the commercial partner. The net price of VASCEPA sold by us to our customers where we directly sell VASCEPA is generally significantly higher than the net price of VASCEPA that we sell to commercial partners who then incur the cost of promoting and reselling the product in their territories. As a result, even when the net price of VASCEPA to patients is similar in various parts of the world, our gross margin on sales is higher where we sell VASCEPA directly. We also derive product revenue from sales of our product to a limited number of wholesalers in Europe, most of whom in turn resell the product to pharmacies for purposes of their reselling the product to fill patient prescriptions.</w:t>
      </w:r>
    </w:p>
    <w:p>
      <w:pPr>
        <w:spacing w:after="0" w:line="207" w:lineRule="exact"/>
        <w:rPr>
          <w:sz w:val="20"/>
          <w:szCs w:val="20"/>
          <w:color w:val="auto"/>
        </w:rPr>
      </w:pPr>
    </w:p>
    <w:p>
      <w:pPr>
        <w:jc w:val="both"/>
        <w:ind w:right="56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currently consists of revenue attributable to receipt of up-front, non-refundable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milestone payments and sales-based payments related to license and distribution agreements for VASCEPA outside the United States. We recognize revenue from licensing arrangements as we fulfill the performance obligations under each of the agreements.</w:t>
      </w:r>
    </w:p>
    <w:p>
      <w:pPr>
        <w:spacing w:after="0" w:line="215" w:lineRule="exact"/>
        <w:rPr>
          <w:sz w:val="20"/>
          <w:szCs w:val="20"/>
          <w:color w:val="auto"/>
        </w:rPr>
      </w:pPr>
    </w:p>
    <w:p>
      <w:pPr>
        <w:ind w:right="120" w:firstLine="509"/>
        <w:spacing w:after="0" w:line="243"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includes the cost of API for VASCEPA on which revenue was recognized during the period,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 Our cost of goods sold is not materially impacted by whether we sell VASCEPA directly in a country or we sell VASCEPA to a commercial partner for resale in a country. In the second quarter of 2022, we incurred costs of $15.0 million in Cost of goods sold - restructuring inventory related to steps taken to amend supplier agreements to align supply arrangements with current and future market demand.</w:t>
      </w:r>
    </w:p>
    <w:p>
      <w:pPr>
        <w:spacing w:after="0" w:line="220" w:lineRule="exact"/>
        <w:rPr>
          <w:sz w:val="20"/>
          <w:szCs w:val="20"/>
          <w:color w:val="auto"/>
        </w:rPr>
      </w:pPr>
    </w:p>
    <w:p>
      <w:pPr>
        <w:ind w:right="14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consists primarily of salaries and other related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stock-based compensation expense, for personnel in our sales, marketing, executive, business development, finance and information technology functions. Other costs primarily include facility costs and professional fees for accounting, consulting and legal services.</w:t>
      </w:r>
    </w:p>
    <w:p>
      <w:pPr>
        <w:spacing w:after="0" w:line="215"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consists primarily of fees paid to professional service providers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Pharmaceutical Co., Ltd., or Mochida. We expense research and development costs as incurred.</w:t>
      </w:r>
    </w:p>
    <w:p>
      <w:pPr>
        <w:spacing w:after="0" w:line="208" w:lineRule="exact"/>
        <w:rPr>
          <w:sz w:val="20"/>
          <w:szCs w:val="20"/>
          <w:color w:val="auto"/>
        </w:rPr>
      </w:pPr>
    </w:p>
    <w:p>
      <w:pPr>
        <w:ind w:right="320"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Restructuring expense</w:t>
      </w:r>
      <w:r>
        <w:rPr>
          <w:rFonts w:ascii="Times New Roman" w:cs="Times New Roman" w:eastAsia="Times New Roman" w:hAnsi="Times New Roman"/>
          <w:sz w:val="18"/>
          <w:szCs w:val="18"/>
          <w:color w:val="auto"/>
        </w:rPr>
        <w:t>. Restructuring expense consists of restructuring costs incurred under our June 2022 cost reduction plan, which consists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severance pay, incentive compensation, insurance benefits, stock-based compensation expense and other contract related costs.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2" w:name="page33"/>
    <w:bookmarkEnd w:id="32"/>
    <w:p>
      <w:pPr>
        <w:ind w:right="1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 net and other (expense), net</w:t>
      </w:r>
      <w:r>
        <w:rPr>
          <w:rFonts w:ascii="Times New Roman" w:cs="Times New Roman" w:eastAsia="Times New Roman" w:hAnsi="Times New Roman"/>
          <w:sz w:val="18"/>
          <w:szCs w:val="18"/>
          <w:color w:val="auto"/>
        </w:rPr>
        <w:t>. Interest income, net consists primarily of interest earned on our cash and cash equivalents,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short-term and long-term investments. Other (expense), net, consists primarily of foreign exchange losses and gains.</w:t>
      </w:r>
    </w:p>
    <w:p>
      <w:pPr>
        <w:spacing w:after="0" w:line="158"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deferred tax assets and liabilities, and reserves for unrecognized tax benefits reflect management’s best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assessment of estimated future taxes to be paid. We are subject to income taxes in both the United States and foreign jurisdictions. In applying guidance prescribed under ASC 740 and based on present evidence and conclusions around the realizability of deferred tax assets, we determined that any tax benefit related to the pretax losses generated for the second quarter of 2022 and 2021 are not more likely than not to be realized.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08"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7"/>
          <w:szCs w:val="17"/>
          <w:color w:val="auto"/>
        </w:rPr>
        <w:t>This management's discussion and analysis of our financial condition and results of operations is based on our unaudited condensed consolidated financial statements and notes, which have been prepared in accordance with accounting principles generally accepted in the United States, or GAAP. The preparation of these condensed consolidated financial statements in conformity with GAAP requires us to make estimates, judgments and assumptions that affect the reported amounts of assets, liabilities, revenue and expenses. On an ongoing basis, we evaluate our estimates and judgments.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Estimates are assessed each period and updated to reflect current information. A summary of our critical accounting policies, significant judgments and estimates is presented in Part II, Item 7 of our Annual Report. There have been no material changes to our critical accounting policies, significant judgments and estimates described in our Annual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2—Significant Accounting Policies to our unaudited condensed consolidated financial statements included elsewhere in this Quarterly Report.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the impact of inflation on operations has been minimal during the past three years.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June 30, 2022 and June 30, 2021</w:t>
      </w:r>
    </w:p>
    <w:p>
      <w:pPr>
        <w:spacing w:after="0" w:line="241" w:lineRule="exact"/>
        <w:rPr>
          <w:sz w:val="20"/>
          <w:szCs w:val="20"/>
          <w:color w:val="auto"/>
        </w:rPr>
      </w:pPr>
    </w:p>
    <w:p>
      <w:pPr>
        <w:ind w:right="100"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Total revenue, net. </w:t>
      </w:r>
      <w:r>
        <w:rPr>
          <w:rFonts w:ascii="Times New Roman" w:cs="Times New Roman" w:eastAsia="Times New Roman" w:hAnsi="Times New Roman"/>
          <w:sz w:val="18"/>
          <w:szCs w:val="18"/>
          <w:color w:val="auto"/>
        </w:rPr>
        <w:t>We recorded total revenue, net, of $94.4 million and $154.5 million during the three months ended June 30, 2022 and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 decrease of $60.0 million, or 39%. Total revenue, net consists primarily of revenue from the sale of VASCEPA in the United States. In addition to the United States, we also sell VASCEPA by prescription in Germany and Sweden and is available by prescription in Canada, Lebanon and the United Arab Emirates through collaborations with third-party companies. As further discussed below, this decrease consists of a $63.0 million decrease in U.S. net product revenue and a $0.1 million decrease in licensing and royalty revenue, offset by a $3.1 million increase in net product revenue outside of the United States.</w:t>
      </w:r>
    </w:p>
    <w:p>
      <w:pPr>
        <w:spacing w:after="0" w:line="207" w:lineRule="exact"/>
        <w:rPr>
          <w:sz w:val="20"/>
          <w:szCs w:val="20"/>
          <w:color w:val="auto"/>
        </w:rPr>
      </w:pPr>
    </w:p>
    <w:p>
      <w:pPr>
        <w:ind w:right="420" w:firstLine="539"/>
        <w:spacing w:after="0" w:line="268" w:lineRule="auto"/>
        <w:rPr>
          <w:sz w:val="20"/>
          <w:szCs w:val="20"/>
          <w:color w:val="auto"/>
        </w:rPr>
      </w:pP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We recorded product revenue, net, of $93.8 million and $153.8 million during the three months ended June 30, 2022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respectively, a decrease of $60.0 million, or 39%.</w:t>
      </w:r>
    </w:p>
    <w:p>
      <w:pPr>
        <w:spacing w:after="0" w:line="66" w:lineRule="exact"/>
        <w:rPr>
          <w:sz w:val="20"/>
          <w:szCs w:val="20"/>
          <w:color w:val="auto"/>
        </w:rPr>
      </w:pPr>
    </w:p>
    <w:p>
      <w:pPr>
        <w:ind w:firstLine="539"/>
        <w:spacing w:after="0" w:line="250" w:lineRule="auto"/>
        <w:rPr>
          <w:sz w:val="20"/>
          <w:szCs w:val="20"/>
          <w:color w:val="auto"/>
        </w:rPr>
      </w:pPr>
      <w:r>
        <w:rPr>
          <w:rFonts w:ascii="Times New Roman" w:cs="Times New Roman" w:eastAsia="Times New Roman" w:hAnsi="Times New Roman"/>
          <w:sz w:val="18"/>
          <w:szCs w:val="18"/>
          <w:color w:val="auto"/>
        </w:rPr>
        <w:t>This decrease was driven primarily by a 41% decrease in VASCEPA sales in the United States. This decrease was driven by a decline in volume and net selling price as a result of the impact of increased generic competition in the market. During the three months ended June 30, 2022, there were three generics in the market. During the three months ended June 30, 2021 there was one generic in the market.</w:t>
      </w:r>
    </w:p>
    <w:p>
      <w:pPr>
        <w:spacing w:after="0" w:line="82" w:lineRule="exact"/>
        <w:rPr>
          <w:sz w:val="20"/>
          <w:szCs w:val="20"/>
          <w:color w:val="auto"/>
        </w:rPr>
      </w:pPr>
    </w:p>
    <w:p>
      <w:pPr>
        <w:ind w:firstLine="539"/>
        <w:spacing w:after="0" w:line="246" w:lineRule="auto"/>
        <w:rPr>
          <w:sz w:val="20"/>
          <w:szCs w:val="20"/>
          <w:color w:val="auto"/>
        </w:rPr>
      </w:pPr>
      <w:r>
        <w:rPr>
          <w:rFonts w:ascii="Times New Roman" w:cs="Times New Roman" w:eastAsia="Times New Roman" w:hAnsi="Times New Roman"/>
          <w:sz w:val="18"/>
          <w:szCs w:val="18"/>
          <w:color w:val="auto"/>
        </w:rPr>
        <w:t>The overall icosapent ethyl market in the United States, based on prescription levels reported by Symphony Health increased for the three months ended June 30, 2022 by 17% as compared to the three months ended June 30, 2021. Our share of the icosapent ethyl market has decreased to approximately 65% in the three months ended June 30, 2022 compared to approximately 89% in the three months ended June 30, 2021. Additionally, based on prescription levels reported by Symphony Health, VASCEPA branded prescriptions decreased by 21% in the three months ended June 30, 2022 compared to the three months ended June 30, 2021.</w:t>
      </w:r>
    </w:p>
    <w:p>
      <w:pPr>
        <w:spacing w:after="0" w:line="73" w:lineRule="exact"/>
        <w:rPr>
          <w:sz w:val="20"/>
          <w:szCs w:val="20"/>
          <w:color w:val="auto"/>
        </w:rPr>
      </w:pPr>
    </w:p>
    <w:p>
      <w:pPr>
        <w:ind w:right="180" w:firstLine="539"/>
        <w:spacing w:after="0" w:line="253" w:lineRule="auto"/>
        <w:rPr>
          <w:sz w:val="20"/>
          <w:szCs w:val="20"/>
          <w:color w:val="auto"/>
        </w:rPr>
      </w:pPr>
      <w:r>
        <w:rPr>
          <w:rFonts w:ascii="Times New Roman" w:cs="Times New Roman" w:eastAsia="Times New Roman" w:hAnsi="Times New Roman"/>
          <w:sz w:val="18"/>
          <w:szCs w:val="18"/>
          <w:color w:val="auto"/>
        </w:rPr>
        <w:t>In Europe, our commercial launch and growth of the market has been slower than expected due to the resurgence of COVID-19 earlier in the year throughout Europe and political unrest in eastern Europe resulting in product revenue, net, of $0.7 million during the</w:t>
      </w: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5" w:right="359" w:bottom="1440" w:gutter="0" w:footer="0" w:header="0"/>
        </w:sectPr>
      </w:pPr>
    </w:p>
    <w:bookmarkStart w:id="33" w:name="page34"/>
    <w:bookmarkEnd w:id="33"/>
    <w:p>
      <w:pPr>
        <w:ind w:right="120"/>
        <w:spacing w:after="0" w:line="282" w:lineRule="auto"/>
        <w:rPr>
          <w:sz w:val="20"/>
          <w:szCs w:val="20"/>
          <w:color w:val="auto"/>
        </w:rPr>
      </w:pPr>
      <w:r>
        <w:rPr>
          <w:rFonts w:ascii="Times New Roman" w:cs="Times New Roman" w:eastAsia="Times New Roman" w:hAnsi="Times New Roman"/>
          <w:sz w:val="18"/>
          <w:szCs w:val="18"/>
          <w:color w:val="auto"/>
        </w:rPr>
        <w:t>three months ended June 30, 2022. We began commercialization in Europe in September 2021, and as such recorded product revenue, net of nil during the three months ended June 30, 2021.</w:t>
      </w:r>
    </w:p>
    <w:p>
      <w:pPr>
        <w:spacing w:after="0" w:line="40" w:lineRule="exact"/>
        <w:rPr>
          <w:sz w:val="20"/>
          <w:szCs w:val="20"/>
          <w:color w:val="auto"/>
        </w:rPr>
      </w:pPr>
    </w:p>
    <w:p>
      <w:pPr>
        <w:ind w:right="100" w:firstLine="539"/>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we recorded $2.3 million of product revenue, net, to our collaboration partners compared to $0.1 million during the three months ended June 30, 2021.</w:t>
      </w:r>
    </w:p>
    <w:p>
      <w:pPr>
        <w:spacing w:after="0" w:line="68" w:lineRule="exact"/>
        <w:rPr>
          <w:sz w:val="20"/>
          <w:szCs w:val="20"/>
          <w:color w:val="auto"/>
        </w:rPr>
      </w:pPr>
    </w:p>
    <w:p>
      <w:pPr>
        <w:ind w:firstLine="539"/>
        <w:spacing w:after="0" w:line="244" w:lineRule="auto"/>
        <w:rPr>
          <w:sz w:val="20"/>
          <w:szCs w:val="20"/>
          <w:color w:val="auto"/>
        </w:rPr>
      </w:pPr>
      <w:r>
        <w:rPr>
          <w:rFonts w:ascii="Times New Roman" w:cs="Times New Roman" w:eastAsia="Times New Roman" w:hAnsi="Times New Roman"/>
          <w:sz w:val="18"/>
          <w:szCs w:val="18"/>
          <w:color w:val="auto"/>
        </w:rPr>
        <w:t>Despite the generic competition in the U.S., including a third generic entrant in January 2022, we remain confident that the global patient need for VASCEPA is high. In July 2022, the UK's NICE announced final guidance for reimbursement for VAZKEPA and use across the NHS in England and Wales. We expect to launch commercial operations in the UK in October 2022, along with up to 5 additional countries throughout Europe in the second half of 2022, while also receiving up to 8 reimbursement decisions in 2022. As a result of the continued uncertainty of the global impact of COVID-19, the impact of generic competition in the U.S. and challenges for most drugs seeking market access in Europe, we are not providing revenue guidance at this time.</w:t>
      </w:r>
    </w:p>
    <w:p>
      <w:pPr>
        <w:spacing w:after="0" w:line="193" w:lineRule="exact"/>
        <w:rPr>
          <w:sz w:val="20"/>
          <w:szCs w:val="20"/>
          <w:color w:val="auto"/>
        </w:rPr>
      </w:pPr>
    </w:p>
    <w:p>
      <w:pPr>
        <w:ind w:right="20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during the three months ended June 30, 2022 and 2021 was $0.6 million and $0.7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a decrease of $0.1 million, or 10%. Licensing and royalty revenue relates to the recognition of amounts received in connection with the following VASCEPA licensing agreements:</w:t>
      </w:r>
    </w:p>
    <w:p>
      <w:pPr>
        <w:spacing w:after="0" w:line="68" w:lineRule="exact"/>
        <w:rPr>
          <w:sz w:val="20"/>
          <w:szCs w:val="20"/>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Edding – a $15.0 million up-front payment received in February 2015 and a $1.0 million milestone payment achieved in March 2016.</w:t>
      </w:r>
    </w:p>
    <w:p>
      <w:pPr>
        <w:spacing w:after="0" w:line="90" w:lineRule="exact"/>
        <w:rPr>
          <w:rFonts w:ascii="Times New Roman" w:cs="Times New Roman" w:eastAsia="Times New Roman" w:hAnsi="Times New Roman"/>
          <w:sz w:val="18"/>
          <w:szCs w:val="18"/>
          <w:color w:val="auto"/>
        </w:rPr>
      </w:pPr>
    </w:p>
    <w:p>
      <w:pPr>
        <w:ind w:left="900" w:right="42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HLS – a $5.0 million up-front payment which was received upon closing of the agreement in September 2017, a $2.5 million milestone payment that was received following achievement of the REDUCE-IT trial primary endpoint in September 2018, a $2.5 million milestone payment that was received following U.S. FDA approval of another indication and label expansion in December 2019, and a $3.8 million milestone payment that was received as a result of obtaining a regulatory exclusivity designation in January 2020.</w:t>
      </w:r>
    </w:p>
    <w:p>
      <w:pPr>
        <w:spacing w:after="0" w:line="90" w:lineRule="exact"/>
        <w:rPr>
          <w:sz w:val="20"/>
          <w:szCs w:val="20"/>
          <w:color w:val="auto"/>
        </w:rPr>
      </w:pPr>
    </w:p>
    <w:p>
      <w:pPr>
        <w:jc w:val="both"/>
        <w:ind w:right="300" w:firstLine="509"/>
        <w:spacing w:after="0" w:line="258" w:lineRule="auto"/>
        <w:rPr>
          <w:sz w:val="20"/>
          <w:szCs w:val="20"/>
          <w:color w:val="auto"/>
        </w:rPr>
      </w:pPr>
      <w:r>
        <w:rPr>
          <w:rFonts w:ascii="Times New Roman" w:cs="Times New Roman" w:eastAsia="Times New Roman" w:hAnsi="Times New Roman"/>
          <w:sz w:val="18"/>
          <w:szCs w:val="18"/>
          <w:color w:val="auto"/>
        </w:rPr>
        <w:t>The up-front and milestone payments under such agreements are being recognized over the estimated period in which we are required to provide regulatory and development support pursuant to the agreements. The amount of licensing and royalty revenue is expected to vary from period to period based on timing of milestones achieved and changes in estimates of the timing and level of support required.</w:t>
      </w:r>
    </w:p>
    <w:p>
      <w:pPr>
        <w:spacing w:after="0" w:line="6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part of our licensing agreements covering certain territories outside of the United States, we are entitled to a percentage of revenue earned based on sales by our partners. The royalty payments are being recognized as earned based on revenue recognized by our current partners.</w:t>
      </w:r>
    </w:p>
    <w:p>
      <w:pPr>
        <w:spacing w:after="0" w:line="201"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Cost of goods sold. </w:t>
      </w:r>
      <w:r>
        <w:rPr>
          <w:rFonts w:ascii="Times New Roman" w:cs="Times New Roman" w:eastAsia="Times New Roman" w:hAnsi="Times New Roman"/>
          <w:sz w:val="17"/>
          <w:szCs w:val="17"/>
          <w:color w:val="auto"/>
        </w:rPr>
        <w:t>Cost of goods sold during the three months ended June 30, 2022 and 2021 was $50.8 million and $32.2 million, respectively,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 of $18.7 million, or 58%.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During the three months ended June 30, 2022, as part of our cost reduction plan we have taken steps to amend our supplier agreements to align supply arrangements with current and future demand resulting in a $15.0 million charge, which was recorded as Cost of goods sold - restructuring inventory. In addition during the three months ended June 30, 2022, we recorded an approximately $9.6 million inventory write off due to unsellable inventory unrelated to product dating.</w:t>
      </w:r>
    </w:p>
    <w:p>
      <w:pPr>
        <w:spacing w:after="0" w:line="78"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quarters ended June 30, 2022 and 2021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We currently anticipate API average cost in 2022 to be similar to or modestly lower than 2021. The average cost may be variable from period to period depending upon the timing and quantity of API purchased from each supplier.</w:t>
      </w:r>
    </w:p>
    <w:p>
      <w:pPr>
        <w:spacing w:after="0" w:line="74" w:lineRule="exact"/>
        <w:rPr>
          <w:sz w:val="20"/>
          <w:szCs w:val="20"/>
          <w:color w:val="auto"/>
        </w:rPr>
      </w:pPr>
    </w:p>
    <w:p>
      <w:pPr>
        <w:ind w:right="120" w:firstLine="509"/>
        <w:spacing w:after="0" w:line="241" w:lineRule="auto"/>
        <w:rPr>
          <w:sz w:val="20"/>
          <w:szCs w:val="20"/>
          <w:color w:val="auto"/>
        </w:rPr>
      </w:pPr>
      <w:r>
        <w:rPr>
          <w:rFonts w:ascii="Times New Roman" w:cs="Times New Roman" w:eastAsia="Times New Roman" w:hAnsi="Times New Roman"/>
          <w:sz w:val="18"/>
          <w:szCs w:val="18"/>
          <w:color w:val="auto"/>
        </w:rPr>
        <w:t>Our overall gross margin on product sales for the three months ended June 30, 2022 and 2021 was 46% and 79%, respectively. Excluding the restructuring inventory and inventory write off charges, gross margin was 72% for the three months ended June 30, 2022. The remaining decrease in gross margin is primarily as a result of a decrease in net selling price.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4" w:name="page35"/>
    <w:bookmarkEnd w:id="34"/>
    <w:p>
      <w:pPr>
        <w:ind w:right="26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for the three months ended June 30, 2022 and 2021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$86.9 million and $107.2 million, respectively, a decrease of $20.3 million, or 19%. Selling, general and administrative expenses for the three months ended June 30, 2022 and 2021 are summarized in the table below:</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6"/>
                <w:szCs w:val="16"/>
                <w:color w:val="auto"/>
              </w:rPr>
            </w:pPr>
          </w:p>
        </w:tc>
      </w:tr>
      <w:tr>
        <w:trPr>
          <w:trHeight w:val="169"/>
        </w:trPr>
        <w:tc>
          <w:tcPr>
            <w:tcW w:w="61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61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Selling expense </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53,134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72,956</w:t>
            </w:r>
          </w:p>
        </w:tc>
        <w:tc>
          <w:tcPr>
            <w:tcW w:w="80" w:type="dxa"/>
            <w:vAlign w:val="bottom"/>
            <w:shd w:val="clear" w:color="auto" w:fill="CFF0FC"/>
          </w:tcPr>
          <w:p>
            <w:pPr>
              <w:spacing w:after="0"/>
              <w:rPr>
                <w:sz w:val="18"/>
                <w:szCs w:val="18"/>
                <w:color w:val="auto"/>
              </w:rPr>
            </w:pPr>
          </w:p>
        </w:tc>
      </w:tr>
      <w:tr>
        <w:trPr>
          <w:trHeight w:val="216"/>
        </w:trPr>
        <w:tc>
          <w:tcPr>
            <w:tcW w:w="61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expense </w:t>
            </w:r>
            <w:r>
              <w:rPr>
                <w:rFonts w:ascii="Times New Roman" w:cs="Times New Roman" w:eastAsia="Times New Roman" w:hAnsi="Times New Roman"/>
                <w:sz w:val="24"/>
                <w:szCs w:val="24"/>
                <w:color w:val="auto"/>
                <w:vertAlign w:val="superscript"/>
              </w:rPr>
              <w:t>(2)</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31,594</w:t>
            </w:r>
          </w:p>
        </w:tc>
        <w:tc>
          <w:tcPr>
            <w:tcW w:w="80" w:type="dxa"/>
            <w:vAlign w:val="bottom"/>
          </w:tcPr>
          <w:p>
            <w:pPr>
              <w:spacing w:after="0"/>
              <w:rPr>
                <w:sz w:val="18"/>
                <w:szCs w:val="18"/>
                <w:color w:val="auto"/>
              </w:rPr>
            </w:pPr>
          </w:p>
        </w:tc>
      </w:tr>
      <w:tr>
        <w:trPr>
          <w:trHeight w:val="216"/>
        </w:trPr>
        <w:tc>
          <w:tcPr>
            <w:tcW w:w="616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(3)</w:t>
            </w: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7,649</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86,893</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107,203</w:t>
            </w:r>
          </w:p>
        </w:tc>
        <w:tc>
          <w:tcPr>
            <w:tcW w:w="8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-170815</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9512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32" w:lineRule="exact"/>
        <w:rPr>
          <w:sz w:val="20"/>
          <w:szCs w:val="20"/>
          <w:color w:val="auto"/>
        </w:rPr>
      </w:pPr>
    </w:p>
    <w:p>
      <w:pPr>
        <w:ind w:left="480" w:hanging="383"/>
        <w:spacing w:after="0" w:line="255"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 for the three months ended June 30, 2022 and 2021 was $53.1 million and $73.0 million, respectively, a decrease of $19.8 million, or 27%. This decrease is primarily due to a reduction in costs associated with our previously announced Go-to-Market strategy in September 2021 resulting in decreased promotional initiatives, reduced travel and a decrease in our U.S. sales force.</w:t>
      </w:r>
    </w:p>
    <w:p>
      <w:pPr>
        <w:spacing w:after="0" w:line="1" w:lineRule="exact"/>
        <w:rPr>
          <w:rFonts w:ascii="Times New Roman" w:cs="Times New Roman" w:eastAsia="Times New Roman" w:hAnsi="Times New Roman"/>
          <w:sz w:val="18"/>
          <w:szCs w:val="18"/>
          <w:color w:val="auto"/>
        </w:rPr>
      </w:pPr>
    </w:p>
    <w:p>
      <w:pPr>
        <w:ind w:left="480" w:hanging="383"/>
        <w:spacing w:after="0" w:line="250"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for the three months ended June 30, 2022 and 2021 was $26.1 million and $31.6 million, respectively, a decrease of $5.5 million, or 17%. This decrease is primarily due to a decrease in employee related costs resulting from the September 2021 Go-to-Market strategy. The decrease was further impacted due to a decrease in branded pharma fees as a result of lower sales due to additional generic entrants in the market.</w:t>
      </w:r>
    </w:p>
    <w:p>
      <w:pPr>
        <w:spacing w:after="0" w:line="1" w:lineRule="exact"/>
        <w:rPr>
          <w:rFonts w:ascii="Times New Roman" w:cs="Times New Roman" w:eastAsia="Times New Roman" w:hAnsi="Times New Roman"/>
          <w:sz w:val="18"/>
          <w:szCs w:val="18"/>
          <w:color w:val="auto"/>
        </w:rPr>
      </w:pPr>
    </w:p>
    <w:p>
      <w:pPr>
        <w:ind w:left="480" w:right="40" w:hanging="383"/>
        <w:spacing w:after="0" w:line="246"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the three months ended June 30, 2022 and 2021 was $7.6 million and $2.7 million, respectively, an increase of $5.0 million, or 188%. Non-cash stock-based compensation expense represents the estimated costs associated with equity awards issued to internal personnel supporting our selling, general and administrative functions. The increase is due to the reversal of expense occurring in the previous year associated with certain performance-based awards as it was no longer deemed probable that the performance criteria for vesting would be achieved within the required timeframe.</w:t>
      </w:r>
    </w:p>
    <w:p>
      <w:pPr>
        <w:spacing w:after="0" w:line="195"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We are investing in building an appropriate foundation for the successful launch of VAZKEPA throughout Europe, advancing regulatory filings internationally and navigating the dynamic U.S. environment. As a result, we will continue to evaluate all of our spending commitments and priorities as well as adjust our level of education and promotional activities based on various factors, including the impact of COVID-19 and U.S. generic competition.</w:t>
      </w:r>
    </w:p>
    <w:p>
      <w:pPr>
        <w:spacing w:after="0" w:line="202"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for the three months ended June 30, 2022 and 2021 was $9.4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$6.4 million, respectively, an increase of $3.0 million, or 47%. Research and development expenses for the three months ended June 30, 2022 and 2021 are summarized in the table below:</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6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160" w:type="dxa"/>
            <w:vAlign w:val="bottom"/>
            <w:vMerge w:val="restart"/>
          </w:tcPr>
          <w:p>
            <w:pPr>
              <w:spacing w:after="0" w:line="204" w:lineRule="exact"/>
              <w:rPr>
                <w:sz w:val="20"/>
                <w:szCs w:val="20"/>
                <w:color w:val="auto"/>
              </w:rPr>
            </w:pPr>
            <w:r>
              <w:rPr>
                <w:rFonts w:ascii="Times New Roman" w:cs="Times New Roman" w:eastAsia="Times New Roman" w:hAnsi="Times New Roman"/>
                <w:sz w:val="17"/>
                <w:szCs w:val="17"/>
                <w:color w:val="auto"/>
              </w:rPr>
              <w:t xml:space="preserve">REDUCE-IT study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160" w:type="dxa"/>
            <w:vAlign w:val="bottom"/>
            <w:vMerge w:val="continue"/>
          </w:tcPr>
          <w:p>
            <w:pPr>
              <w:spacing w:after="0"/>
              <w:rPr>
                <w:sz w:val="13"/>
                <w:szCs w:val="13"/>
                <w:color w:val="auto"/>
              </w:rPr>
            </w:pPr>
          </w:p>
        </w:tc>
        <w:tc>
          <w:tcPr>
            <w:tcW w:w="280" w:type="dxa"/>
            <w:vAlign w:val="bottom"/>
          </w:tcPr>
          <w:p>
            <w:pPr>
              <w:jc w:val="right"/>
              <w:ind w:right="90"/>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463</w:t>
            </w:r>
          </w:p>
        </w:tc>
        <w:tc>
          <w:tcPr>
            <w:tcW w:w="240" w:type="dxa"/>
            <w:vAlign w:val="bottom"/>
            <w:vMerge w:val="continue"/>
          </w:tcPr>
          <w:p>
            <w:pPr>
              <w:spacing w:after="0"/>
              <w:rPr>
                <w:sz w:val="13"/>
                <w:szCs w:val="13"/>
                <w:color w:val="auto"/>
              </w:rPr>
            </w:pPr>
          </w:p>
        </w:tc>
        <w:tc>
          <w:tcPr>
            <w:tcW w:w="280" w:type="dxa"/>
            <w:vAlign w:val="bottom"/>
          </w:tcPr>
          <w:p>
            <w:pPr>
              <w:jc w:val="right"/>
              <w:ind w:right="90"/>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1,054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Regulatory filing fees and expenses </w:t>
            </w:r>
            <w:r>
              <w:rPr>
                <w:rFonts w:ascii="Times New Roman" w:cs="Times New Roman" w:eastAsia="Times New Roman" w:hAnsi="Times New Roman"/>
                <w:sz w:val="24"/>
                <w:szCs w:val="24"/>
                <w:color w:val="auto"/>
                <w:vertAlign w:val="superscript"/>
              </w:rPr>
              <w:t>(2)</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616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Internal staffing, overhead and other </w:t>
            </w:r>
            <w:r>
              <w:rPr>
                <w:rFonts w:ascii="Times New Roman" w:cs="Times New Roman" w:eastAsia="Times New Roman" w:hAnsi="Times New Roman"/>
                <w:sz w:val="24"/>
                <w:szCs w:val="24"/>
                <w:color w:val="auto"/>
                <w:vertAlign w:val="superscript"/>
              </w:rPr>
              <w:t>(3)</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2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616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Research and development expense, excluding non-cash expense</w:t>
            </w:r>
          </w:p>
        </w:tc>
        <w:tc>
          <w:tcPr>
            <w:tcW w:w="280" w:type="dxa"/>
            <w:vAlign w:val="bottom"/>
          </w:tcPr>
          <w:p>
            <w:pPr>
              <w:spacing w:after="0"/>
              <w:rPr>
                <w:sz w:val="13"/>
                <w:szCs w:val="13"/>
                <w:color w:val="auto"/>
              </w:rPr>
            </w:pPr>
          </w:p>
        </w:tc>
        <w:tc>
          <w:tcPr>
            <w:tcW w:w="9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7,905</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6,531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616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(4)</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9,356</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-864870</wp:posOffset>
            </wp:positionV>
            <wp:extent cx="5700395"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-591185</wp:posOffset>
            </wp:positionV>
            <wp:extent cx="5700395" cy="146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-307975</wp:posOffset>
            </wp:positionV>
            <wp:extent cx="5700395" cy="1454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520" w:right="12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2018, we announced landmark positive topline results of the REDUCE-IT cardiovascular outcomes trial. The decrease in expenses is primarily driven by the completion in the prior year of certain analyses performed beyond the REDUCE-IT cardiovascular outcomes trial.</w:t>
      </w:r>
    </w:p>
    <w:p>
      <w:pPr>
        <w:ind w:left="520" w:right="40" w:hanging="512"/>
        <w:spacing w:after="0" w:line="265" w:lineRule="auto"/>
        <w:tabs>
          <w:tab w:leader="none" w:pos="5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regulatory filing fees in each of the quarters ended June 30, 2022 and 2021 included annual U.S. FDA fees for maintaining manufacturing sites. Such fees primarily represent fees for qualification of new suppliers, including increasing capacity capabilities, and fees to support international regulatory review of VASCEPA, particularly in Europe, sites used for the manufacture of product used in the REDUCE-IT clinical outcomes study.</w:t>
      </w:r>
    </w:p>
    <w:p>
      <w:pPr>
        <w:ind w:left="520" w:hanging="512"/>
        <w:spacing w:after="0" w:line="248"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including costs associated with securing regulatory approvals for VAZKEPA in Europe as achieved in 2021. Also included are costs related to qualifying suppliers, costs related to the development of a fixed dose combination product and costs associated with various other investigations, including other costs in collaboration with Mochida and pilot studies regarding VASCEPA.</w:t>
      </w:r>
    </w:p>
    <w:p>
      <w:pPr>
        <w:spacing w:after="0" w:line="1" w:lineRule="exact"/>
        <w:rPr>
          <w:rFonts w:ascii="Times New Roman" w:cs="Times New Roman" w:eastAsia="Times New Roman" w:hAnsi="Times New Roman"/>
          <w:sz w:val="18"/>
          <w:szCs w:val="18"/>
          <w:color w:val="auto"/>
        </w:rPr>
      </w:pPr>
    </w:p>
    <w:p>
      <w:pPr>
        <w:ind w:left="520" w:right="320" w:hanging="512"/>
        <w:spacing w:after="0" w:line="24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estimated costs associated with equity awards issued to personnel supporting our research and development and regulatory functions. The increase is due to the reversal of expense occurring in the previous year associated with certain performance-based awards as it was no longer deemed probable at the time that the performance criteria for vesting would be achieved within the required timeframe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1" w:right="359" w:bottom="1440" w:gutter="0" w:footer="0" w:header="0"/>
        </w:sectPr>
      </w:pPr>
    </w:p>
    <w:bookmarkStart w:id="35" w:name="page36"/>
    <w:bookmarkEnd w:id="35"/>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continuously evaluate all of our spending commitments and priorities and we plan to adjust our level of research and development activities based on the impact of COVID-19 and generic competition.</w:t>
      </w:r>
    </w:p>
    <w:p>
      <w:pPr>
        <w:spacing w:after="0" w:line="92" w:lineRule="exact"/>
        <w:rPr>
          <w:sz w:val="20"/>
          <w:szCs w:val="20"/>
          <w:color w:val="auto"/>
        </w:rPr>
      </w:pPr>
    </w:p>
    <w:p>
      <w:pPr>
        <w:ind w:right="4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Restructuring expense</w:t>
      </w:r>
      <w:r>
        <w:rPr>
          <w:rFonts w:ascii="Times New Roman" w:cs="Times New Roman" w:eastAsia="Times New Roman" w:hAnsi="Times New Roman"/>
          <w:sz w:val="18"/>
          <w:szCs w:val="18"/>
          <w:color w:val="auto"/>
        </w:rPr>
        <w:t>. Restructuring expense for the three months ended June 30, 2022 and 2021 was $10.2 million and nil, respectively.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charge is due to the implementation of the Comprehensive Cost Reduction Plan announced on June 6, 2022, which primarily related to the reduction of our U.S. field force from approximately 300 sales representatives to approximately 75 sales representatives. Refer to </w:t>
      </w:r>
      <w:r>
        <w:rPr>
          <w:rFonts w:ascii="Times New Roman" w:cs="Times New Roman" w:eastAsia="Times New Roman" w:hAnsi="Times New Roman"/>
          <w:sz w:val="18"/>
          <w:szCs w:val="18"/>
          <w:i w:val="1"/>
          <w:iCs w:val="1"/>
          <w:color w:val="auto"/>
        </w:rPr>
        <w:t>Note 2 Significant Accounting Policies</w:t>
      </w:r>
      <w:r>
        <w:rPr>
          <w:rFonts w:ascii="Times New Roman" w:cs="Times New Roman" w:eastAsia="Times New Roman" w:hAnsi="Times New Roman"/>
          <w:sz w:val="18"/>
          <w:szCs w:val="18"/>
          <w:color w:val="auto"/>
        </w:rPr>
        <w:t xml:space="preserve"> for additional information.</w:t>
      </w:r>
    </w:p>
    <w:p>
      <w:pPr>
        <w:spacing w:after="0" w:line="201" w:lineRule="exact"/>
        <w:rPr>
          <w:sz w:val="20"/>
          <w:szCs w:val="20"/>
          <w:color w:val="auto"/>
        </w:rPr>
      </w:pPr>
    </w:p>
    <w:p>
      <w:pPr>
        <w:ind w:right="1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 net</w:t>
      </w:r>
      <w:r>
        <w:rPr>
          <w:rFonts w:ascii="Times New Roman" w:cs="Times New Roman" w:eastAsia="Times New Roman" w:hAnsi="Times New Roman"/>
          <w:sz w:val="18"/>
          <w:szCs w:val="18"/>
          <w:color w:val="auto"/>
        </w:rPr>
        <w:t>. Interest income, net for both the three months ended June 30, 2022 and 2021 was $0.3 million. Interest income, net represents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earned on cash and investment balances.</w:t>
      </w:r>
    </w:p>
    <w:p>
      <w:pPr>
        <w:spacing w:after="0" w:line="172" w:lineRule="exact"/>
        <w:rPr>
          <w:sz w:val="20"/>
          <w:szCs w:val="20"/>
          <w:color w:val="auto"/>
        </w:rPr>
      </w:pPr>
    </w:p>
    <w:p>
      <w:pPr>
        <w:ind w:right="58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 Other expense, net, for the three months ended June 30, 2022 and 2021 was expense of $2.3 million and $0.2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an increase of $2.1 million, or 1081%. Other expense, net, primarily consists of gains and losses on foreign exchange transactions. The increase in Other expense, net is due to the continued global expansion and related activity in foreign currencies.</w:t>
      </w:r>
    </w:p>
    <w:p>
      <w:pPr>
        <w:spacing w:after="0" w:line="215" w:lineRule="exact"/>
        <w:rPr>
          <w:sz w:val="20"/>
          <w:szCs w:val="20"/>
          <w:color w:val="auto"/>
        </w:rPr>
      </w:pPr>
    </w:p>
    <w:p>
      <w:pPr>
        <w:ind w:right="6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for the three months ended June 30, 2022 and 2021 was $5.2 million and $1.1 million, respectively.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 for the three months ended June 30, 2022 is the result of income generated by our U.S. operations for which tax expense has been recognized based on a full year estimated U.S. income tax liability.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Six Months Ended June 30, 2022 and June 30, 2021</w:t>
      </w:r>
    </w:p>
    <w:p>
      <w:pPr>
        <w:spacing w:after="0" w:line="241"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Total revenue, net. </w:t>
      </w:r>
      <w:r>
        <w:rPr>
          <w:rFonts w:ascii="Times New Roman" w:cs="Times New Roman" w:eastAsia="Times New Roman" w:hAnsi="Times New Roman"/>
          <w:sz w:val="18"/>
          <w:szCs w:val="18"/>
          <w:color w:val="auto"/>
        </w:rPr>
        <w:t>We recorded total revenue, net, of $189.1 million and $296.7 million during the six months ended June 30, 2022 and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 decrease of $107.6 million, or 36%. Total revenue, net consists primarily of revenue from the sale of VASCEPA in the United States. In addition to the United States, we also sell VASCEPA by prescription in Germany and Sweden and is available by prescription in Canada, Lebanon and the United Arab Emirates through collaborations with third-party companies. As further discussed below, this decrease consists of a $110.4 million decrease U.S. net product revenue and a $0.2 million decrease in licensing and royalty revenue offset by a $3.0 million increase in net product revenue outside of the United States.</w:t>
      </w:r>
    </w:p>
    <w:p>
      <w:pPr>
        <w:spacing w:after="0" w:line="207" w:lineRule="exact"/>
        <w:rPr>
          <w:sz w:val="20"/>
          <w:szCs w:val="20"/>
          <w:color w:val="auto"/>
        </w:rPr>
      </w:pPr>
    </w:p>
    <w:p>
      <w:pPr>
        <w:ind w:right="40" w:firstLine="539"/>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We recorded product revenue, net, of $187.8 million and $295.2 million during the six months ended June 30, 2022 and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 decrease of $107.4 million, or 36%.</w:t>
      </w:r>
    </w:p>
    <w:p>
      <w:pPr>
        <w:spacing w:after="0" w:line="66" w:lineRule="exact"/>
        <w:rPr>
          <w:sz w:val="20"/>
          <w:szCs w:val="20"/>
          <w:color w:val="auto"/>
        </w:rPr>
      </w:pPr>
    </w:p>
    <w:p>
      <w:pPr>
        <w:jc w:val="both"/>
        <w:ind w:firstLine="539"/>
        <w:spacing w:after="0" w:line="250" w:lineRule="auto"/>
        <w:rPr>
          <w:sz w:val="20"/>
          <w:szCs w:val="20"/>
          <w:color w:val="auto"/>
        </w:rPr>
      </w:pPr>
      <w:r>
        <w:rPr>
          <w:rFonts w:ascii="Times New Roman" w:cs="Times New Roman" w:eastAsia="Times New Roman" w:hAnsi="Times New Roman"/>
          <w:sz w:val="18"/>
          <w:szCs w:val="18"/>
          <w:color w:val="auto"/>
        </w:rPr>
        <w:t>This decrease was driven primarily by a 37% decrease in VASCEPA sales in the United States. This decrease was driven by a decline in volume and net selling price as a result of the impact from an increase in generic competition in the market. During the six months ended June 30, 2022 there were three generics in the market. During the six months ended June 30, 2021 there was only one generic in the market.</w:t>
      </w:r>
    </w:p>
    <w:p>
      <w:pPr>
        <w:spacing w:after="0" w:line="69" w:lineRule="exact"/>
        <w:rPr>
          <w:sz w:val="20"/>
          <w:szCs w:val="20"/>
          <w:color w:val="auto"/>
        </w:rPr>
      </w:pPr>
    </w:p>
    <w:p>
      <w:pPr>
        <w:ind w:right="20" w:firstLine="539"/>
        <w:spacing w:after="0" w:line="250" w:lineRule="auto"/>
        <w:rPr>
          <w:sz w:val="20"/>
          <w:szCs w:val="20"/>
          <w:color w:val="auto"/>
        </w:rPr>
      </w:pPr>
      <w:r>
        <w:rPr>
          <w:rFonts w:ascii="Times New Roman" w:cs="Times New Roman" w:eastAsia="Times New Roman" w:hAnsi="Times New Roman"/>
          <w:sz w:val="18"/>
          <w:szCs w:val="18"/>
          <w:color w:val="auto"/>
        </w:rPr>
        <w:t>The overall icosapent ethyl market in the United States, based on prescription levels reported by Symphony Health increased for the six months ended June 30, 2022 by 9% as compared to the six months ended June 30, 2021. Our share of the icosapent ethyl market has decreased to approximately 68% in the six months ended June 30, 2022 compared to approximately 90% in the six months ended June 30, 2021. Additionally, based on prescription levels reported by Symphony Health, VASCEPA branded prescriptions decreased by 9% in the six months ended June 30, 2022 compared to the six months ended June 30, 2021.</w:t>
      </w:r>
    </w:p>
    <w:p>
      <w:pPr>
        <w:spacing w:after="0" w:line="69" w:lineRule="exact"/>
        <w:rPr>
          <w:sz w:val="20"/>
          <w:szCs w:val="20"/>
          <w:color w:val="auto"/>
        </w:rPr>
      </w:pPr>
    </w:p>
    <w:p>
      <w:pPr>
        <w:jc w:val="both"/>
        <w:ind w:right="140" w:firstLine="539"/>
        <w:spacing w:after="0" w:line="258" w:lineRule="auto"/>
        <w:rPr>
          <w:sz w:val="20"/>
          <w:szCs w:val="20"/>
          <w:color w:val="auto"/>
        </w:rPr>
      </w:pPr>
      <w:r>
        <w:rPr>
          <w:rFonts w:ascii="Times New Roman" w:cs="Times New Roman" w:eastAsia="Times New Roman" w:hAnsi="Times New Roman"/>
          <w:sz w:val="18"/>
          <w:szCs w:val="18"/>
          <w:color w:val="auto"/>
        </w:rPr>
        <w:t>In Europe, our commercial launch and growth of the market has been slower than expected due to the resurgence of COVID-19 earlier in the year throughout Europe and political unrest in eastern Europe resulting in product revenue, net, of $1.5 million during the six months ended June 30, 2022. We began commercialization in Europe in September 2021, and as such recorded product revenue, net of nil during the six months ended June 30, 2021.</w:t>
      </w:r>
    </w:p>
    <w:p>
      <w:pPr>
        <w:spacing w:after="0" w:line="61" w:lineRule="exact"/>
        <w:rPr>
          <w:sz w:val="20"/>
          <w:szCs w:val="20"/>
          <w:color w:val="auto"/>
        </w:rPr>
      </w:pPr>
    </w:p>
    <w:p>
      <w:pPr>
        <w:ind w:right="260" w:firstLine="539"/>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we recorded $2.3 million of product revenue, net, to our collaboration partners compared to $0.6 million during the six months ended June 30, 2021.</w:t>
      </w:r>
    </w:p>
    <w:p>
      <w:pPr>
        <w:spacing w:after="0" w:line="68" w:lineRule="exact"/>
        <w:rPr>
          <w:sz w:val="20"/>
          <w:szCs w:val="20"/>
          <w:color w:val="auto"/>
        </w:rPr>
      </w:pPr>
    </w:p>
    <w:p>
      <w:pPr>
        <w:ind w:firstLine="539"/>
        <w:spacing w:after="0" w:line="241" w:lineRule="auto"/>
        <w:rPr>
          <w:sz w:val="20"/>
          <w:szCs w:val="20"/>
          <w:color w:val="auto"/>
        </w:rPr>
      </w:pPr>
      <w:r>
        <w:rPr>
          <w:rFonts w:ascii="Times New Roman" w:cs="Times New Roman" w:eastAsia="Times New Roman" w:hAnsi="Times New Roman"/>
          <w:sz w:val="18"/>
          <w:szCs w:val="18"/>
          <w:color w:val="auto"/>
        </w:rPr>
        <w:t>Despite the generic competition in the U.S., including a third generic entrant in January 2022, we remain confident that the global patient need for VASCEPA is high. In July 2022, the UK's NICE announced final guidance for reimbursement for VAZKEPA and use across the NHS in England and Wales. We expect to launch commercial operations in the UK in October 2022, along with up to 5 additional countries throughout Europe in the second half of 2022, while also receiving up to 8 reimbursement decisions during 2022. As a result of the continued uncertainty of the global impact of COVID-19, the impact of generic competition in the U.S. and challenges for most drugs seeking market access in Europe, we are not providing revenue guidance at this time.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6" w:name="page37"/>
    <w:bookmarkEnd w:id="36"/>
    <w:p>
      <w:pPr>
        <w:ind w:right="20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during the six months ended June 30, 2022 and 2021 was $1.3 million and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a decrease of $0.2 million, or 14%. Licensing and royalty revenue relates to the recognition of amounts received in connection with the following VASCEPA licensing agreements:</w:t>
      </w:r>
    </w:p>
    <w:p>
      <w:pPr>
        <w:spacing w:after="0" w:line="55" w:lineRule="exact"/>
        <w:rPr>
          <w:sz w:val="20"/>
          <w:szCs w:val="20"/>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Edding – a $15.0 million up-front payment received in February 2015 and a $1.0 million milestone payment achieved in March 2016.</w:t>
      </w:r>
    </w:p>
    <w:p>
      <w:pPr>
        <w:spacing w:after="0" w:line="103" w:lineRule="exact"/>
        <w:rPr>
          <w:rFonts w:ascii="Times New Roman" w:cs="Times New Roman" w:eastAsia="Times New Roman" w:hAnsi="Times New Roman"/>
          <w:sz w:val="18"/>
          <w:szCs w:val="18"/>
          <w:color w:val="auto"/>
        </w:rPr>
      </w:pPr>
    </w:p>
    <w:p>
      <w:pPr>
        <w:ind w:left="900" w:right="42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HLS – a $5.0 million up-front payment which was received upon closing of the agreement in September 2017, a $2.5 million milestone payment that was received following achievement of the REDUCE-IT trial primary endpoint in September 2018, a $2.5 million milestone payment that was received following U.S. FDA approval of a new indication and label expansion in December 2019, and a $3.8 million milestone payment that was received as a result of obtaining a regulatory exclusivity designation in January 2020.</w:t>
      </w:r>
    </w:p>
    <w:p>
      <w:pPr>
        <w:spacing w:after="0" w:line="90" w:lineRule="exact"/>
        <w:rPr>
          <w:sz w:val="20"/>
          <w:szCs w:val="20"/>
          <w:color w:val="auto"/>
        </w:rPr>
      </w:pPr>
    </w:p>
    <w:p>
      <w:pPr>
        <w:jc w:val="both"/>
        <w:ind w:right="300" w:firstLine="509"/>
        <w:spacing w:after="0" w:line="250" w:lineRule="auto"/>
        <w:rPr>
          <w:sz w:val="20"/>
          <w:szCs w:val="20"/>
          <w:color w:val="auto"/>
        </w:rPr>
      </w:pPr>
      <w:r>
        <w:rPr>
          <w:rFonts w:ascii="Times New Roman" w:cs="Times New Roman" w:eastAsia="Times New Roman" w:hAnsi="Times New Roman"/>
          <w:sz w:val="18"/>
          <w:szCs w:val="18"/>
          <w:color w:val="auto"/>
        </w:rPr>
        <w:t>The up-front and milestone payments under such agreements are being recognized over the estimated period in which we are required to provide regulatory and development support pursuant to the agreements. The amount of licensing and royalty revenue is expected to vary from period to period based on timing of milestones achieved and changes in estimates of the timing and level of support required.</w:t>
      </w:r>
    </w:p>
    <w:p>
      <w:pPr>
        <w:spacing w:after="0" w:line="8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As part of our licensing agreements with certain territories outside of the United States, we are entitled to a percentage of revenue earned based on sales by our partners. The royalty payments are being recognized as earned based on revenue recognized by our current partners.</w:t>
      </w:r>
    </w:p>
    <w:p>
      <w:pPr>
        <w:spacing w:after="0" w:line="187"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during the six months ended June 30, 2022 and 2021 was $73.0 million and $60.5 million,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$12.6 million, or 21%.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During the six months ended June 30, 2022, as part of our cost reduction plan we have taken steps to amend supplier agreements to align supply arrangements with current and future demand resulting in a $15.0 million charge which was recorded as Cost of goods sold - restructuring inventory. In addition during the six months ended June 30, 2022, we recorded an approximately $9.6 million inventory write off due to unsellable inventory unrelated to product dating.</w:t>
      </w:r>
    </w:p>
    <w:p>
      <w:pPr>
        <w:spacing w:after="0" w:line="89"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quarters ended June 30, 2022 and 2021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We currently anticipate API average cost in 2022 to be similar to or modestly lower than 2021. The average cost may be variable from period to period depending upon the timing and quantity of API purchased from each supplier.</w:t>
      </w:r>
    </w:p>
    <w:p>
      <w:pPr>
        <w:spacing w:after="0" w:line="7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overall gross margin on product sales for each of the six months ended June 30, 2022 and 2021 was 61% and 80%, respectively. Excluding the restructuring inventory and inventory write off charges, gross margin was 74% for the six months ended June 30, 2022. The remaining decrease in gross margin is primarily as a result of a decrease in net selling price.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for the six months ended June 30, 2022 and 2021 was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$177.5 million and $213.0 million, respectively, a decrease of $35.5 million, or 17%. Selling, general and administrative expenses for the six months ended</w:t>
      </w:r>
    </w:p>
    <w:p>
      <w:pPr>
        <w:spacing w:after="0"/>
        <w:rPr>
          <w:sz w:val="20"/>
          <w:szCs w:val="20"/>
          <w:color w:val="auto"/>
        </w:rPr>
      </w:pPr>
      <w:r>
        <w:rPr>
          <w:rFonts w:ascii="Times New Roman" w:cs="Times New Roman" w:eastAsia="Times New Roman" w:hAnsi="Times New Roman"/>
          <w:sz w:val="18"/>
          <w:szCs w:val="18"/>
          <w:color w:val="auto"/>
        </w:rPr>
        <w:t>June 30, 2022 and 2021 are summarized in the table below:</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16"/>
                <w:szCs w:val="16"/>
                <w:color w:val="auto"/>
              </w:rPr>
            </w:pPr>
          </w:p>
        </w:tc>
      </w:tr>
      <w:tr>
        <w:trPr>
          <w:trHeight w:val="169"/>
        </w:trPr>
        <w:tc>
          <w:tcPr>
            <w:tcW w:w="61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61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Selling expense </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115,386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139,523</w:t>
            </w:r>
          </w:p>
        </w:tc>
        <w:tc>
          <w:tcPr>
            <w:tcW w:w="80" w:type="dxa"/>
            <w:vAlign w:val="bottom"/>
            <w:shd w:val="clear" w:color="auto" w:fill="CFF0FC"/>
          </w:tcPr>
          <w:p>
            <w:pPr>
              <w:spacing w:after="0"/>
              <w:rPr>
                <w:sz w:val="18"/>
                <w:szCs w:val="18"/>
                <w:color w:val="auto"/>
              </w:rPr>
            </w:pPr>
          </w:p>
        </w:tc>
      </w:tr>
      <w:tr>
        <w:trPr>
          <w:trHeight w:val="216"/>
        </w:trPr>
        <w:tc>
          <w:tcPr>
            <w:tcW w:w="61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expense </w:t>
            </w:r>
            <w:r>
              <w:rPr>
                <w:rFonts w:ascii="Times New Roman" w:cs="Times New Roman" w:eastAsia="Times New Roman" w:hAnsi="Times New Roman"/>
                <w:sz w:val="24"/>
                <w:szCs w:val="24"/>
                <w:color w:val="auto"/>
                <w:vertAlign w:val="superscript"/>
              </w:rPr>
              <w:t>(2)</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58,755</w:t>
            </w:r>
          </w:p>
        </w:tc>
        <w:tc>
          <w:tcPr>
            <w:tcW w:w="80" w:type="dxa"/>
            <w:vAlign w:val="bottom"/>
          </w:tcPr>
          <w:p>
            <w:pPr>
              <w:spacing w:after="0"/>
              <w:rPr>
                <w:sz w:val="18"/>
                <w:szCs w:val="18"/>
                <w:color w:val="auto"/>
              </w:rPr>
            </w:pPr>
          </w:p>
        </w:tc>
      </w:tr>
      <w:tr>
        <w:trPr>
          <w:trHeight w:val="216"/>
        </w:trPr>
        <w:tc>
          <w:tcPr>
            <w:tcW w:w="616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(3)</w:t>
            </w: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12,278</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177,540</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213,001</w:t>
            </w:r>
          </w:p>
        </w:tc>
        <w:tc>
          <w:tcPr>
            <w:tcW w:w="8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-170815</wp:posOffset>
            </wp:positionV>
            <wp:extent cx="603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95123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480" w:right="180" w:hanging="383"/>
        <w:spacing w:after="0" w:line="255" w:lineRule="auto"/>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 for the six months ended June 30, 2022 and 2021 was $115.4 million and $139.5 million, respectively, a decrease of $24.1 million, or 17%. This decrease is primarily due to a reduction in costs associated with our September 2021 Go-to-Market strategy resulting in decreased promotional initiatives, reduced travel and a decrease in our U.S. sales force.</w:t>
      </w:r>
    </w:p>
    <w:p>
      <w:pPr>
        <w:spacing w:after="0" w:line="1" w:lineRule="exact"/>
        <w:rPr>
          <w:rFonts w:ascii="Times New Roman" w:cs="Times New Roman" w:eastAsia="Times New Roman" w:hAnsi="Times New Roman"/>
          <w:sz w:val="18"/>
          <w:szCs w:val="18"/>
          <w:color w:val="auto"/>
        </w:rPr>
      </w:pPr>
    </w:p>
    <w:p>
      <w:pPr>
        <w:ind w:left="480" w:right="40" w:hanging="383"/>
        <w:spacing w:after="0" w:line="261" w:lineRule="auto"/>
        <w:tabs>
          <w:tab w:leader="none" w:pos="4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and administrative expense for the six months ended June 30, 2022 and 2021 was $49.9 million and $58.8 million, respectively, a decrease of $8.9 million, or 15%. This decrease is primarily due to a decrease in employee related costs as a result of the reduction in force from the September 2021 Go-to-Market strategy. The decrease was further impacted due to a decrease in branded pharma fees as a result of lower sales due to</w:t>
      </w:r>
    </w:p>
    <w:p>
      <w:pPr>
        <w:ind w:left="480"/>
        <w:spacing w:after="0" w:line="238" w:lineRule="auto"/>
        <w:rPr>
          <w:sz w:val="20"/>
          <w:szCs w:val="20"/>
          <w:color w:val="auto"/>
        </w:rPr>
      </w:pPr>
      <w:r>
        <w:rPr>
          <w:rFonts w:ascii="Times New Roman" w:cs="Times New Roman" w:eastAsia="Times New Roman" w:hAnsi="Times New Roman"/>
          <w:sz w:val="18"/>
          <w:szCs w:val="18"/>
          <w:color w:val="auto"/>
        </w:rPr>
        <w:t>additional generic entrants in the market.</w:t>
      </w: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7" w:name="page38"/>
    <w:bookmarkEnd w:id="37"/>
    <w:p>
      <w:pPr>
        <w:ind w:left="480" w:hanging="383"/>
        <w:spacing w:after="0" w:line="250"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the six months ended June 30, 2022 and 2021 was $12.3 million and $14.7 million, respectively, a decrease of $2.4 million, or 17%. Non-cash stock-based compensation expense represents the estimated costs associated with equity awards issued to internal personnel supporting our selling, general and administrative functions. The decrease is primarily due to the decrease in U.S. field force as well as a reversal of expenses related to certain awards.</w:t>
      </w:r>
    </w:p>
    <w:p>
      <w:pPr>
        <w:spacing w:after="0" w:line="56"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We are investing in building an appropriate foundation for the successful launch of VAZKEPA throughout Europe, advancing regulatory filings internationally and navigating the dynamic U.S. environment. As a result, we will continue to evaluate all of our spending commitments and priorities as well as adjust our level of education and promotional activities based on various factors, including the impact of COVID-19 and U.S. generic competition.</w:t>
      </w:r>
    </w:p>
    <w:p>
      <w:pPr>
        <w:spacing w:after="0" w:line="202"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for the six months ended June 30, 2022 and 2021 was $19.4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$15.7 million, respectively, an increase of $3.7 million, or 23%. Research and development expenses for the six months ended June 30, 2022 and 2021 are summarized in the table below:</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2"/>
                <w:szCs w:val="12"/>
                <w:color w:val="auto"/>
              </w:rPr>
            </w:pPr>
          </w:p>
        </w:tc>
        <w:tc>
          <w:tcPr>
            <w:tcW w:w="980" w:type="dxa"/>
            <w:vAlign w:val="bottom"/>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160" w:type="dxa"/>
            <w:vAlign w:val="bottom"/>
            <w:vMerge w:val="restart"/>
          </w:tcPr>
          <w:p>
            <w:pPr>
              <w:spacing w:after="0" w:line="204" w:lineRule="exact"/>
              <w:rPr>
                <w:sz w:val="20"/>
                <w:szCs w:val="20"/>
                <w:color w:val="auto"/>
              </w:rPr>
            </w:pPr>
            <w:r>
              <w:rPr>
                <w:rFonts w:ascii="Times New Roman" w:cs="Times New Roman" w:eastAsia="Times New Roman" w:hAnsi="Times New Roman"/>
                <w:sz w:val="17"/>
                <w:szCs w:val="17"/>
                <w:color w:val="auto"/>
              </w:rPr>
              <w:t xml:space="preserve">REDUCE-IT study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160" w:type="dxa"/>
            <w:vAlign w:val="bottom"/>
            <w:vMerge w:val="continue"/>
          </w:tcPr>
          <w:p>
            <w:pPr>
              <w:spacing w:after="0"/>
              <w:rPr>
                <w:sz w:val="13"/>
                <w:szCs w:val="13"/>
                <w:color w:val="auto"/>
              </w:rPr>
            </w:pPr>
          </w:p>
        </w:tc>
        <w:tc>
          <w:tcPr>
            <w:tcW w:w="280" w:type="dxa"/>
            <w:vAlign w:val="bottom"/>
          </w:tcPr>
          <w:p>
            <w:pPr>
              <w:jc w:val="right"/>
              <w:ind w:right="90"/>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1,194</w:t>
            </w:r>
          </w:p>
        </w:tc>
        <w:tc>
          <w:tcPr>
            <w:tcW w:w="240" w:type="dxa"/>
            <w:vAlign w:val="bottom"/>
            <w:vMerge w:val="continue"/>
          </w:tcPr>
          <w:p>
            <w:pPr>
              <w:spacing w:after="0"/>
              <w:rPr>
                <w:sz w:val="13"/>
                <w:szCs w:val="13"/>
                <w:color w:val="auto"/>
              </w:rPr>
            </w:pPr>
          </w:p>
        </w:tc>
        <w:tc>
          <w:tcPr>
            <w:tcW w:w="280" w:type="dxa"/>
            <w:vAlign w:val="bottom"/>
          </w:tcPr>
          <w:p>
            <w:pPr>
              <w:jc w:val="right"/>
              <w:ind w:right="90"/>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2,069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Regulatory filing fees and expenses </w:t>
            </w:r>
            <w:r>
              <w:rPr>
                <w:rFonts w:ascii="Times New Roman" w:cs="Times New Roman" w:eastAsia="Times New Roman" w:hAnsi="Times New Roman"/>
                <w:sz w:val="24"/>
                <w:szCs w:val="24"/>
                <w:color w:val="auto"/>
                <w:vertAlign w:val="superscript"/>
              </w:rPr>
              <w:t>(2)</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616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Internal staffing, overhead and other </w:t>
            </w:r>
            <w:r>
              <w:rPr>
                <w:rFonts w:ascii="Times New Roman" w:cs="Times New Roman" w:eastAsia="Times New Roman" w:hAnsi="Times New Roman"/>
                <w:sz w:val="24"/>
                <w:szCs w:val="24"/>
                <w:color w:val="auto"/>
                <w:vertAlign w:val="superscript"/>
              </w:rPr>
              <w:t>(3)</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14,159</w:t>
            </w:r>
          </w:p>
        </w:tc>
        <w:tc>
          <w:tcPr>
            <w:tcW w:w="2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616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Research and development expense, excluding non-cash expense</w:t>
            </w:r>
          </w:p>
        </w:tc>
        <w:tc>
          <w:tcPr>
            <w:tcW w:w="280" w:type="dxa"/>
            <w:vAlign w:val="bottom"/>
          </w:tcPr>
          <w:p>
            <w:pPr>
              <w:spacing w:after="0"/>
              <w:rPr>
                <w:sz w:val="13"/>
                <w:szCs w:val="13"/>
                <w:color w:val="auto"/>
              </w:rPr>
            </w:pPr>
          </w:p>
        </w:tc>
        <w:tc>
          <w:tcPr>
            <w:tcW w:w="9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16,507</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14,054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616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(4)</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2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19,407</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-864870</wp:posOffset>
            </wp:positionV>
            <wp:extent cx="5700395"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-591185</wp:posOffset>
            </wp:positionV>
            <wp:extent cx="5700395"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-307975</wp:posOffset>
            </wp:positionV>
            <wp:extent cx="5700395" cy="145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205" w:lineRule="exact"/>
        <w:rPr>
          <w:sz w:val="20"/>
          <w:szCs w:val="20"/>
          <w:color w:val="auto"/>
        </w:rPr>
      </w:pPr>
    </w:p>
    <w:p>
      <w:pPr>
        <w:ind w:left="520" w:right="120" w:hanging="512"/>
        <w:spacing w:after="0" w:line="258"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2018, we announced landmark positive topline results of the REDUCE-IT cardiovascular outcomes trial. The decrease in expenses is primarily driven by the completion in the prior year of certain analyses performed beyond the REDUCE-IT cardiovascular outcomes trial.</w:t>
      </w:r>
    </w:p>
    <w:p>
      <w:pPr>
        <w:ind w:left="520" w:right="40" w:hanging="512"/>
        <w:spacing w:after="0" w:line="265" w:lineRule="auto"/>
        <w:tabs>
          <w:tab w:leader="none" w:pos="5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regulatory filing fees in each of the quarters ended June 30, 2022 and 2021 included annual U.S. FDA fees for maintaining manufacturing sites. Such fees primarily represent fees for qualification of new suppliers, including increasing capacity capabilities, and fees to support international regulatory review of VASCEPA, particularly in Europe, sites used for the manufacture of product used in the REDUCE-IT clinical outcomes study.</w:t>
      </w:r>
    </w:p>
    <w:p>
      <w:pPr>
        <w:ind w:left="520" w:hanging="512"/>
        <w:spacing w:after="0" w:line="250"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including costs associated with securing regulatory approvals for VAZKEPA in Europe as achieved in 2021. Also included are costs related to qualifying suppliers, costs related to the development of a fixed dose combination product and costs associated with various other investigations, including other costs in collaboration with Mochida and pilot studies regarding VASCEPA.</w:t>
      </w:r>
    </w:p>
    <w:p>
      <w:pPr>
        <w:spacing w:after="0" w:line="1" w:lineRule="exact"/>
        <w:rPr>
          <w:rFonts w:ascii="Times New Roman" w:cs="Times New Roman" w:eastAsia="Times New Roman" w:hAnsi="Times New Roman"/>
          <w:sz w:val="18"/>
          <w:szCs w:val="18"/>
          <w:color w:val="auto"/>
        </w:rPr>
      </w:pPr>
    </w:p>
    <w:p>
      <w:pPr>
        <w:ind w:left="520" w:right="320" w:hanging="512"/>
        <w:spacing w:after="0" w:line="250"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estimated costs associated with equity awards issued to personnel supporting our research and development and regulatory functions. The increase is due to the reversal of expense occurring in the previous year associated with certain performance-based awards as it was no longer deemed probable at the time that the performance criteria for vesting would be achieved within the required timeframe.</w:t>
      </w:r>
    </w:p>
    <w:p>
      <w:pPr>
        <w:spacing w:after="0" w:line="6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We continuously evaluate all of our spending commitments and priorities and we plan to adjust our level of research and development activities based on the impact of COVID-19 and generic competition.</w:t>
      </w:r>
    </w:p>
    <w:p>
      <w:pPr>
        <w:spacing w:after="0" w:line="106" w:lineRule="exact"/>
        <w:rPr>
          <w:sz w:val="20"/>
          <w:szCs w:val="20"/>
          <w:color w:val="auto"/>
        </w:rPr>
      </w:pPr>
    </w:p>
    <w:p>
      <w:pPr>
        <w:ind w:right="10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Restructuring expense</w:t>
      </w:r>
      <w:r>
        <w:rPr>
          <w:rFonts w:ascii="Times New Roman" w:cs="Times New Roman" w:eastAsia="Times New Roman" w:hAnsi="Times New Roman"/>
          <w:sz w:val="18"/>
          <w:szCs w:val="18"/>
          <w:color w:val="auto"/>
        </w:rPr>
        <w:t>. Restructuring expense for the six months ended June 30, 2022 and 2021 was $10.2 million and nil, respectively. The charge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is due to the implementation of the Comprehensive Cost Reduction Plan announced on June 6, 2022, which primarily related to the reduction of our U.S. field force from approximately 300 sales representatives to approximately 75 sales representatives. Refer to </w:t>
      </w:r>
      <w:r>
        <w:rPr>
          <w:rFonts w:ascii="Times New Roman" w:cs="Times New Roman" w:eastAsia="Times New Roman" w:hAnsi="Times New Roman"/>
          <w:sz w:val="18"/>
          <w:szCs w:val="18"/>
          <w:i w:val="1"/>
          <w:iCs w:val="1"/>
          <w:color w:val="auto"/>
        </w:rPr>
        <w:t>Note 2 Significant Accounting Policies</w:t>
      </w:r>
      <w:r>
        <w:rPr>
          <w:rFonts w:ascii="Times New Roman" w:cs="Times New Roman" w:eastAsia="Times New Roman" w:hAnsi="Times New Roman"/>
          <w:sz w:val="18"/>
          <w:szCs w:val="18"/>
          <w:color w:val="auto"/>
        </w:rPr>
        <w:t xml:space="preserve"> for additional information.</w:t>
      </w:r>
    </w:p>
    <w:p>
      <w:pPr>
        <w:spacing w:after="0" w:line="214" w:lineRule="exact"/>
        <w:rPr>
          <w:sz w:val="20"/>
          <w:szCs w:val="20"/>
          <w:color w:val="auto"/>
        </w:rPr>
      </w:pPr>
    </w:p>
    <w:p>
      <w:pPr>
        <w:jc w:val="both"/>
        <w:ind w:right="54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Interest income, net</w:t>
      </w:r>
      <w:r>
        <w:rPr>
          <w:rFonts w:ascii="Times New Roman" w:cs="Times New Roman" w:eastAsia="Times New Roman" w:hAnsi="Times New Roman"/>
          <w:sz w:val="18"/>
          <w:szCs w:val="18"/>
          <w:color w:val="auto"/>
        </w:rPr>
        <w:t>. Interest income, net for the six months ended June 30, 2022 and 2021 was $0.5 million and $0.8 million, respectively,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$0.3 million, or 35%. Interest income, net represents income earned on cash and investment balances. The decrease is primarily due to a decrease in the Company's cash balance and short-term and long-term investments.</w:t>
      </w:r>
    </w:p>
    <w:p>
      <w:pPr>
        <w:spacing w:after="0" w:line="215"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 Other expense, net, for the six months ended June 30, 2022 and 2021 was expense of $2.5 million and $0.3 million,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of $2.2 million, or 651%. Other expense, net, primarily consists of gains and losses on foreign exchange transactions. The increase in Other expense, net is due to the continued global expansion and related activity in foreign currencies.</w:t>
      </w:r>
    </w:p>
    <w:p>
      <w:pPr>
        <w:spacing w:after="0" w:line="134" w:lineRule="exact"/>
        <w:rPr>
          <w:sz w:val="20"/>
          <w:szCs w:val="20"/>
          <w:color w:val="auto"/>
        </w:rPr>
      </w:pPr>
    </w:p>
    <w:p>
      <w:pPr>
        <w:jc w:val="both"/>
        <w:ind w:right="420"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for the six months ended June 30, 2022 and 2021 was a provision of $8.4 million and $1.7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provision for the six months ended June 30, 2022 is the result of income generated by our U.S. and foreign operations for which tax expense has been recognized based on a full year estimated U.S. and foreign income tax liability.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Our aggregate sources of liquidity as of June 30, 2022 include cash and cash equivalents and restricted cash of $231.9 million, short-term investments of $85.2 million and long-term investments of $11.4 million, with no debt. Our cash and cash equivalents primarily include checking accounts and money market funds with original maturities less than 90 days. Our short-term investments consist of held-to-maturity securities that will be due in one year or less. Our long-term investments consist of held-to-maturity securities that will be due in more than one year.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w:t>
      </w:r>
    </w:p>
    <w:p>
      <w:pPr>
        <w:spacing w:after="0" w:line="73" w:lineRule="exact"/>
        <w:rPr>
          <w:sz w:val="20"/>
          <w:szCs w:val="20"/>
          <w:color w:val="auto"/>
        </w:rPr>
      </w:pPr>
    </w:p>
    <w:p>
      <w:pPr>
        <w:ind w:right="800" w:firstLine="509"/>
        <w:spacing w:after="0" w:line="266" w:lineRule="auto"/>
        <w:rPr>
          <w:sz w:val="20"/>
          <w:szCs w:val="20"/>
          <w:color w:val="auto"/>
        </w:rPr>
      </w:pPr>
      <w:r>
        <w:rPr>
          <w:rFonts w:ascii="Times New Roman" w:cs="Times New Roman" w:eastAsia="Times New Roman" w:hAnsi="Times New Roman"/>
          <w:sz w:val="18"/>
          <w:szCs w:val="18"/>
          <w:color w:val="auto"/>
        </w:rPr>
        <w:t>Our cash flows from operating, investing and financing activities, as reflected in the condensed consolidated statements of cash flows, are summarized in the following table:</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65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provided by:</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(163.4 )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(33.8 )</w:t>
            </w:r>
          </w:p>
        </w:tc>
      </w:tr>
      <w:tr>
        <w:trPr>
          <w:trHeight w:val="216"/>
        </w:trPr>
        <w:tc>
          <w:tcPr>
            <w:tcW w:w="6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8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(0.3 )</w:t>
            </w:r>
          </w:p>
        </w:tc>
        <w:tc>
          <w:tcPr>
            <w:tcW w:w="3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(4.8 )</w:t>
            </w:r>
          </w:p>
        </w:tc>
      </w:tr>
      <w:tr>
        <w:trPr>
          <w:trHeight w:val="249"/>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cash and cash equivalents and restricted cash</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-25400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Net cash used in operating activities increased during the six months ended June 30, 2022 as compared to the same period in 2021 is primarily as a result of a decrease in U.S. product revenue, costs associated with commercial and pre-launch operations in Europe as well as an increase in inventory purchases during 2022.</w:t>
      </w:r>
    </w:p>
    <w:p>
      <w:pPr>
        <w:spacing w:after="0" w:line="82"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Net cash provided by investing activities during the six months ended June 30, 2022 is primarily due to the proceeds from the maturity of $186.4 million in investment-grade interest bearing instruments, partially offset by $14.2 million in purchases of investment-grade interest bearing instruments as compared to the same period in 2021 where proceeds from the maturity of investment-grade interest bearing instruments was $253.1 million, partially offset by $74.5 million in purchases of investment-grade interest bearing instruments.</w:t>
      </w:r>
    </w:p>
    <w:p>
      <w:pPr>
        <w:spacing w:after="0" w:line="6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decreased during the six months ended June 30, 2022 as compared to the same period in 2021 is primarily as a result of costs associated with our stock compensation plan.</w:t>
      </w:r>
    </w:p>
    <w:p>
      <w:pPr>
        <w:spacing w:after="0" w:line="6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As of June 30, 2022, we had net accounts receivable of $143.9 million, current inventory of $225.8 million and long-term inventory of $210.3 million. We have incurred annual operating losses since our inception and, as a result, we had an accumulated deficit of $1.5 billion as of June 30, 2022. We anticipate that quarterly net cash outflows in future periods will continue to be variable as a result of the timing of certain items, including our purchases of API, the impact from COVID-19 on our operations, the generic competition in the United States as a result of our ANDA litigation and commercialization of VAZKEPA in Europe. In addition, our June 2022 Comprehensive Cost Reduction Plan to address current shifts within our U.S. business is expected to result in savings of $100.0 million over twelve months compared to 2021 operating expenses. For Europe, VAZKEPA is available in Germany and Sweden and we commenced pre-launch planning and other commercial preparation activities, and continue to grow our European staff by hiring Market access and Medical affairs teams, among others, across Europe as deemed appropriate on a country by country basis.</w:t>
      </w:r>
    </w:p>
    <w:p>
      <w:pPr>
        <w:spacing w:after="0" w:line="78"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We believe that our cash and cash equivalents of $228.0 million as of June 30, 2022 together with our short-term investments of $85.2 million as of June 30, 2022, will be sufficient to fund our projected operations for at least 12 months from the issuance date of our unaudited condensed consolidated financial statements included elsewhere in this Quarterly Report and is adequate to support continued operations based on our current plans. We have based this estimate on assumptions that may prove to be wrong, including as a result of the risks discussed under “Risk Factors” in this Quarterly Report and we could use our capital resources sooner than we expect or fail to achieve positive cash flow.</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08"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Our contractual obligations consist mainly of payments related to purchase obligations with certain supply chain contracting parties and operating leases related to real estate used as office space. There have been no material changes during the six months ended June 30, 2022 to our contractual obligations as presented in Part II, Item 7 of our Annual Report.</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special purpose entities or other off-balance sheet arrangements.</w:t>
      </w:r>
    </w:p>
    <w:p>
      <w:pPr>
        <w:spacing w:after="0" w:line="31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21" w:lineRule="exact"/>
        <w:rPr>
          <w:sz w:val="20"/>
          <w:szCs w:val="20"/>
          <w:color w:val="auto"/>
        </w:rPr>
      </w:pPr>
    </w:p>
    <w:p>
      <w:pPr>
        <w:ind w:right="180" w:firstLine="509"/>
        <w:spacing w:after="0" w:line="246" w:lineRule="auto"/>
        <w:rPr>
          <w:sz w:val="20"/>
          <w:szCs w:val="20"/>
          <w:color w:val="auto"/>
        </w:rPr>
      </w:pPr>
      <w:r>
        <w:rPr>
          <w:rFonts w:ascii="Times New Roman" w:cs="Times New Roman" w:eastAsia="Times New Roman" w:hAnsi="Times New Roman"/>
          <w:sz w:val="18"/>
          <w:szCs w:val="18"/>
          <w:color w:val="auto"/>
        </w:rPr>
        <w:t>There have been no material changes with respect to the information appearing in Part II, Item 7A “Quantitative and Qualitative Disclosures about Market Risk” of our Annual Report.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9" w:name="page40"/>
    <w:bookmarkEnd w:id="39"/>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or the Exchange Act) that are designed to ensure that information required to be disclosed by us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6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40" w:lineRule="exact"/>
        <w:rPr>
          <w:sz w:val="20"/>
          <w:szCs w:val="20"/>
          <w:color w:val="auto"/>
        </w:rPr>
      </w:pPr>
    </w:p>
    <w:p>
      <w:pPr>
        <w:jc w:val="both"/>
        <w:ind w:right="400" w:firstLine="509"/>
        <w:spacing w:after="0" w:line="250"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June 30, 2022. Based on such evaluation, our principal executive officer and principal financial officer have concluded that as of June 30, 2022, our disclosure controls and procedures were effective at the reasonable assurance level.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jc w:val="both"/>
        <w:ind w:right="20" w:firstLine="509"/>
        <w:spacing w:after="0" w:line="247" w:lineRule="auto"/>
        <w:rPr>
          <w:sz w:val="20"/>
          <w:szCs w:val="20"/>
          <w:color w:val="auto"/>
        </w:rPr>
      </w:pPr>
      <w:r>
        <w:rPr>
          <w:rFonts w:ascii="Times New Roman" w:cs="Times New Roman" w:eastAsia="Times New Roman" w:hAnsi="Times New Roman"/>
          <w:sz w:val="18"/>
          <w:szCs w:val="18"/>
          <w:color w:val="auto"/>
        </w:rPr>
        <w:t>During the quarter ended June 30, 2022, there were no changes in our internal control over financial reporting, as such term is defined in Rules 13a-15(f) and 15(d)-15(f) under the Exchange Act, that have materially affected, or are reasonably likely to materially affect, our internal control over financial reporting.</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44" w:right="399" w:bottom="1440" w:gutter="0" w:footer="0" w:header="0"/>
        </w:sectPr>
      </w:pPr>
    </w:p>
    <w:bookmarkStart w:id="40" w:name="page41"/>
    <w:bookmarkEnd w:id="4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08"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involved in lawsuits, claims, investigations, proceedings, and threats of litigation relating to intellectual property, commercial arrangements and other matters. “Item 3. Legal Proceedings” of our Annual Report includes a discussion of our current legal proceedings. Refer to Note 5 – Commitments and Contingencies in this Quarterly Report for further details on our legal proceedings during the six months ended June 30, 2022.</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and VAZKEPA, collectively referred to as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74"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Except where denoted with an “*”, these risk factors have not been materially updated from our Annual Report on 10-K for the year ended December 31, 2021 filed with the SEC on March 1, 2022, or our Annual Report.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Risk Factors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be aware of in evaluating our business. These risks include, but are not limited to, the following:</w:t>
      </w:r>
    </w:p>
    <w:p>
      <w:pPr>
        <w:spacing w:after="0" w:line="47" w:lineRule="exact"/>
        <w:rPr>
          <w:sz w:val="20"/>
          <w:szCs w:val="20"/>
          <w:color w:val="auto"/>
        </w:rPr>
      </w:pPr>
    </w:p>
    <w:p>
      <w:pPr>
        <w:jc w:val="both"/>
        <w:ind w:left="900" w:right="20" w:hanging="383"/>
        <w:spacing w:after="0" w:line="234"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upon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its commercialization in the United States and its development, launch and commercialization in Europe and other major markets. In the United States, VASCEPA is facing increasing competition from generic versions of the drug. In Europe, VAZKEPA launched in Germany following approval from the central regulatory authority and we are in the process of obtaining relevant pricing approvals in various countries; however, we may not be successful in obtaining such approvals in a timely manner, or at all and, even if successfully obtained, we may not be successful in commercializing VAZKEPA in Europe or elsewhere.</w:t>
      </w:r>
    </w:p>
    <w:p>
      <w:pPr>
        <w:spacing w:after="0" w:line="91" w:lineRule="exact"/>
        <w:rPr>
          <w:rFonts w:ascii="Times New Roman" w:cs="Times New Roman" w:eastAsia="Times New Roman" w:hAnsi="Times New Roman"/>
          <w:sz w:val="18"/>
          <w:szCs w:val="18"/>
          <w:color w:val="auto"/>
        </w:rPr>
      </w:pPr>
    </w:p>
    <w:p>
      <w:pPr>
        <w:ind w:left="900" w:right="10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outside of our control make it more difficult for VASCEPA to achieve a level of market acceptance by physicians, patients, healthcare payors and others in the medical community at levels sufficient to meet our expectations for commercial success.</w:t>
      </w:r>
    </w:p>
    <w:p>
      <w:pPr>
        <w:spacing w:after="0" w:line="54" w:lineRule="exact"/>
        <w:rPr>
          <w:rFonts w:ascii="Times New Roman" w:cs="Times New Roman" w:eastAsia="Times New Roman" w:hAnsi="Times New Roman"/>
          <w:sz w:val="18"/>
          <w:szCs w:val="18"/>
          <w:color w:val="auto"/>
        </w:rPr>
      </w:pPr>
    </w:p>
    <w:p>
      <w:pPr>
        <w:ind w:left="900" w:right="6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scale, scope and duration of business interruptions caused by the ongoing COVID-19 pandemic and related recovery efforts are uncertain as the impact of the pandemic continues to cause negative effects on our business.</w:t>
      </w:r>
    </w:p>
    <w:p>
      <w:pPr>
        <w:spacing w:after="0" w:line="67" w:lineRule="exact"/>
        <w:rPr>
          <w:rFonts w:ascii="Times New Roman" w:cs="Times New Roman" w:eastAsia="Times New Roman" w:hAnsi="Times New Roman"/>
          <w:sz w:val="18"/>
          <w:szCs w:val="18"/>
          <w:color w:val="auto"/>
        </w:rPr>
      </w:pPr>
    </w:p>
    <w:p>
      <w:pPr>
        <w:ind w:left="900" w:right="32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recently announced cost and organizational restructuring plan may not be successful in addressing current shifts within the Company's U.S. business and developing sales internationally.</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promotion and supply of VASCEPA is subject to regulatory scrutiny and associated risk.</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effectively against our competitors’ pharmaceutical products.</w:t>
      </w:r>
    </w:p>
    <w:p>
      <w:pPr>
        <w:spacing w:after="0" w:line="103" w:lineRule="exact"/>
        <w:rPr>
          <w:rFonts w:ascii="Times New Roman" w:cs="Times New Roman" w:eastAsia="Times New Roman" w:hAnsi="Times New Roman"/>
          <w:sz w:val="18"/>
          <w:szCs w:val="18"/>
          <w:color w:val="auto"/>
        </w:rPr>
      </w:pPr>
    </w:p>
    <w:p>
      <w:pPr>
        <w:ind w:left="900" w:right="22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VASCEPA is a prescription-only omega-3 fatty acid product. Omega-3 fatty acids are also marketed by other companies as non-prescription dietary supplements. As a result, in the U.S., VASCEPA is subject to non-prescription competition and consumer substitution.</w:t>
      </w:r>
    </w:p>
    <w:p>
      <w:pPr>
        <w:spacing w:after="0" w:line="67" w:lineRule="exact"/>
        <w:rPr>
          <w:rFonts w:ascii="Times New Roman" w:cs="Times New Roman" w:eastAsia="Times New Roman" w:hAnsi="Times New Roman"/>
          <w:sz w:val="18"/>
          <w:szCs w:val="18"/>
          <w:color w:val="auto"/>
        </w:rPr>
      </w:pPr>
    </w:p>
    <w:p>
      <w:pPr>
        <w:ind w:left="900" w:right="120" w:hanging="383"/>
        <w:spacing w:after="0" w:line="250"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value of VASCEPA outside the United States may be smaller than we anticipate, including adequacy of product reimbursement which can vary from country to country. If we are unable to realize product reimbursement rates at reasonable levels, or at all, patient access to VASCEPA may be limited.</w:t>
      </w:r>
    </w:p>
    <w:p>
      <w:pPr>
        <w:spacing w:after="0" w:line="82" w:lineRule="exact"/>
        <w:rPr>
          <w:rFonts w:ascii="Times New Roman" w:cs="Times New Roman" w:eastAsia="Times New Roman" w:hAnsi="Times New Roman"/>
          <w:sz w:val="18"/>
          <w:szCs w:val="18"/>
          <w:color w:val="auto"/>
        </w:rPr>
      </w:pPr>
    </w:p>
    <w:p>
      <w:pPr>
        <w:ind w:left="900" w:right="60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supply of product for the commercial market and clinical trials is dependent upon relationships with third-party manufacturers and suppliers.</w:t>
      </w:r>
    </w:p>
    <w:p>
      <w:pPr>
        <w:spacing w:after="0" w:line="54"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in the distribution channel from our manufacturers to patients subject us to risks that limit our profitability and could limit our ability to supply VASCEPA to large market segments.</w:t>
      </w:r>
    </w:p>
    <w:p>
      <w:pPr>
        <w:spacing w:after="0" w:line="40" w:lineRule="exact"/>
        <w:rPr>
          <w:rFonts w:ascii="Times New Roman" w:cs="Times New Roman" w:eastAsia="Times New Roman" w:hAnsi="Times New Roman"/>
          <w:sz w:val="18"/>
          <w:szCs w:val="18"/>
          <w:color w:val="auto"/>
        </w:rPr>
      </w:pPr>
    </w:p>
    <w:p>
      <w:pPr>
        <w:ind w:left="900" w:right="120" w:hanging="383"/>
        <w:spacing w:after="0" w:line="24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of VASCEPA outside the United States is substantially dependent on third parties and other circumstances outside our control.</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41" w:name="page42"/>
    <w:bookmarkEnd w:id="41"/>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patents, proprietary rights and confidentiality to protect the commercial value and potential of VASCEPA.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issued patents may not prevent competitors from competing with VASCEPA, even if we are successful in enforcing our patent rights.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any of our pending patent applications relating to VASCEPA or its use will issue as patents.</w:t>
      </w:r>
    </w:p>
    <w:p>
      <w:pPr>
        <w:spacing w:after="0" w:line="104"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and in the other information set forth in our Annual Report and this Quarterly Report on Form 10-Q, including our consolidated financial statements and the related notes, as well as in other documents that we file with the SEC. If any such risks and uncertainties actually occur, our business, prospects, financial condition and results of operations could be materially and adversely affected. The risks summarized above or described in full below are not the only risks that we face. Additional risks and uncertainties not currently known to us, or that we currently deem to be immaterial may also materially adversely affect our business, prospects,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and Development of VASCEPA</w:t>
      </w:r>
    </w:p>
    <w:p>
      <w:pPr>
        <w:spacing w:after="0" w:line="239" w:lineRule="exact"/>
        <w:rPr>
          <w:sz w:val="20"/>
          <w:szCs w:val="20"/>
          <w:color w:val="auto"/>
        </w:rPr>
      </w:pPr>
    </w:p>
    <w:p>
      <w:pPr>
        <w:ind w:right="40" w:firstLine="509"/>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upon VASCEPA (icosapent ethyl), its commercialization in the United States and its development, launch and commercialization in Europe and other major markets. In the United States, VASCEPA is facing increasing competition from generic versions of the drug. In Europe, VAZKEPA launched in Germany following approval from the central regulatory authority and we are in the process of obtaining relevant pricing approvals in various countries; however, we may not be successful in obtaining such approvals in a timely manner or at all and even if successfully obtained, we may not be successful in commercializing VAZKEPA in Europe or elsewhere.</w:t>
      </w:r>
    </w:p>
    <w:p>
      <w:pPr>
        <w:spacing w:after="0" w:line="69"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 success of our company depends on our ability to successfully commercialize our only product, VASCEPA (icosapent ethyl) capsules, in major markets globally. In recent years and currently, much of our financial results and revenue has been dependent on our ability to execute our development and commercial strategy for VASCEPA in the United States. Generic versions of VASCEPA launched in the United States in November 2020, June 2021 and January 2022. We expect that VASCEPA could face more competition from generic companies in the United States in the near term in light of the patent litigation rulings against us, applicable only in this territory. Increasing sales of generic versions of VASCEPA could continue to have a material and adverse impact on our revenues and results of operations in the United States. In June 2022, we implemented a cost and organizational restructuring plan, which included a further reduction to our U.S. commercial team from approximately 300 sales representatives to approximately 75 sales representatives. Although we believe this will result in an improved expense structure, such efforts could impact employee morale and make hiring and retaining talented personnel more challenging, may not result in all or any of the cost-savings or other benefits we anticipate and are costly to implement.</w:t>
      </w:r>
    </w:p>
    <w:p>
      <w:pPr>
        <w:spacing w:after="0" w:line="77" w:lineRule="exact"/>
        <w:rPr>
          <w:sz w:val="20"/>
          <w:szCs w:val="20"/>
          <w:color w:val="auto"/>
        </w:rPr>
      </w:pPr>
    </w:p>
    <w:p>
      <w:pPr>
        <w:ind w:firstLine="509"/>
        <w:spacing w:after="0" w:line="237" w:lineRule="auto"/>
        <w:rPr>
          <w:sz w:val="20"/>
          <w:szCs w:val="20"/>
          <w:color w:val="auto"/>
        </w:rPr>
      </w:pPr>
      <w:r>
        <w:rPr>
          <w:rFonts w:ascii="Times New Roman" w:cs="Times New Roman" w:eastAsia="Times New Roman" w:hAnsi="Times New Roman"/>
          <w:sz w:val="18"/>
          <w:szCs w:val="18"/>
          <w:color w:val="auto"/>
        </w:rPr>
        <w:t>We continue our development efforts to support commercialization of VASCEPA in major markets outside the United States. In March 2021 we announced that the European Commission, or the EC, approved the marketing authorization application for icosapent ethyl, under the brand name VAZKEPA, hereafter along with VASCEPA, collectively referred to as VASCEPA, to reduce the risk of cardiovascular events in high-risk, statin-treated adult patients who have elevated triglycerides (≥150 mg/dL) and either established cardiovascular disease or diabetes and at least one additional cardiovascular risk factor. In September 2021, we launched VAZKEPA in Germany, representing our first European launch. We are in the process of obtaining further pricing and reimbursement approvals for VAZKEPA in relevant jurisdictions in Europe. This process is conducted on a country-by-country basis and is time-consuming and complex. On March 25, 2022, Amarin received its first national reimbursement in a European country with official confirmation that the Swedish Dental and Pharmaceutical Benefits Agency, or TLV, approved VAZKEPA for national reimbursement in Sweden. On July 13, 2022 the UK’s National Institute for Health and Care Excellence, or NICE, announced final guidance for reimbursement for VAZKEPA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use across the National Health Service, or NHS, in England and Wales to reduce the risk of CV events in adult statin-treated patients at high cardiovascular risk who have elevated triglycerides (≥150 mg/dL [≥ 1.7 mmol/L]), LDL-C levels &gt;1.04 mmol/L (and ≤ 2.60 mmol/L) and established cardiovascular disease. In June 2022 HLS Therapeutics Inc., or HLS, entered into Product Listing Agreements with New Brunswick, Northwest Territories and the non-insurance health benefits, for the listing and public reimbursement of VASCEPA on their respective Public Prescription Drug Insurance Plans. We may not be successful in obtaining additional approvals in a timely manner with acceptable terms, or in additional countries.</w:t>
      </w:r>
    </w:p>
    <w:p>
      <w:pPr>
        <w:spacing w:after="0" w:line="81" w:lineRule="exact"/>
        <w:rPr>
          <w:sz w:val="20"/>
          <w:szCs w:val="20"/>
          <w:color w:val="auto"/>
        </w:rPr>
      </w:pPr>
    </w:p>
    <w:p>
      <w:pPr>
        <w:jc w:val="both"/>
        <w:ind w:right="280" w:firstLine="509"/>
        <w:spacing w:after="0" w:line="280" w:lineRule="auto"/>
        <w:rPr>
          <w:sz w:val="20"/>
          <w:szCs w:val="20"/>
          <w:color w:val="auto"/>
        </w:rPr>
      </w:pPr>
      <w:r>
        <w:rPr>
          <w:rFonts w:ascii="Times New Roman" w:cs="Times New Roman" w:eastAsia="Times New Roman" w:hAnsi="Times New Roman"/>
          <w:sz w:val="17"/>
          <w:szCs w:val="17"/>
          <w:color w:val="auto"/>
        </w:rPr>
        <w:t>Our expansion and development of VASCEPA outside the United States is generally not subject to the adverse patent ruling in the United States. Development outside the United States is primarily based on the second indication approval for VASCEPA in the United States. That second indication, which we believe has significantly more value potential, is for use of the drug in the reduction of cardiovascular risk in select high-risk patients.</w:t>
      </w:r>
    </w:p>
    <w:p>
      <w:pPr>
        <w:spacing w:after="0" w:line="45" w:lineRule="exact"/>
        <w:rPr>
          <w:sz w:val="20"/>
          <w:szCs w:val="20"/>
          <w:color w:val="auto"/>
        </w:rPr>
      </w:pPr>
    </w:p>
    <w:p>
      <w:pPr>
        <w:ind w:right="160" w:firstLine="509"/>
        <w:spacing w:after="0" w:line="244" w:lineRule="auto"/>
        <w:rPr>
          <w:sz w:val="20"/>
          <w:szCs w:val="20"/>
          <w:color w:val="auto"/>
        </w:rPr>
      </w:pPr>
      <w:r>
        <w:rPr>
          <w:rFonts w:ascii="Times New Roman" w:cs="Times New Roman" w:eastAsia="Times New Roman" w:hAnsi="Times New Roman"/>
          <w:sz w:val="18"/>
          <w:szCs w:val="18"/>
          <w:color w:val="auto"/>
        </w:rPr>
        <w:t>We have been developing VAZKEPA on our own in Europe for the approved cardiovascular risk reduction indication and are exploring possible strategic collaborations in smaller markets within Europe and in other major markets. We currently have multiple partners for the development and commercialization of VASCEPA in select geographies and intend to assess potential partners to commercialize VASCEPA in other parts of the world. For example, we have strategic collaborations for the development and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2" w:name="page43"/>
    <w:bookmarkEnd w:id="42"/>
    <w:p>
      <w:pPr>
        <w:ind w:right="40"/>
        <w:spacing w:after="0" w:line="258" w:lineRule="auto"/>
        <w:rPr>
          <w:sz w:val="20"/>
          <w:szCs w:val="20"/>
          <w:color w:val="auto"/>
        </w:rPr>
      </w:pPr>
      <w:r>
        <w:rPr>
          <w:rFonts w:ascii="Times New Roman" w:cs="Times New Roman" w:eastAsia="Times New Roman" w:hAnsi="Times New Roman"/>
          <w:sz w:val="18"/>
          <w:szCs w:val="18"/>
          <w:color w:val="auto"/>
        </w:rPr>
        <w:t>commercialization of VASCEPA in Canada, the Middle East and Greater China. However, we cannot make any guarantees as to the success of these efforts or that our beliefs about the value potential are accurate, and if commercialization plans for VASCEPA do not meet expectations in major markets such as the United States and Europe, our business and prospects could be materially and adversely affected.</w:t>
      </w:r>
    </w:p>
    <w:p>
      <w:pPr>
        <w:spacing w:after="0" w:line="6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development and commercial time cycle for VASCEPA or other products that we may develop from our research and development efforts could result in delays in our ability to achieve commercial success. For example, it took over a decade of preceding product development before we received marketing approval for VAZKEPA in March 2021 from the EC.</w:t>
      </w:r>
    </w:p>
    <w:p>
      <w:pPr>
        <w:spacing w:after="0" w:line="61"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Likewise, if we seek to diversify our development programs or product offerings through licensing or acquisitions, such transactions are also time-consuming, may be dilutive to existing shareholdings, and can be disruptive to operations. These transactions may not be available on favorable terms, or at all. These dynamics can restrict our ability to respond rapidly to adverse business conditions for VASCEPA. If development of, or demand for, VASCEPA does not meet expectations,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18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*In the United States, we face increasing competition from generic drug companies in the near term and our revenues and results of operations could continue to be materially and adversely affected.</w:t>
      </w:r>
    </w:p>
    <w:p>
      <w:pPr>
        <w:spacing w:after="0" w:line="64"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and certain of their affiliates, or, collectively, the Defendants, that declared as invalid several patents of ours protecting the first U.S. FDA-approved use of our drug, for use to reduce severely high triglyceride levels, which is known as the MARINE indication. We sought appeals of the Nevada Court judgment up to the United States Supreme Court, but, we were unsuccessful.</w:t>
      </w:r>
    </w:p>
    <w:p>
      <w:pPr>
        <w:spacing w:after="0" w:line="73" w:lineRule="exact"/>
        <w:rPr>
          <w:sz w:val="20"/>
          <w:szCs w:val="20"/>
          <w:color w:val="auto"/>
        </w:rPr>
      </w:pPr>
    </w:p>
    <w:p>
      <w:pPr>
        <w:ind w:right="120" w:firstLine="509"/>
        <w:spacing w:after="0" w:line="245" w:lineRule="auto"/>
        <w:rPr>
          <w:sz w:val="20"/>
          <w:szCs w:val="20"/>
          <w:color w:val="auto"/>
        </w:rPr>
      </w:pPr>
      <w:r>
        <w:rPr>
          <w:rFonts w:ascii="Times New Roman" w:cs="Times New Roman" w:eastAsia="Times New Roman" w:hAnsi="Times New Roman"/>
          <w:sz w:val="18"/>
          <w:szCs w:val="18"/>
          <w:color w:val="auto"/>
        </w:rPr>
        <w:t>In November 2020, Hikma launched its generic version of VASCEPA on a limited scale and with a label that reflects the MARINE indication, and revised labeling based on the results of the REDUCE-IT trial. On November 30, 2020, we filed a patent infringement lawsuit against a Hikma affiliate for making, selling, offering to sell and importing generic icosapent ethyl capsules in and into the United States in a manner that we allege has induced the infringement of patents covering the use of VASCEPA to reduce specified cardiovascular risk. On January 25, 2021 we expanded the scope of this patent infringement lawsuit to include a health care insurance provider, Health Net, LLC. On January 4, 2022, the district court hearing the case granted Hikma's motion to dismiss. We intend to appeal the decision of the district court when permitted and also continue to vigorously pursue our ongoing litigation with Health Net, LLC, but cannot predict the outcome or the impact on our business.</w:t>
      </w:r>
    </w:p>
    <w:p>
      <w:pPr>
        <w:spacing w:after="0" w:line="73"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In June 2021, Dr. Reddy's launched its generic version of VASCEPA with labeling that is substantially similar to labeling of the Hikma generic product. In addition to ANDAs approved for Hikma and Dr. Reddy’s, on September 11, 2020, Teva Pharmaceuticals USA, Inc’s., or Teva’s, ANDA was approved by the U.S. Food and Drug Administration, or U.S. FDA. On June 30, 2021, Apotex Inc.'s, or Apotex's, ANDA was approved by the U.S. FDA. In January 2022, Apotex launched its generic version of VASCEPA with labeling that is substantially consistent with the labeling of the Hikma and Dr. Reddy's generic product, not the cardiovascular risk reduction indication.</w:t>
      </w:r>
    </w:p>
    <w:p>
      <w:pPr>
        <w:spacing w:after="0" w:line="69"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The rulings of the Nevada Court and related appeal losses detailed above could permit each of Teva and Apotex to launch a generic version of VASCEPA under certain circumstances pursuant to their respective settlement agreement with us. For example, Teva and Apotex settlement agreements permit such companies to launch their generic version of VASCEPA under royalty-free licenses from us given that our petition for en banc Federal Circuit review was not granted, after issuance of the Federal Circuit mandate on November 12, 2020. Each generic launch is subject to procurement of adequate product supply.</w:t>
      </w:r>
    </w:p>
    <w:p>
      <w:pPr>
        <w:spacing w:after="0" w:line="87" w:lineRule="exact"/>
        <w:rPr>
          <w:sz w:val="20"/>
          <w:szCs w:val="20"/>
          <w:color w:val="auto"/>
        </w:rPr>
      </w:pPr>
    </w:p>
    <w:p>
      <w:pPr>
        <w:ind w:right="100" w:firstLine="494"/>
        <w:spacing w:after="0" w:line="243" w:lineRule="auto"/>
        <w:rPr>
          <w:sz w:val="20"/>
          <w:szCs w:val="20"/>
          <w:color w:val="auto"/>
        </w:rPr>
      </w:pPr>
      <w:r>
        <w:rPr>
          <w:rFonts w:ascii="Times New Roman" w:cs="Times New Roman" w:eastAsia="Times New Roman" w:hAnsi="Times New Roman"/>
          <w:sz w:val="18"/>
          <w:szCs w:val="18"/>
          <w:color w:val="auto"/>
        </w:rPr>
        <w:t>Generally, once a generic version of a drug is available in the market, the generic version is typically used in many U.S. states to fill a prescription for any use of the drug, subject, to state reimbursement laws. Although, in our case, use of generic versions of VASCEPA, whether with primarily a MARINE indication label or REDUCE-IT indication label, could be further subject to the potential for patent infringement under certain case law and subject to certain Teva and Apotex settlement agreement terms, we currently face generic competition from Hikma's and Dr. Reddy’s generic versions of VASCEPA in the United States, and could face increased competition from these or additional generic entrants in the near term, which could have a material and adverse impact on our revenues and our results of operations. There can be no assurance that we will be successful in preventing use of generic versions of VASCEPA in indications for which they have not been approved by U.S. FDA, even if such use is determined to infringe certain of our patent claims.</w:t>
      </w:r>
    </w:p>
    <w:p>
      <w:pPr>
        <w:spacing w:after="0" w:line="78" w:lineRule="exact"/>
        <w:rPr>
          <w:sz w:val="20"/>
          <w:szCs w:val="20"/>
          <w:color w:val="auto"/>
        </w:rPr>
      </w:pPr>
    </w:p>
    <w:p>
      <w:pPr>
        <w:ind w:firstLine="255"/>
        <w:spacing w:after="0" w:line="244" w:lineRule="auto"/>
        <w:rPr>
          <w:sz w:val="20"/>
          <w:szCs w:val="20"/>
          <w:color w:val="auto"/>
        </w:rPr>
      </w:pPr>
      <w:r>
        <w:rPr>
          <w:rFonts w:ascii="Times New Roman" w:cs="Times New Roman" w:eastAsia="Times New Roman" w:hAnsi="Times New Roman"/>
          <w:sz w:val="18"/>
          <w:szCs w:val="18"/>
          <w:color w:val="auto"/>
        </w:rPr>
        <w:t>Although we continue to believe that VASCEPA is difficult to manufacture and that building capacity to manufacture VASCEPA would be time-consuming and expensive for generic companies, such as Hikma, Dr. Reddy and Apotex, we do not have direct visibility into the supply levels of any of the generic companies and we rely on our own experience together with information from third parties, which information may not be reliable. As such, generic companies could potentially find or develop sources of qualified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3" w:name="page44"/>
    <w:bookmarkEnd w:id="43"/>
    <w:p>
      <w:pPr>
        <w:spacing w:after="0" w:line="282" w:lineRule="auto"/>
        <w:rPr>
          <w:sz w:val="20"/>
          <w:szCs w:val="20"/>
          <w:color w:val="auto"/>
        </w:rPr>
      </w:pPr>
      <w:r>
        <w:rPr>
          <w:rFonts w:ascii="Times New Roman" w:cs="Times New Roman" w:eastAsia="Times New Roman" w:hAnsi="Times New Roman"/>
          <w:sz w:val="18"/>
          <w:szCs w:val="18"/>
          <w:color w:val="auto"/>
        </w:rPr>
        <w:t>VASCEPA supply that are not known to us and that are more efficient or less expensive than our sources. Furthermore, generic companies could potentially convince suppliers to prioritize supply to the generic companies.</w:t>
      </w:r>
    </w:p>
    <w:p>
      <w:pPr>
        <w:spacing w:after="0" w:line="171" w:lineRule="exact"/>
        <w:rPr>
          <w:sz w:val="20"/>
          <w:szCs w:val="20"/>
          <w:color w:val="auto"/>
        </w:rPr>
      </w:pPr>
    </w:p>
    <w:p>
      <w:pPr>
        <w:ind w:right="3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company in commercializing VASCEPA outside of the United States and may be unsuccessful in developing sales internationally.</w:t>
      </w:r>
    </w:p>
    <w:p>
      <w:pPr>
        <w:spacing w:after="0" w:line="63"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While we have been working internally and with partners to support efforts toward approvals and commercialization outside the United States in light of the REDUCE-IT results and the EC approval of VAZKEPA, we may be unsuccessful in expanding our global footprint. For example, we are launching VAZKEPA on our own in the most commercially significant markets in Europe and launched VAZKEPA in Germany, representing our first European launch. The commercial launch of a new pharmaceutical product is a complex and resource heavy undertaking for a company to manage, and we have no prior experience as a company operating a commercial-stage pharmaceutical business in Europe. Given the amount of time and resources, including capital, needed to support regulatory and commercial efforts aimed at international expansion, if we are unsuccessful or delayed in generating revenues overseas, our results of operations could be materially and adversely impacted.</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could inhibit our efforts to successfully commercialize VASCEPA include:</w:t>
      </w:r>
    </w:p>
    <w:p>
      <w:pPr>
        <w:spacing w:after="0" w:line="104" w:lineRule="exact"/>
        <w:rPr>
          <w:sz w:val="20"/>
          <w:szCs w:val="20"/>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expiration of regulatory exclusivities and entry into the market of additional generic versions of VASCEPA;</w:t>
      </w:r>
    </w:p>
    <w:p>
      <w:pPr>
        <w:spacing w:after="0" w:line="103"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and retain adequate numbers of effective sales and marketing personnel, particularly in light of our recent reductions in force;</w:t>
      </w:r>
    </w:p>
    <w:p>
      <w:pPr>
        <w:spacing w:after="0" w:line="40" w:lineRule="exact"/>
        <w:rPr>
          <w:rFonts w:ascii="Times New Roman" w:cs="Times New Roman" w:eastAsia="Times New Roman" w:hAnsi="Times New Roman"/>
          <w:sz w:val="18"/>
          <w:szCs w:val="18"/>
          <w:color w:val="auto"/>
        </w:rPr>
      </w:pPr>
    </w:p>
    <w:p>
      <w:pPr>
        <w:ind w:left="900" w:right="680" w:hanging="383"/>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adequately train our sales and marketing personnel and our inability to adequately monitor compliance with applicable regulatory and other legal requirements;</w:t>
      </w:r>
    </w:p>
    <w:p>
      <w:pPr>
        <w:spacing w:after="0" w:line="67" w:lineRule="exact"/>
        <w:rPr>
          <w:rFonts w:ascii="Times New Roman" w:cs="Times New Roman" w:eastAsia="Times New Roman" w:hAnsi="Times New Roman"/>
          <w:sz w:val="18"/>
          <w:szCs w:val="18"/>
          <w:color w:val="auto"/>
        </w:rPr>
      </w:pPr>
    </w:p>
    <w:p>
      <w:pPr>
        <w:ind w:left="900" w:right="420" w:hanging="383"/>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overestimated the addressable market, the inability of our sales personnel, to obtain access to or persuade adequate numbers of physicians to prescribe or patients to use VASCEPA;</w:t>
      </w:r>
    </w:p>
    <w:p>
      <w:pPr>
        <w:spacing w:after="0" w:line="54"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impose restrictions on VASCEPA’s conditions for use, distribution or marketing, and may impose ongoing requirements for post-market surveillance, post-approval studies or clinical trials, which may be costly or result in label or other use restrictions;</w:t>
      </w:r>
    </w:p>
    <w:p>
      <w:pPr>
        <w:spacing w:after="0" w:line="40" w:lineRule="exact"/>
        <w:rPr>
          <w:rFonts w:ascii="Times New Roman" w:cs="Times New Roman" w:eastAsia="Times New Roman" w:hAnsi="Times New Roman"/>
          <w:sz w:val="18"/>
          <w:szCs w:val="18"/>
          <w:color w:val="auto"/>
        </w:rPr>
      </w:pPr>
    </w:p>
    <w:p>
      <w:pPr>
        <w:ind w:left="900" w:right="140" w:hanging="383"/>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challenges in connection with pricing and reimbursement, including our ability to secure adequate reimbursement coverage, which in Europe is almost exclusively covered through public national funding, and not individual private insurance companies;</w:t>
      </w:r>
    </w:p>
    <w:p>
      <w:pPr>
        <w:spacing w:after="0" w:line="67" w:lineRule="exact"/>
        <w:rPr>
          <w:rFonts w:ascii="Times New Roman" w:cs="Times New Roman" w:eastAsia="Times New Roman" w:hAnsi="Times New Roman"/>
          <w:sz w:val="18"/>
          <w:szCs w:val="18"/>
          <w:color w:val="auto"/>
        </w:rPr>
      </w:pPr>
    </w:p>
    <w:p>
      <w:pPr>
        <w:ind w:left="900" w:right="280" w:hanging="383"/>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by us or our partners to obtain regulatory and marketing approval or establish marketing channels in foreign jurisdictions;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operating a new independent sales and marketing organization; and</w:t>
      </w:r>
    </w:p>
    <w:p>
      <w:pPr>
        <w:spacing w:after="0" w:line="117" w:lineRule="exact"/>
        <w:rPr>
          <w:rFonts w:ascii="Times New Roman" w:cs="Times New Roman" w:eastAsia="Times New Roman" w:hAnsi="Times New Roman"/>
          <w:sz w:val="18"/>
          <w:szCs w:val="18"/>
          <w:color w:val="auto"/>
        </w:rPr>
      </w:pPr>
    </w:p>
    <w:p>
      <w:pPr>
        <w:ind w:left="900" w:right="400" w:hanging="383"/>
        <w:spacing w:after="0" w:line="250"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impact from COVID-19 on healthcare providers, patients and personnel which may vary considerably from jurisdiction to jurisdiction, as well as on local restrictions and practices, including the complexities of having to understand and navigate multiple sets of protocols and the accessibility and rates of vaccinations in various geographies.</w:t>
      </w:r>
    </w:p>
    <w:p>
      <w:pPr>
        <w:spacing w:after="0" w:line="82"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If we experience one or more of the setbacks described above, we may not be able to pursue international regulatory and commercial efforts in a cost effective manner, or at all, which could cause our stock price to decline.</w:t>
      </w:r>
    </w:p>
    <w:p>
      <w:pPr>
        <w:spacing w:after="0" w:line="185" w:lineRule="exact"/>
        <w:rPr>
          <w:sz w:val="20"/>
          <w:szCs w:val="20"/>
          <w:color w:val="auto"/>
        </w:rPr>
      </w:pPr>
    </w:p>
    <w:p>
      <w:pPr>
        <w:ind w:right="8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meaningful revenues outside of the United States may be limited, including due to the strict price controls and reimbursement limitations imposed by payors outside of the United States.</w:t>
      </w:r>
    </w:p>
    <w:p>
      <w:pPr>
        <w:spacing w:after="0" w:line="37"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Our ability to generate meaningful revenues of VASCEPA outside of the United States is dependent on the availability and extent of coverage and reimbursement from third-party payors. In many markets around the world, these payors, including government health systems, private health insurers and other organizations, remain focused on reducing the cost of healthcare, and their efforts have intensified as a result of rising healthcare costs and economic challenges. Drugs remain heavily scrutinized for cost containment. As a result, payors are becoming more restrictive regarding the use of biopharmaceutical products and scrutinizing the prices of these products while requiring a higher level of clinical evidence to support the benefits such products bring to patients and the broader healthcare system. These pressures are intensified where our products are subject to competition, including from biosimilars.</w:t>
      </w:r>
    </w:p>
    <w:p>
      <w:pPr>
        <w:spacing w:after="0" w:line="73"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many countries outside the United States, government-sponsored healthcare systems are the primary payors for drugs. With increasing budgetary constraints and differing views on or challenges in valuing medicines, governments and payors in many</w:t>
      </w: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4" w:name="page45"/>
    <w:bookmarkEnd w:id="44"/>
    <w:p>
      <w:pPr>
        <w:ind w:right="180"/>
        <w:spacing w:after="0" w:line="245" w:lineRule="auto"/>
        <w:rPr>
          <w:sz w:val="20"/>
          <w:szCs w:val="20"/>
          <w:color w:val="auto"/>
        </w:rPr>
      </w:pPr>
      <w:r>
        <w:rPr>
          <w:rFonts w:ascii="Times New Roman" w:cs="Times New Roman" w:eastAsia="Times New Roman" w:hAnsi="Times New Roman"/>
          <w:sz w:val="18"/>
          <w:szCs w:val="18"/>
          <w:color w:val="auto"/>
        </w:rPr>
        <w:t>countries are applying a variety of measures to exert downward price pressure. These measures can include mandatory price controls, price referencing, therapeutic-reference pricing, increases in mandates, incentives for generic substitution and biosimilar usage and government-mandated price cuts. In this regard, many countries have health technology assessment organizations that use formal economic metrics such as cost-effectiveness to determine prices, coverage and reimbursement of new therapies; and these organizations are expanding in established and emerging markets. Many countries also limit coverage to populations narrower than the regulatory agency approved product label or impose volume caps to limit utilization. We expect that countries will continue to take aggressive actions to seek to reduce expenditures on drugs. Similarly, fiscal constraints may also affect the extent to which countries are willing to approve new and innovative therapies and/or allow access to new technologies.</w:t>
      </w:r>
    </w:p>
    <w:p>
      <w:pPr>
        <w:spacing w:after="0" w:line="87"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auto"/>
        </w:rPr>
        <w:t>The dynamics and developments discussed above serve to create pressure on the pricing and potential usage of our products and the industry. Given the diverse interests in play among payors, biopharmaceutical manufacturers, policy makers, healthcare providers and independent organizations, if and whether the parties involved can achieve alignment on the matters discussed above remains unclear and the outcome of any such alignment is difficult to predict. We are committed to working with the entire healthcare community to ensure continued innovation and to facilitate patient access to needed medicines; however, if reimbursement of VASCEPA is unavailable or limited in scope or amount, or if pricing is set at unsatisfactory levels, our ability to successfully commercialize VASCEPA outside of the United States may be harmed, which could have a material and negative impact on our overall business.</w:t>
      </w:r>
    </w:p>
    <w:p>
      <w:pPr>
        <w:spacing w:after="0" w:line="2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Government and commercial payor actions outside the United States have affected and will continue to affect access to and sales of our products</w:t>
      </w:r>
    </w:p>
    <w:p>
      <w:pPr>
        <w:spacing w:after="0" w:line="94"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Outside the United States, we expect countries will continue to take actions to reduce their drug expenditures. International reference pricing, or IRP, has been widely used by many countries outside the United States to control costs based on an external benchmark of a product’s price in other countries. IRP policies can change quickly and frequently and may not reflect differences in the burden of disease, indications, market structures, or affordability differences across countries or regions. In addition, countries may refuse to reimburse or may restrict the reimbursed population for a product when their national health technology assessments do not consider a medicine to demonstrate sufficient clinical benefit beyond existing therapies or to meet certain cost effectiveness thresholds. Some countries also allow additional rebates or discounts to be negotiated. The outcome of such negotiations can be uncertain and could become publicly disclosed in the future. Some countries decide on reimbursement between potentially competing products through national or regional tenders that often result in one product receiving most or all of the sales in that country or region. Thus, there can be no certainty that we will negotiate satisfactory reimbursement or pricing rates in markets outside the United States in a timely manner, or at all, or even if we are successful in obtaining satisfactory coverage and reimbursement, we may be unsuccessful in sustaining such coverage and reimbursement, or could face challenges as to the timeliness or certainty of payment by payors to physicians and other providers, which would have a material and adverse impact on our commercialization efforts outside of the United States. Furthermore, despite having skilled and experienced individuals deployed in such efforts, we as an organization have limited experience in navigating the pricing and reimbursement regimes, outside of the United States, which foreign regimes are varied and complex, which might hinder our effectiveness in establishing satisfactory pricing, coverage and reimbursement levels in a timely manner or at all.</w:t>
      </w:r>
    </w:p>
    <w:p>
      <w:pPr>
        <w:spacing w:after="0" w:line="19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Factors outside of our control may make it more difficult for VASCEPA to achieve market acceptance by physicians, patients, healthcare payors and others in the medical community at levels sufficient to meet our expectations for commercial success.</w:t>
      </w:r>
    </w:p>
    <w:p>
      <w:pPr>
        <w:spacing w:after="0" w:line="50"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In January 2013, we launched VASCEPA based on the U.S. FDA approval of our MARINE indication, for use as an adjunct to diet to reduce triglyceride levels in adult patients with severe (TG  500 mg/dL) hypertriglyceridemia. Guidelines for the management of very high triglyceride levels suggest that the primary goal of reducing triglyceride levels in this patient population is reduction in the risk of acute pancreatitis. A secondary goal for this patient population is to reduce cardiovascular risk. The effect of VASCEPA on the risk for pancreatitis in patients with severe hypertriglyceridemia has not been determined and our U.S. FDA-approved labeling and promotional efforts state this fact.</w:t>
      </w:r>
    </w:p>
    <w:p>
      <w:pPr>
        <w:spacing w:after="0" w:line="76" w:lineRule="exact"/>
        <w:rPr>
          <w:sz w:val="20"/>
          <w:szCs w:val="20"/>
          <w:color w:val="auto"/>
        </w:rPr>
      </w:pPr>
    </w:p>
    <w:p>
      <w:pPr>
        <w:ind w:right="40" w:firstLine="509"/>
        <w:spacing w:after="0" w:line="234" w:lineRule="auto"/>
        <w:rPr>
          <w:sz w:val="20"/>
          <w:szCs w:val="20"/>
          <w:color w:val="auto"/>
        </w:rPr>
      </w:pPr>
      <w:r>
        <w:rPr>
          <w:rFonts w:ascii="Times New Roman" w:cs="Times New Roman" w:eastAsia="Times New Roman" w:hAnsi="Times New Roman"/>
          <w:sz w:val="18"/>
          <w:szCs w:val="18"/>
          <w:color w:val="auto"/>
        </w:rPr>
        <w:t>In September 2018, we announced topline results from the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EPA—Intervention Trial cardiovascular outcomes study of VASCEPA. In November 2018, we announced the primary results of our REDUCE-IT cardiovascular outcomes study confirming 25% relative risk reduction for the topline primary endpoint result with multiple robust demonstrations of efficacy, including 20% reduction in cardiovascular death. REDUCE-IT was a multinational, prospective, randomized, double-blind, placebo-controlled study, enrollment for which started in November 2011. REDUCE-IT investigated the effects of VASCEPA on CV risk in statin-treated adults with well-controlled LDL-C 41-100 mg/dL (median baseline LDL-C: 75 mg/dL) and other CV risk factors, including persistent elevated TG 150-499 mg/dL (median baseline TG: 216 mg/dL). REDUCE-IT topline results showed the trial met its primary endpoint demonstrating an approximately 25% relative risk reduction, to a high degree of statistical significance (p&lt;0.001), in MACE in the intent-to-treat patient population with use of VASCEPA 4 grams per day as compared to placebo. MACE events were defined as a composite of cardiovascular death, nonfatal myocardial infarction (MI), nonfatal stroke, coronary revascularization, or unstable angina requiring hospitalization. This result was supported by robust</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5" w:name="page46"/>
    <w:bookmarkEnd w:id="45"/>
    <w:p>
      <w:pPr>
        <w:ind w:right="260"/>
        <w:spacing w:after="0" w:line="282" w:lineRule="auto"/>
        <w:rPr>
          <w:sz w:val="20"/>
          <w:szCs w:val="20"/>
          <w:color w:val="auto"/>
        </w:rPr>
      </w:pPr>
      <w:r>
        <w:rPr>
          <w:rFonts w:ascii="Times New Roman" w:cs="Times New Roman" w:eastAsia="Times New Roman" w:hAnsi="Times New Roman"/>
          <w:sz w:val="18"/>
          <w:szCs w:val="18"/>
          <w:color w:val="auto"/>
        </w:rPr>
        <w:t>demonstrations of efficacy across multiple secondary endpoints. VASCEPA was well tolerated in REDUCE-IT with a safety profile generally consistent with clinical experience associated with omega-3 fatty acids and current U.S. FDA-approved labeling.</w:t>
      </w:r>
    </w:p>
    <w:p>
      <w:pPr>
        <w:spacing w:after="0" w:line="4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December 2019, the U.S. FDA approved another indication and label expansion for VASCEPA as an adjunct to statin therapy to reduce the risk of MACE events in adult patients with elevated TG levels (≥150 mg/dL) and established cardiovascular disease or diabetes mellitus and two or more additional risk factors for cardiovascular disease.</w:t>
      </w:r>
    </w:p>
    <w:p>
      <w:pPr>
        <w:spacing w:after="0" w:line="61"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Despite U.S. FDA approval for this indication and expanded label for VASCEPA, we may not meet expectations for market acceptance by physicians, patients, healthcare payors and others in the medical community for this approved use, especially in light of our unsuccessful appeals efforts. If VASCEPA does not achieve an adequate level of acceptance, we may not generate product revenues sufficient to become profitable on an ongoing basis. The degree of market acceptance of VASCEPA for its approved indications and uses or otherwise will depend on a number of factors, including:</w:t>
      </w:r>
    </w:p>
    <w:p>
      <w:pPr>
        <w:spacing w:after="0" w:line="69" w:lineRule="exact"/>
        <w:rPr>
          <w:sz w:val="20"/>
          <w:szCs w:val="20"/>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and outcome of pending patent litigation;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and pricing of any current or potential generic versions of VASCEPA;</w:t>
      </w:r>
    </w:p>
    <w:p>
      <w:pPr>
        <w:spacing w:after="0" w:line="117" w:lineRule="exact"/>
        <w:rPr>
          <w:rFonts w:ascii="Times New Roman" w:cs="Times New Roman" w:eastAsia="Times New Roman" w:hAnsi="Times New Roman"/>
          <w:sz w:val="18"/>
          <w:szCs w:val="18"/>
          <w:color w:val="auto"/>
        </w:rPr>
      </w:pPr>
    </w:p>
    <w:p>
      <w:pPr>
        <w:ind w:left="900" w:right="540" w:hanging="383"/>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efficacy and safety of VASCEPA by prescribing healthcare professionals and patients, as compared to no treatment and as compared to alternative treatments in various at-risk patient populations;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review of different elements of REDUCE-IT results over time;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review and analysis of the results of REDUCE-IT by regulatory authorities internationally;</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VASCEPA for sale at competitive prices;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03"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effectiveness and strength of product education, marketing and distribution support, including our sales and marketing team and the success of our omnichannel platform;</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VASCEPA or competing products;</w:t>
      </w:r>
    </w:p>
    <w:p>
      <w:pPr>
        <w:spacing w:after="0" w:line="103" w:lineRule="exact"/>
        <w:rPr>
          <w:rFonts w:ascii="Times New Roman" w:cs="Times New Roman" w:eastAsia="Times New Roman" w:hAnsi="Times New Roman"/>
          <w:sz w:val="18"/>
          <w:szCs w:val="18"/>
          <w:color w:val="auto"/>
        </w:rPr>
      </w:pPr>
    </w:p>
    <w:p>
      <w:pPr>
        <w:ind w:left="900" w:right="180" w:hanging="383"/>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continually promote VASCEPA in the United States consistent with and outside of U.S. FDA-approved labeling and the related perception thereof;</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or reimbursement for VASCEPA and its prescribed uses, on-label and off-label;</w:t>
      </w:r>
    </w:p>
    <w:p>
      <w:pPr>
        <w:spacing w:after="0" w:line="103" w:lineRule="exact"/>
        <w:rPr>
          <w:rFonts w:ascii="Times New Roman" w:cs="Times New Roman" w:eastAsia="Times New Roman" w:hAnsi="Times New Roman"/>
          <w:sz w:val="18"/>
          <w:szCs w:val="18"/>
          <w:color w:val="auto"/>
        </w:rPr>
      </w:pPr>
    </w:p>
    <w:p>
      <w:pPr>
        <w:ind w:left="900" w:right="240" w:hanging="383"/>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including pandemics such as COVID-19 and political unrest that could inhibit our ability to promote VASCEPA regionally and that could negatively affect product demand by creating obstacles for patients to seek treatment and fill prescriptions;</w:t>
      </w:r>
    </w:p>
    <w:p>
      <w:pPr>
        <w:spacing w:after="0" w:line="54" w:lineRule="exact"/>
        <w:rPr>
          <w:rFonts w:ascii="Times New Roman" w:cs="Times New Roman" w:eastAsia="Times New Roman" w:hAnsi="Times New Roman"/>
          <w:sz w:val="18"/>
          <w:szCs w:val="18"/>
          <w:color w:val="auto"/>
        </w:rPr>
      </w:pPr>
    </w:p>
    <w:p>
      <w:pPr>
        <w:ind w:left="900" w:right="56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policies or laws affecting VASCEPA sales, such as state and federal efforts to affect drug pricing and provide or remove healthcare coverage that includes reimbursement for prescription drugs; and</w:t>
      </w:r>
    </w:p>
    <w:p>
      <w:pPr>
        <w:spacing w:after="0" w:line="40" w:lineRule="exact"/>
        <w:rPr>
          <w:rFonts w:ascii="Times New Roman" w:cs="Times New Roman" w:eastAsia="Times New Roman" w:hAnsi="Times New Roman"/>
          <w:sz w:val="18"/>
          <w:szCs w:val="18"/>
          <w:color w:val="auto"/>
        </w:rPr>
      </w:pPr>
    </w:p>
    <w:p>
      <w:pPr>
        <w:ind w:left="900" w:right="400" w:hanging="383"/>
        <w:spacing w:after="0" w:line="253"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and perceived efficacy of the product and the prevalence and severity of any side effects and warnings in VASCEPA’s approved labeling internationally.</w:t>
      </w: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6" w:name="page47"/>
    <w:bookmarkEnd w:id="46"/>
    <w:p>
      <w:pPr>
        <w:ind w:firstLine="509"/>
        <w:spacing w:after="0" w:line="242" w:lineRule="auto"/>
        <w:rPr>
          <w:sz w:val="20"/>
          <w:szCs w:val="20"/>
          <w:color w:val="auto"/>
        </w:rPr>
      </w:pPr>
      <w:r>
        <w:rPr>
          <w:rFonts w:ascii="Times New Roman" w:cs="Times New Roman" w:eastAsia="Times New Roman" w:hAnsi="Times New Roman"/>
          <w:sz w:val="18"/>
          <w:szCs w:val="18"/>
          <w:color w:val="auto"/>
        </w:rPr>
        <w:t>For example, two major factors that affect market use of prescription drugs are their perceived cost-effectiveness and the breadth of their use among different patient populations, both on label and off-label. In October 2019, the Institute for Clinical and Economic Review, or ICER, released its final evidence report regarding clinical effectiveness and economic impacts on VASCEPA. The conclusion from the report is that VASCEPA easily met even the most stringent “commonly cited thresholds for cost-effectiveness and therefore represent(s) a high long-term value for money,” based on the organization’s value assessment framework. As part of the public meeting held by ICER analyzing REDUCE-IT data, the ICER review committee discussed whether, based on REDUCE-IT, VASCEPA should be considered for use in patients as an add-on to statin therapy generally, and not just in patients with persistent elevated triglyceride levels after statin therapy, which ICER defined as triglyceride levels of at least 135 mg/dL. Use as an add-on to statin therapy generally represents a larger patient population than studied in REDUCE-IT and larger than covered by U.S. FDA-approved labeling. By contrast, U.S. FDA-approved labeling for VASCEPA reflects limitations such as use in patients with persistent elevated triglyceride levels defined as triglyceride levels of at least 150 mg/dL after statin therapy and specific criteria designed to ensure the patient populations approved for use had sufficiently high degrees of CV risk. While the clinical judgment of prescribing physicians is the most important factor that determines the breadth of a drug’s use in the United States and often results in prescriptions in patient populations that go beyond U.S. FDA labeling, U.S. FDA-approved labeling that is more closely tied to the patient population studied in a clinical trial could limit use generally and could make reimbursement more difficult.</w:t>
      </w:r>
    </w:p>
    <w:p>
      <w:pPr>
        <w:spacing w:after="0" w:line="199"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continued scale, scope and duration of business interruptions caused by the ongoing COVID-19 pandemic and related recovery efforts are uncertain as the impact of the pandemic continues to cause negative effects on our business.</w:t>
      </w:r>
    </w:p>
    <w:p>
      <w:pPr>
        <w:spacing w:after="0" w:line="63" w:lineRule="exact"/>
        <w:rPr>
          <w:sz w:val="20"/>
          <w:szCs w:val="20"/>
          <w:color w:val="auto"/>
        </w:rPr>
      </w:pPr>
    </w:p>
    <w:p>
      <w:pPr>
        <w:ind w:right="660" w:firstLine="509"/>
        <w:spacing w:after="0" w:line="258" w:lineRule="auto"/>
        <w:rPr>
          <w:sz w:val="20"/>
          <w:szCs w:val="20"/>
          <w:color w:val="auto"/>
        </w:rPr>
      </w:pPr>
      <w:r>
        <w:rPr>
          <w:rFonts w:ascii="Times New Roman" w:cs="Times New Roman" w:eastAsia="Times New Roman" w:hAnsi="Times New Roman"/>
          <w:sz w:val="18"/>
          <w:szCs w:val="18"/>
          <w:color w:val="auto"/>
        </w:rPr>
        <w:t>The global spread of COVID-19 has created significant volatility, uncertainty and disruption in healthcare, social, supply and economic infrastructures. The extent to which the coronavirus pandemic will continue to impact our business, operations and financial results will depend on numerous evolving factors that we may not be able to accurately predict or plan around, including:</w:t>
      </w:r>
    </w:p>
    <w:p>
      <w:pPr>
        <w:spacing w:after="0" w:line="61" w:lineRule="exact"/>
        <w:rPr>
          <w:sz w:val="20"/>
          <w:szCs w:val="20"/>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volatility and scope of the pandemic and the efficacy of recovery efforts;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business and individuals’ actions that have been and continue to be taken in response to the pandemic;</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pandemic on economic and political activity and actions taken in response;</w:t>
      </w:r>
    </w:p>
    <w:p>
      <w:pPr>
        <w:spacing w:after="0" w:line="103" w:lineRule="exact"/>
        <w:rPr>
          <w:rFonts w:ascii="Times New Roman" w:cs="Times New Roman" w:eastAsia="Times New Roman" w:hAnsi="Times New Roman"/>
          <w:sz w:val="18"/>
          <w:szCs w:val="18"/>
          <w:color w:val="auto"/>
        </w:rPr>
      </w:pPr>
    </w:p>
    <w:p>
      <w:pPr>
        <w:ind w:left="900" w:right="360" w:hanging="383"/>
        <w:spacing w:after="0" w:line="258"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patients, healthcare providers and business partners, including patients’ ability to access supplies of VASCEPA and the willingness of patients to visit doctors for non-urgent medical examination or to visit labs for blood tests to assess biomarkers such as lipid levels;</w:t>
      </w:r>
    </w:p>
    <w:p>
      <w:pPr>
        <w:spacing w:after="0" w:line="61" w:lineRule="exact"/>
        <w:rPr>
          <w:rFonts w:ascii="Times New Roman" w:cs="Times New Roman" w:eastAsia="Times New Roman" w:hAnsi="Times New Roman"/>
          <w:sz w:val="18"/>
          <w:szCs w:val="18"/>
          <w:color w:val="auto"/>
        </w:rPr>
      </w:pPr>
    </w:p>
    <w:p>
      <w:pPr>
        <w:ind w:left="900" w:right="160" w:hanging="383"/>
        <w:spacing w:after="0" w:line="26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VASCEPA, including as a result of ongoing travel restrictions, social distancing and other containment measures or the restoration of such measures in areas where such measures have been relaxed;</w:t>
      </w:r>
    </w:p>
    <w:p>
      <w:pPr>
        <w:spacing w:after="0" w:line="67" w:lineRule="exact"/>
        <w:rPr>
          <w:rFonts w:ascii="Times New Roman" w:cs="Times New Roman" w:eastAsia="Times New Roman" w:hAnsi="Times New Roman"/>
          <w:sz w:val="18"/>
          <w:szCs w:val="18"/>
          <w:color w:val="auto"/>
        </w:rPr>
      </w:pPr>
    </w:p>
    <w:p>
      <w:pPr>
        <w:ind w:left="900" w:right="720" w:hanging="383"/>
        <w:spacing w:after="0" w:line="26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enrollment or monitoring of patients in clinical trials, particularly at clinical trial sites located in highly impacted jurisdictions and jurisdictions where vaccination rates are low;</w:t>
      </w:r>
    </w:p>
    <w:p>
      <w:pPr>
        <w:spacing w:after="0" w:line="54"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access, secure and otherwise obtain and deliver sufficient and timely commercial or clinical supplies of VASCEPA at reasonable prices and sufficient to meet demand if the production capabilities of suppliers is disrupted;</w:t>
      </w:r>
    </w:p>
    <w:p>
      <w:pPr>
        <w:spacing w:after="0" w:line="40"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regulatory oversight and actions if regulators and industry professionals continue to expend significant and unexpected resources addressing COVID-19;</w:t>
      </w:r>
    </w:p>
    <w:p>
      <w:pPr>
        <w:spacing w:after="0" w:line="54"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reimbursement from government and health administration authorities, private health insurers and other third-party payors if the system continues to be overly strained;</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regulators to complete inspections and reviews of operations and applications, respectively, in a timely manner; and</w:t>
      </w:r>
    </w:p>
    <w:p>
      <w:pPr>
        <w:spacing w:after="0" w:line="10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further, prolonged or reinstated closures of our and our partners’ offices, operations and facilities impeding our ability to work together as a company and with our business and healthcare partners.</w:t>
      </w:r>
    </w:p>
    <w:p>
      <w:pPr>
        <w:spacing w:after="0" w:line="40"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As variants emerge and as vaccine usage and protocols evolve, face-to-face interactions are challenging for us to predict and the number of patient visits to doctors’ offices and patients undergoing blood testing remains down considerably from pre-COVID-19 levels. The circumstances surrounding COVID-19 vary geographically and vary over time, with continued risk of potential resurgences in COVID-19 cases, and the possibility of reinstitution of protocols, in various geographies as the efficacy of the vaccine on various strains remains uncertain. While we have supplemented our face-to-face interactions with virtual outreach, these efforts may not be as impactful as traditional, in-person interactions. Specifically, access to healthcare professionals through the internet or other channels, may not be as productive as in-person interactions.</w:t>
      </w:r>
    </w:p>
    <w:p>
      <w:pPr>
        <w:spacing w:after="0" w:line="72"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Although we have a geographically diversified supply chain for VASCEPA and believe we have sufficient inventory on hand at pharmacies throughout the United States and other markets where it is approved for sale, and at various stages of manufacturing with our suppliers, the global spread of the pandemic and containment measures has been unprecedented and could have a negative impact on the availability of VASCEPA at various points in our supply chain, including limiting the ability of new suppliers to be inspected,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7" w:name="page48"/>
    <w:bookmarkEnd w:id="47"/>
    <w:p>
      <w:pPr>
        <w:jc w:val="both"/>
        <w:ind w:right="320"/>
        <w:spacing w:after="0" w:line="280" w:lineRule="auto"/>
        <w:rPr>
          <w:sz w:val="20"/>
          <w:szCs w:val="20"/>
          <w:color w:val="auto"/>
        </w:rPr>
      </w:pPr>
      <w:r>
        <w:rPr>
          <w:rFonts w:ascii="Times New Roman" w:cs="Times New Roman" w:eastAsia="Times New Roman" w:hAnsi="Times New Roman"/>
          <w:sz w:val="17"/>
          <w:szCs w:val="17"/>
          <w:color w:val="auto"/>
        </w:rPr>
        <w:t>which would have a material and adverse effect on our business. The ongoing demand for vaccines, including boosters, and potential for manufacturing facilities and materials to be commandeered under the Defense Production Act of 1950, or equivalent foreign legislation, may make it more difficult to obtain materials or manufacturing slots for the products needed for our commercial product, which could lead to issues with our commercial supply.</w:t>
      </w:r>
    </w:p>
    <w:p>
      <w:pPr>
        <w:spacing w:after="0" w:line="45"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The disruptions associated with the coronavirus pandemic could also delay the timing of a determination on our ability to seek legal remedies as travel, operational resources and personnel are disrupted or slow to resume pre-pandemic levels, with respect to our efforts and capabilities, as well as those of our advisors and the courts. The disruptions associated with the coronavirus pandemic could delay the potential timing of subsequent steps for the launch of commercialization of VAZKEPA in Europe. Additionally, COVID-19 has already and could continue to limit our ability to have access with healthcare professionals to help educate them regarding VAZKEPA so that they are more likely to prescribe it to their at-risk patients. And, similar to our experience in the United States, the effects of COVID-19 and related preventative measures may reduce the frequency at which at-risk patients seek non-urgent preventative medical care.</w:t>
      </w:r>
    </w:p>
    <w:p>
      <w:pPr>
        <w:spacing w:after="0" w:line="204" w:lineRule="exact"/>
        <w:rPr>
          <w:sz w:val="20"/>
          <w:szCs w:val="20"/>
          <w:color w:val="auto"/>
        </w:rPr>
      </w:pPr>
    </w:p>
    <w:p>
      <w:pPr>
        <w:jc w:val="both"/>
        <w:ind w:right="140" w:firstLine="50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As with any cardiovascular outcomes trial, over time further data assessment related to REDUCE-IT by international regulatory authorities or otherwise could yield additional useful information to inform greater understanding of study outcome. If the additional data or related interpretations do not meet expectations, the perception of REDUCE-IT results and VASCEPA revenue potential may suffer and our stock price may decline.</w:t>
      </w:r>
    </w:p>
    <w:p>
      <w:pPr>
        <w:spacing w:after="0" w:line="60"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In December 2019, the U.S. FDA approved another indication and label expansion for VASCEPA as an adjunct to statin therapy to reduce the risk of MACE events in adult patients with elevated TG levels (≥150 mg/dL) and established cardiovascular disease or diabetes mellitus and two or more additional risk factors for cardiovascular disease. Even though U.S. FDA has approved VASCEPA for this expanded label and indication based on the REDUCE-IT results, additional data assessment by international regulatory authorities or otherwise could yield additional useful information to inform greater understanding of study outcome. Generally, trial data assessment sufficient to convey a complete picture of trial outcome can take years to complete and publish. When new data are assessed and released or presented it could exceed, match or may not meet investor expectations.</w:t>
      </w:r>
    </w:p>
    <w:p>
      <w:pPr>
        <w:spacing w:after="0" w:line="72" w:lineRule="exact"/>
        <w:rPr>
          <w:sz w:val="20"/>
          <w:szCs w:val="20"/>
          <w:color w:val="auto"/>
        </w:rPr>
      </w:pPr>
    </w:p>
    <w:p>
      <w:pPr>
        <w:jc w:val="both"/>
        <w:ind w:right="80" w:firstLine="509"/>
        <w:spacing w:after="0" w:line="250" w:lineRule="auto"/>
        <w:rPr>
          <w:sz w:val="20"/>
          <w:szCs w:val="20"/>
          <w:color w:val="auto"/>
        </w:rPr>
      </w:pPr>
      <w:r>
        <w:rPr>
          <w:rFonts w:ascii="Times New Roman" w:cs="Times New Roman" w:eastAsia="Times New Roman" w:hAnsi="Times New Roman"/>
          <w:sz w:val="18"/>
          <w:szCs w:val="18"/>
          <w:color w:val="auto"/>
        </w:rPr>
        <w:t>In addition, the same set of data can sometimes be interpreted to reach different conclusions, as when Health Canada approved an indication based on REDUCE-IT data that was different in certain respects than that approved by U.S. FDA and by the EC in Europe. It is possible the scope of subsequent regulatory approvals, if any, could likewise differ based on the same data. Conflicting interpretations of data, or new data, could impact public and medical community perception of the totality of the efficacy and safety data from REDUCE-IT.</w:t>
      </w:r>
    </w:p>
    <w:p>
      <w:pPr>
        <w:spacing w:after="0" w:line="83"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Regulatory authorities and medical guideline committees outside of the United States and Europe may consider the following additional factors, which could lead to evaluations of the totality of the efficacy and safety data from REDUCE-IT that differ from those of the U.S. FDA or the EC:</w:t>
      </w:r>
    </w:p>
    <w:p>
      <w:pPr>
        <w:spacing w:after="0" w:line="54" w:lineRule="exact"/>
        <w:rPr>
          <w:sz w:val="20"/>
          <w:szCs w:val="20"/>
          <w:color w:val="auto"/>
        </w:rPr>
      </w:pPr>
    </w:p>
    <w:p>
      <w:pPr>
        <w:ind w:left="900" w:right="500" w:hanging="383"/>
        <w:spacing w:after="0" w:line="266"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treatment benefit and related risks on the primary composite endpoint, its components, secondary endpoints and the primary and secondary risk prevention cohorts;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which components of the composite or secondary endpoints have the most clinical significance;</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the primary and secondary outcomes;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findings across cohorts and important subgroups;</w:t>
      </w:r>
    </w:p>
    <w:p>
      <w:pPr>
        <w:spacing w:after="0" w:line="117" w:lineRule="exact"/>
        <w:rPr>
          <w:rFonts w:ascii="Times New Roman" w:cs="Times New Roman" w:eastAsia="Times New Roman" w:hAnsi="Times New Roman"/>
          <w:sz w:val="18"/>
          <w:szCs w:val="18"/>
          <w:color w:val="auto"/>
        </w:rPr>
      </w:pPr>
    </w:p>
    <w:p>
      <w:pPr>
        <w:ind w:left="900" w:right="20" w:hanging="383"/>
        <w:spacing w:after="0" w:line="266"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considerations and risk/benefit considerations (such as those related to adverse events, including bleeding and atrial fibrillation generally and in different sub-populations);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REDUCE-IT results in the context of other clinical studies;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the cumulative effect of VASCEPA in studied patients; and</w:t>
      </w:r>
    </w:p>
    <w:p>
      <w:pPr>
        <w:spacing w:after="0" w:line="103" w:lineRule="exact"/>
        <w:rPr>
          <w:rFonts w:ascii="Times New Roman" w:cs="Times New Roman" w:eastAsia="Times New Roman" w:hAnsi="Times New Roman"/>
          <w:sz w:val="18"/>
          <w:szCs w:val="18"/>
          <w:color w:val="auto"/>
        </w:rPr>
      </w:pPr>
    </w:p>
    <w:p>
      <w:pPr>
        <w:ind w:left="900" w:right="260" w:hanging="383"/>
        <w:spacing w:after="0" w:line="266"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conduct and data quality, integrity and consistency, including aspects such as analyses regarding the placebo used in REDUCE-IT and other studies of VASCEPA and its impact, if any, on the reliability of clinical data.</w:t>
      </w:r>
    </w:p>
    <w:p>
      <w:pPr>
        <w:spacing w:after="0" w:line="68"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18"/>
          <w:szCs w:val="18"/>
          <w:color w:val="auto"/>
        </w:rPr>
        <w:t>If regulatory authorities and medical guideline committees outside of the United States and Europe draw conclusions that differ from those of the U.S. FDA or the EC, the U.S. FDA or the EC could reevaluate its conclusions as to the safety and efficacy of VASCEPA. Likewise, if additional data or analyses released from time to time do not meet expectations, the perception of REDUCE-IT results and the perceived and actual value of VASCEPA may suffer. In these instances our revenue and business could suffer and our stock price could significantly decline.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8" w:name="page49"/>
    <w:bookmarkEnd w:id="48"/>
    <w:p>
      <w:pPr>
        <w:ind w:right="1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Ongoing clinical trials or new clinical data involving VASCEPA and similar moderate-to-high doses of eicosapentaenoic acid or icosapent ethyl could influence public perception of VASCEPA’s clinical profile and the commercial and regulatory prospects of VASCEPA.</w:t>
      </w:r>
    </w:p>
    <w:p>
      <w:pPr>
        <w:spacing w:after="0" w:line="37" w:lineRule="exact"/>
        <w:rPr>
          <w:sz w:val="20"/>
          <w:szCs w:val="20"/>
          <w:color w:val="auto"/>
        </w:rPr>
      </w:pPr>
    </w:p>
    <w:p>
      <w:pPr>
        <w:ind w:right="600" w:firstLine="509"/>
        <w:spacing w:after="0" w:line="266" w:lineRule="auto"/>
        <w:rPr>
          <w:sz w:val="20"/>
          <w:szCs w:val="20"/>
          <w:color w:val="auto"/>
        </w:rPr>
      </w:pPr>
      <w:r>
        <w:rPr>
          <w:rFonts w:ascii="Times New Roman" w:cs="Times New Roman" w:eastAsia="Times New Roman" w:hAnsi="Times New Roman"/>
          <w:sz w:val="18"/>
          <w:szCs w:val="18"/>
          <w:color w:val="auto"/>
        </w:rPr>
        <w:t>Ongoing trials of moderate-to-high doses of VASCEPA and icosapent ethyl, or a similar eicosapentaenoic acid product could provide further information on the effects of VASCEPA and its commercial and regulatory prospects.</w:t>
      </w:r>
    </w:p>
    <w:p>
      <w:pPr>
        <w:spacing w:after="0" w:line="68"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For example, the Randomized Trial for Evaluation in Secondary Prevention Efficacy of Combination Therapy–Statin and EPA (RESPECT-EPA; UMIN Clinical Trials Registry number, UMIN000012069) is a study examining Japanese patients with chronic coronary artery disease receiving LDL-C lowering treatment by statin therapy. Patients will be randomized to either a control group (standard treatment) or EPA group (standard treatment plus 1.8 grams per day of eicosapentaenoic acid), to examine the effects of a different formulation of icosapent ethyl than VASCEPA on the incidence of cardiovascular events. The relationship between the ratio of EPA to arachidonic acid and incidence of events will also be examined. Results from this study are expected in the second half of 2022, though the study and results are not under the Company's control and may be delayed as a result of COVID-19 impacts.</w:t>
      </w:r>
    </w:p>
    <w:p>
      <w:pPr>
        <w:spacing w:after="0" w:line="92"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In November 2020, we announced statistically significant topline results from a Phase 3 clinical trial of VASCEPA, conducted by our partner in China, Eddingpharm (Asia) Macao Commercial Offshore Limited, or Edding, which investigated VASCEPA as a treatment for patients with very high triglycerides (≥500 mg/dL). Even though such results are similar to the results of the MARINE study, additional clinical development efforts may be necessary in this market to demonstrate the effectiveness of VASCEPA in reducing major adverse cardiovascular events in Chinese patients with persistent cardiovascular risk.</w:t>
      </w:r>
    </w:p>
    <w:p>
      <w:pPr>
        <w:spacing w:after="0" w:line="73"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We have also funded investigational studies on the use of VASCEPA in the setting of COVID-19 infection. On December 12, 2020, we announced at the National Lipid Association Scientific Sessions 2020 positive clinical results from the CardioLink-9 Trial, the first results of a study of VASCEPA in COVID-19 infected outpatients. Results from the investigator sponsored study in Argentina called PREPARE-IT-1 were presented by the lead trial investigator at the European Society of Cardiology on August 29, 2021 and the results did not meet the primary and/or other endpoints studied. Results from the investigator sponsored study in Argentina called PREPARE-IT-2 were presented by the lead trial investigator at the American Heart Association Scientific Sessions in November 2021 and the results did not meet the primary and/or other endpoints studied. Results from the other investigational study, called MITIGATE, are expected during 2022.</w:t>
      </w:r>
    </w:p>
    <w:p>
      <w:pPr>
        <w:spacing w:after="0" w:line="87"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If the outcomes of one or more of these studies do not meet expectations, the perception of existing clinical results of VASCEPA, such as MARINE or REDUCE-IT, or the perceived clinical profile and commercial value of VASCEPA and its regulatory status may suffer. If this occurs our revenue and business could suffer and our stock price could significantly decline.</w:t>
      </w:r>
    </w:p>
    <w:p>
      <w:pPr>
        <w:spacing w:after="0" w:line="200"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recently announced cost and organizational restructuring plan may not be successful in addressing the current shift in the United States business and developing sales internationally.</w:t>
      </w:r>
    </w:p>
    <w:p>
      <w:pPr>
        <w:spacing w:after="0" w:line="37"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If we are not successful in our efforts to market and sell VASCEPA in the United States, including from the implementation of our recent cost and organizational restructuring plan, reduced sales force, our anticipated revenues or our expenses could be materially and negatively affected, and we may not maintain profitability in the United States or obtain profitability internationally, may need to cut back on research and development activities or implement other cost-containment measures, or we may need to raise additional funding that could result in substantial dilution or impose considerable restrictions on our business.</w:t>
      </w:r>
    </w:p>
    <w:p>
      <w:pPr>
        <w:spacing w:after="0" w:line="87"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Given the dynamics related to COVID-19, we cannot predict our ability to effectively sustain business efforts, or how those efforts will be impacted in the long term. While we have supplemented traditional face-to-face interactions with virtual outreach, these efforts may not be as successful as in-person interactions. Specifically, access to healthcare professionals through digital or other channels, may not be as productive as in-person interactions in promoting use of VASCEPA. We continue to adjust our promotional initiatives, including pursuing increased face-to-face interactions with health care professionals based on COVID-19 protocols that are in place. Such efforts are costly and there can be no assurance that they will result in an increase in VASCEPA prescriptions and sales in the near future, or at all.</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promotion and supply of VASCEPA is subject to regulatory scrutiny and associated risk.</w:t>
      </w:r>
    </w:p>
    <w:p>
      <w:pPr>
        <w:spacing w:after="0" w:line="108" w:lineRule="exact"/>
        <w:rPr>
          <w:sz w:val="20"/>
          <w:szCs w:val="20"/>
          <w:color w:val="auto"/>
        </w:rPr>
      </w:pPr>
    </w:p>
    <w:p>
      <w:pPr>
        <w:ind w:right="240" w:firstLine="509"/>
        <w:spacing w:after="0" w:line="246" w:lineRule="auto"/>
        <w:rPr>
          <w:sz w:val="20"/>
          <w:szCs w:val="20"/>
          <w:color w:val="auto"/>
        </w:rPr>
      </w:pPr>
      <w:r>
        <w:rPr>
          <w:rFonts w:ascii="Times New Roman" w:cs="Times New Roman" w:eastAsia="Times New Roman" w:hAnsi="Times New Roman"/>
          <w:sz w:val="18"/>
          <w:szCs w:val="18"/>
          <w:color w:val="auto"/>
        </w:rPr>
        <w:t>The Federal Food, Drug, and Cosmetic Act, or FDCA, has been interpreted by the U.S. FDA and the U.S. government to make it illegal for pharmaceutical companies to promote their U.S. FDA-approved products for uses that have not been approved by the U.S. FDA. Companies that market drugs for off-label uses or indications have been subject to related costly litigation, criminal penalties and civil liability under the FDCA and the FCA. However, case law over the last several years has called into question the extent to which government in the United States, including the U.S. FDA, can, and is willing to seek to, prevent truthful and non-misleading speech related to off-label uses of U.S. FDA-approved products such as VASCEPA.</w:t>
      </w:r>
    </w:p>
    <w:p>
      <w:pPr>
        <w:spacing w:after="0" w:line="73" w:lineRule="exact"/>
        <w:rPr>
          <w:sz w:val="20"/>
          <w:szCs w:val="20"/>
          <w:color w:val="auto"/>
        </w:rPr>
      </w:pPr>
    </w:p>
    <w:p>
      <w:pPr>
        <w:ind w:right="180" w:firstLine="509"/>
        <w:spacing w:after="0" w:line="247" w:lineRule="auto"/>
        <w:rPr>
          <w:sz w:val="20"/>
          <w:szCs w:val="20"/>
          <w:color w:val="auto"/>
        </w:rPr>
      </w:pPr>
      <w:r>
        <w:rPr>
          <w:rFonts w:ascii="Times New Roman" w:cs="Times New Roman" w:eastAsia="Times New Roman" w:hAnsi="Times New Roman"/>
          <w:sz w:val="18"/>
          <w:szCs w:val="18"/>
          <w:color w:val="auto"/>
        </w:rPr>
        <w:t>In May 2015, we and a group of independent physicians filed a lawsuit against the U.S. FDA seeking a federal court declaration that would permit us and our agents to promote to healthcare professionals the use of VASCEPA in the ANCHOR population and promote on the potential of VASCEPA to reduce the risk of cardiovascular disease so long as the promotion is truthful and non-misleading. This use of VASCEPA at issue reflected recognized medical practice at the time but was not approved by the U.S. FDA</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9" w:name="page50"/>
    <w:bookmarkEnd w:id="49"/>
    <w:p>
      <w:pPr>
        <w:ind w:right="60"/>
        <w:spacing w:after="0" w:line="244" w:lineRule="auto"/>
        <w:rPr>
          <w:sz w:val="20"/>
          <w:szCs w:val="20"/>
          <w:color w:val="auto"/>
        </w:rPr>
      </w:pPr>
      <w:r>
        <w:rPr>
          <w:rFonts w:ascii="Times New Roman" w:cs="Times New Roman" w:eastAsia="Times New Roman" w:hAnsi="Times New Roman"/>
          <w:sz w:val="18"/>
          <w:szCs w:val="18"/>
          <w:color w:val="auto"/>
        </w:rPr>
        <w:t xml:space="preserve">and was thus not covered by then U.S. FDA-approved labeling for the drug. Promotion of an off-label use has generally been considered by the U.S. FDA to be illegal under the FDCA. The lawsuit, captioned </w:t>
      </w:r>
      <w:r>
        <w:rPr>
          <w:rFonts w:ascii="Times New Roman" w:cs="Times New Roman" w:eastAsia="Times New Roman" w:hAnsi="Times New Roman"/>
          <w:sz w:val="18"/>
          <w:szCs w:val="18"/>
          <w:i w:val="1"/>
          <w:iCs w:val="1"/>
          <w:color w:val="auto"/>
        </w:rPr>
        <w:t>Amarin Pharma, Inc., et al. v. Food &amp; Drug Administration, et al.</w:t>
      </w:r>
      <w:r>
        <w:rPr>
          <w:rFonts w:ascii="Times New Roman" w:cs="Times New Roman" w:eastAsia="Times New Roman" w:hAnsi="Times New Roman"/>
          <w:sz w:val="18"/>
          <w:szCs w:val="18"/>
          <w:color w:val="auto"/>
        </w:rPr>
        <w:t>, 119 F. Supp. 3d 196 (S.D.N.Y. 2015), was filed in the United States District Court for the Southern District of New York. In the lawsuit, we contended principally that U.S. FDA regulations limiting off-label promotion of truthful and non-misleading information are unconstitutional under the freedom of speech clause of the First Amendment to the U.S. Constitution as applied in the case of our proposed promotion of VASCEPA. The physicians in the suit regularly treated patients at risk of cardiovascular disease and, as the complaint contended, have First Amendment rights to receive truthful and non-misleading information from Amarin. The suit was based on the principle that better informed physicians make better treatment decisions for their patients. The U.S. FDA opposed this lawsuit but did not dispute the veracity of the subject ANCHOR clinical trial data (the safety data from which was already and currently is in U.S. FDA-approved labeling of VASCEPA) or the peer-reviewed research related to VASCEPA and the potential for cardiovascular risk reduction.</w:t>
      </w:r>
    </w:p>
    <w:p>
      <w:pPr>
        <w:spacing w:after="0" w:line="77"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In August 2015, we began to communicate promotional information beyond the MARINE indication to healthcare professionals in the United States as permitted by this court declaration. The U.S. FDA did not appeal the court’s ruling. In March 2016, we settled this litigation under terms by which the U.S.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As part of the settlement, given, as expressed in the court’s opinion, that the dynamic nature of science and medicine is that knowledge is ever-advancing and that a statement that is fair and balanced one day may become incomplete or otherwise 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94"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While we believe we are now permitted under applicable law to more broadly promote VASCEPA, the U.S. FDA-approved labeling for VASCEPA did not change as a result of this litigation and settlement, and neither government nor other third-party coverage or reimbursement to pay for the off-label use of VASCEPA promoted under the court declaration was required. In addition to claims classically considered to be on-label based on our expanded label for VASCEPA based on the REDUCE-IT results, we proactively communicate information related to VASCEPA in a manner that we believe is truthful and non-misleading and thus protected under the freedom of speech clause of the First Amendment to the United States Constitution.</w:t>
      </w:r>
    </w:p>
    <w:p>
      <w:pPr>
        <w:spacing w:after="0" w:line="73"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Promotional activities in the biotechnology and pharmaceutical industries generally are subject to considerable regulatory scrutiny and, even though we have the benefit of a final settlement in this litigation, our efforts may be subject to enhanced scrutiny to ensure that our promotion remains within the scope covered by the settlement. For example, under the settlement, we remain responsible for ensuring our speech is truthful and non-misleading, which is subject to a considerable amount of judgment. We, the U.S. FDA, the U.S. government, our competitors and other interested parties may not agree on the truthfulness and non-misleading nature of our promotional materials. Federal and state governments or agencies may also seek to find other means to prevent our promotion of unapproved truthful and non-misleading information about VASCEPA.</w:t>
      </w:r>
    </w:p>
    <w:p>
      <w:pPr>
        <w:spacing w:after="0" w:line="7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June 2020, we received a civil investigative demand, or CID, from the U.S. Department of Justice, or the DOJ, informing us that the DOJ is investigating whether aspects of our promotional speaker programs and copayment waiver program during the period from January 1, 2015 to the present violated the U.S. Anti-Kickback Statute and the U.S. Civil False Claims Act, or the FCA, in relation to the sale and marketing of VASCEPA by us and our previous co-marketing partner, Kowa Pharmaceuticals America, Inc., or Kowa America. Similarly, in March 2021, the United States Federal Trade Commission, or the FTC, issued a CID to us in connection with the FTC’s investigation of whether we have engaged in, or are engaging in, anticompetitive practices or unfair methods of competition relating to VASCEPA. The New York State attorney general similarly issued a subpoena to us regarding the same subject matter on which the FTC CID is focused. The inquiries require us to produce documents and answer written questions, or interrogatories, relevant to specified time periods. We are cooperating with the government.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w:t>
      </w:r>
    </w:p>
    <w:p>
      <w:pPr>
        <w:spacing w:after="0" w:line="80" w:lineRule="exact"/>
        <w:rPr>
          <w:sz w:val="20"/>
          <w:szCs w:val="20"/>
          <w:color w:val="auto"/>
        </w:rPr>
      </w:pPr>
    </w:p>
    <w:p>
      <w:pPr>
        <w:ind w:right="340" w:firstLine="509"/>
        <w:spacing w:after="0" w:line="245" w:lineRule="auto"/>
        <w:rPr>
          <w:sz w:val="20"/>
          <w:szCs w:val="20"/>
          <w:color w:val="auto"/>
        </w:rPr>
      </w:pPr>
      <w:r>
        <w:rPr>
          <w:rFonts w:ascii="Times New Roman" w:cs="Times New Roman" w:eastAsia="Times New Roman" w:hAnsi="Times New Roman"/>
          <w:sz w:val="18"/>
          <w:szCs w:val="18"/>
          <w:color w:val="auto"/>
        </w:rPr>
        <w:t>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Also, if governmental parties or our competitors view our claims as misleading or false, we could be subject to liability based on fair competition-based statutes, such as the Lanham Act. Any allegations that our promotional activities are not truthful or misleading, even allegations without merit, could cause reputational harm and adversely affect our ability to operate our business and our results of operations.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0" w:name="page51"/>
    <w:bookmarkEnd w:id="5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compete effectively against our competitors’ pharmaceutical products.</w:t>
      </w:r>
    </w:p>
    <w:p>
      <w:pPr>
        <w:spacing w:after="0" w:line="108"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 It is probable that the number of companies seeking to develop products and therapies similar to VASCEPA will increase. Many of these and other existing or potential competitors may have substantially greater financial, technical and human resources than we do and may be better equipped to develop, manufacture and market products. These companies may develop and introduce products and processes competitive with, more efficient than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73"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Our competitors include large, well-established pharmaceutical and generic companies, specialty and generic pharmaceutical sales and marketing companies, and specialized cardiovascular treatment companies. With generic versions of VASCEPA launched in the U.S. by Hikma in November 2020, Dr. Reddy's in June 2021 and Apotex in January 2022, and with the potential for further generic versions being launched, it may not be viable for us to continue to invest in market education to grow the market and our ability to maintain current promotional efforts and attract favorable commercial terms in several aspects of our business will likely be adversely affected as we face increased generic competition, or if we launch our own generic version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VASCEPA.</w:t>
      </w:r>
    </w:p>
    <w:p>
      <w:pPr>
        <w:spacing w:after="0" w:line="90" w:lineRule="exact"/>
        <w:rPr>
          <w:sz w:val="20"/>
          <w:szCs w:val="20"/>
          <w:color w:val="auto"/>
        </w:rPr>
      </w:pPr>
    </w:p>
    <w:p>
      <w:pPr>
        <w:ind w:right="160" w:firstLine="509"/>
        <w:spacing w:after="0" w:line="226" w:lineRule="auto"/>
        <w:rPr>
          <w:sz w:val="20"/>
          <w:szCs w:val="20"/>
          <w:color w:val="auto"/>
        </w:rPr>
      </w:pPr>
      <w:r>
        <w:rPr>
          <w:rFonts w:ascii="Times New Roman" w:cs="Times New Roman" w:eastAsia="Times New Roman" w:hAnsi="Times New Roman"/>
          <w:sz w:val="18"/>
          <w:szCs w:val="18"/>
          <w:color w:val="auto"/>
        </w:rPr>
        <w:t>Woodward Pharma Services LLC currently sells Lovaza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it acquired from GlaxoSmithKline plc in the third quarter of 2021. Lovaza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 prescription-only omega-3 fatty acid indicated for patients with severe hypertriglyceridemia, was approved by the U.S. FDA in 2004 and has been on the market in the United States since 2005. Multiple generic versions of Lovaza are available in the United States. Other large companies with competitive products include AbbVie, Inc., which currently sells Tricor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Trilipix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the treatment of severe hypertriglyceridemia and Niaspan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is primarily used to raise high-density lipoprotein cholesterol, or HDL-C, but is also used to lower triglycerides. Multiple generic versions of Tricor, Trilipix and Niaspan are also available in the United States. We compete with these drugs, and in particular, multiple low-cost generic versions of these drugs, in our U.S. FDA-approved indicated uses, even though such products do not have U.S. FDA approval to reduce CV risk on top of statin therapy.</w:t>
      </w:r>
    </w:p>
    <w:p>
      <w:pPr>
        <w:spacing w:after="0" w:line="78"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In addition, in April 2014, Omtryg (omega-3-acid ethyl esters A) capsules, a free fatty acid form of omega-3 (comprised of 50% EPA and 40% DHA), developed by Trygg Pharma AS, received U.S. FDA approval for severe hypertriglyceridemia. Omtryg has not been commercially launched, but could launch at any time.</w:t>
      </w:r>
    </w:p>
    <w:p>
      <w:pPr>
        <w:spacing w:after="0" w:line="6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AstraZeneca conducted a long-term outcomes study to assess Statin Residual Risk Reduction With EpaNova in HiGh Cardiovascular Risk PatienTs With Hypertriglyceridemia, or STRENGTH. The study was a randomized, double-blind, placebo-controlled (corn oil), parallel group design that is believed to have enrolled approximately 13,000 patients with hypertriglyceridemia and low HDL and high risk for cardiovascular disease randomized 1:1 to either corn oil plus statin or Epanova plus statin, once daily. On January 13, 2020 following the recommendation of an independent Data Monitoring Committee, AstraZeneca decided to close the STRENGTH trial due to its low likelihood of demonstrating benefit to patients with mixed dyslipidemia who are at increased risk of cardiovascular disease. Full data from the STRENGTH trial was presented at the AHA's Scientific Sessions in November 2020, confirming that Epanova failed to meet the primary endpoint of CV risk reduction, and published in Journal of the American Medical Association (JAMA) in December 2020. In addition, in March 2017, Kowa Research Institute (a subsidiary of the Japanese company Kowa Co., Ltd) initiated a Phase 3 cardiovascular outcomes trial titled PROMINENT examining the effect of pemafibrate (experimental name K-877) in reducing cardiovascular events in Type II diabetic patients with hypertriglyceridemia. In April 2022, Kowa Research Institute announced the decision to not continue the PROMINENT study as the primary endpoint was unlikely to be met.</w:t>
      </w:r>
    </w:p>
    <w:p>
      <w:pPr>
        <w:spacing w:after="0" w:line="94"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During 2018, two outcomes studies were completed of omega-3 mixtures which both failed to achieve their primary endpoints of cardiovascular risk reduction and two meta-analyses were published showing that omega-3 mixtures of are not effective in lowering cardiovascular risk. Results of these failed outcomes studies, as described below and analysis, while not done with VASCEPA, may negatively affect sales of VASCEPA if omega-3 mixtures are broadly viewed as ineffective.</w:t>
      </w:r>
    </w:p>
    <w:p>
      <w:pPr>
        <w:spacing w:after="0" w:line="69"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For example, results of one of these two studies, the VITamin D and OmegA-3 TriaL, or VITAL, as announced immediately before the presentation of REDUCE-IT results at the 2018 Scientific Sessions of the AHA on November 10, 2018, failed to achieve its primary endpoint of lowering cardiovascular events. VITAL was an NIH funded randomized double-blind, placebo-controlled, 2x2 factorial trial of 2000 IU per day of vitamin D3 and 1 gram per day of omega-3 fatty acid mixture supplementation (Lovaza) for the primary prevention of cancer and cardiovascular disease in a nationwide USA cohort of 25,874 adults not selected for elevated cardiovascular or cancer risk.</w:t>
      </w:r>
    </w:p>
    <w:p>
      <w:pPr>
        <w:spacing w:after="0" w:line="87"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Likewise, in 2018, results from the other outcome study, A Study of Cardiovascular Events iN Diabetes (ASCEND) trial were released and showed negligible results for omega-3 fatty acid mixtures 1 gram daily. ASCEND was a British Heart Foundation funded 2x2 factorial design, randomized study to assess whether aspirin 100 mg daily versus placebo and separately, omega-3 fatty acid mixtures 1 gram daily versus placebo, reduce the risk of cardiovascular events in a nationwide United Kingdom, or UK, cohort of over 15,000 individuals with diabetes who do not have ASCVD.</w:t>
      </w:r>
    </w:p>
    <w:p>
      <w:pPr>
        <w:spacing w:after="0" w:line="86"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In a meta-analysis, presented in 2018 by the Cochrane Foundation and separately as published in JAMA, additional omega-3 studies were evaluated. Similar to the VITAL and ASCEND studies, most of the studies in these omega-3 meta-analyses were 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1" w:name="page52"/>
    <w:bookmarkEnd w:id="51"/>
    <w:p>
      <w:pPr>
        <w:ind w:right="340"/>
        <w:spacing w:after="0" w:line="250" w:lineRule="auto"/>
        <w:rPr>
          <w:sz w:val="20"/>
          <w:szCs w:val="20"/>
          <w:color w:val="auto"/>
        </w:rPr>
      </w:pPr>
      <w:r>
        <w:rPr>
          <w:rFonts w:ascii="Times New Roman" w:cs="Times New Roman" w:eastAsia="Times New Roman" w:hAnsi="Times New Roman"/>
          <w:sz w:val="18"/>
          <w:szCs w:val="18"/>
          <w:color w:val="auto"/>
        </w:rPr>
        <w:t>omega-3 mixtures, including DHA, and most were studies of relatively low doses of omega-3 as is associated with dietary supplementation and/or they studied relatively low risk patient populations. The exception was the JELIS study, conducted in Japan, of highly pure EPA which showed a positive outcome benefit but had significant limitations in its application to a wider population. The negative results from such omega-3 mixture studies could create misleading impressions about the use of omega-3s generally, including VASCEPA, despite REDUCE-IT positive results and the highly-pure and stable EPA active ingredient in VASCEPA and its higher dose regimen.</w:t>
      </w:r>
    </w:p>
    <w:p>
      <w:pPr>
        <w:spacing w:after="0" w:line="69" w:lineRule="exact"/>
        <w:rPr>
          <w:sz w:val="20"/>
          <w:szCs w:val="20"/>
          <w:color w:val="auto"/>
        </w:rPr>
      </w:pPr>
    </w:p>
    <w:p>
      <w:pPr>
        <w:ind w:right="280" w:firstLine="509"/>
        <w:spacing w:after="0" w:line="245" w:lineRule="auto"/>
        <w:rPr>
          <w:sz w:val="20"/>
          <w:szCs w:val="20"/>
          <w:color w:val="auto"/>
        </w:rPr>
      </w:pPr>
      <w:r>
        <w:rPr>
          <w:rFonts w:ascii="Times New Roman" w:cs="Times New Roman" w:eastAsia="Times New Roman" w:hAnsi="Times New Roman"/>
          <w:sz w:val="18"/>
          <w:szCs w:val="18"/>
          <w:color w:val="auto"/>
        </w:rPr>
        <w:t>More recently, in 2020, an additional Nordic trial known as OMEMI failed to demonstrate a reduction in cardiovascular events with an omega-3 fatty acid mixture. OMEMI, an investigator-initiated, multi-center, randomized clinical trial, was designed to evaluate the effects of daily treatment with omega-3 fatty acids compared with placebo among elderly patients (age 70-82) with recent myocardial infarction. Patients received 1.8 g omega-3 fatty acids (930 mg EPA and 660 mg DH) or placebo (corn oil) daily added to standard of care. Results presented in November 2020 at the AHA’s Scientific Sessions showed no significant differences in cardiovascular events between the treatment groups for the composite primary endpoint (non-fatal MI, unscheduled revascularization, stroke, hospitalization for heart failure or all-cause mortality), nor for the individual component of this endpoint after 2 years.</w:t>
      </w:r>
    </w:p>
    <w:p>
      <w:pPr>
        <w:spacing w:after="0" w:line="73"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Matinas BioPharma, Inc., or Matinas, is developing an omega-3-based therapeutic (MAT9001 also known as LYPDISO) for the treatment of severe hypertriglyceridemia and mixed dyslipidemia. In the fourth quarter of 2014 Matinas filed an IND with the U.S. FDA to conduct a human study in the treatment of severe hypertriglyceridemia and, in June 2015, the company announced topline results for its head-to-head comparative short duration pharmacokinetic and pharmacodynamic study of LYPDISO versus VASCEPA in patients under conditions inconsistent with the U.S. FDA-approved label for VASCEPA and presented results based on biomarker modification without outcomes data. In September 2017, Matinas announced that it will be seeking a partner company to develop and commercialize LYPDISO In March 2019, Matinas announced that net proceeds from a public offering of common stock would be used for development activities for LYPDISO In March 2020, Matinas announced that it completed the clinical dosing for a comparative clinical bridging bioavailability study and the in-life portion of a 90-day comparative toxicology study in the first quarter of 2020. Both studies were conducted to support a planned 505(b)(2) registration pathway. In March, Matinas also initiated an additional Phase 2 head-to-head pharmacokinetic and pharmacodynamic study, ENHANCE-IT, against VASCEPA in patients with elevated triglycerides (150-499 mg/dL), while the study was paused in the first quarter of 2020 due to the COVID-19 pandemic, enrollment resumed in June and was completed in August 2020. In the first quarter of 2021, Matinas announced topline results from the ENHANCE-IT study, stating that LYPDISO, or MAT9001, did not meet statistical significance over VASCEPA on the primary endpoint of percent change from baseline to end of treatment in triglycerides in the PD population. A key secondary endpoint in ENHANCE-IT was the measurement of eicosapentaenoic acid levels in the blood, which is regarded as a key surrogate marker in determining cardiovascular risk reduction. In ENHANCE-IT, plasma EPA concentrations were significantly higher with LYPDISO versus VASCEPA, with a 46% relative percentage increase in the change from baseline EPA level versus VASCEPA. ENHANCE-IT study results were published in March 2022 in the Journal of the American Heart Association (JAHA). Matinas has announced that the results from ENHANCE-IT suggest potential for LYPDISO as a drug for cardiovascular risk reduction and announced that it is pursuing external partnerships to further develop LYPDISO for cardiovascular outcomes indication. As a result, Matinas no longer plans to pursue an indication for the treatment of severe HTG, instead focusing on the broader cardiovascular risk reduction indication.</w:t>
      </w:r>
    </w:p>
    <w:p>
      <w:pPr>
        <w:spacing w:after="0" w:line="82"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In June 2018, NeuroBo Pharmaceuticals, Inc. (previously named Gemphire Therapeutics) announced positive topline results from a Phase 2b trial, or INDIGO-1, of its drug candidate, Gemcabene, in patients with severe hypertriglyceridemia. Gemcabene is an oral, once-daily pill for a number of hypercholesterolemic populations and severe hypertriglyceridemia. In August 2018, the U.S. FDA requested that Gemphire conduct an additional long-term toxicity study before commencing any further clinical testing, thereby effectively placing Gemcabene on clinical hold. In March 2020 NeuroBo announced the completion of the requested studies, and in May 2020 the company announced that it received written communication from the U.S. FDA that the clinical development program for Gemcabene remains on partial clinical hold for severe HTG. In June 2019, Gemphire announced top-line clinical results from a Phase 2 trial in Familial Partial Lipodystrophy (FPL)/NASH in which Gemcabene safely met the primary endpoint in a sub-set of patients. Phase 3 studies for homozygous familial (hypercholesterolemia, or HoFH), heterozygous familial hypercholesterolemia, or HeFH, and non-familial hypercholesterolemia in ASCVD patients are planned. NeuroBO is currently assessing Gemcabene for additional indications, including, as an acute treatment for COVID-19.</w:t>
      </w:r>
    </w:p>
    <w:p>
      <w:pPr>
        <w:spacing w:after="0" w:line="78"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Afimmune Ltd. has an oral, small molecule drug candidate, epeleuton (DS-102), in development for a number of conditions of the liver, lung, and metabolic system, including hypertriglyceridemia and cardiovascular risk reduction, Phase 2 clinical trials are currently ongoing for non-alcoholic fatty liver disease, or NAFLD, chronic obstructive pulmonary disease, or COPD, and planned for hypertriglyceridemia and Type 2 diabetes (TRIAGE), in the United States. In November 2019, Afimmune Ltd. announced positive results from an exploratory Phase 2 study of epeleuton in patients with NAFLD in which the molecule decreased triglycerides, improved glycemic control, and decreased markers of inflammation. In August 2020, Afimmune reported Ph2a study results of epeleuton in patients with NAFLD. Although epeleuton failed to meet the primary endpoint to demonstrate effects on liver enzyme elevation, it demonstrated significant reduction of triglycerides, HbA1c and potential for CV risk reduction. In September 2020, Afimmune announced the start of TRIglyceride And Glucose control with Epeleuton in Metabolic Syndrome Patients, or TRIAGE, a Phase IIb study of epeleuton in patients with high triglycerides and type 2 diabetes to assess the safety and efficacy of orally</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administered epeleuton capsules vs placebo in the treatment of hypertriglyceridemia and type 2 diabetes. Results are expected in the third quarter of 2022.</w:t>
      </w:r>
    </w:p>
    <w:p>
      <w:pPr>
        <w:spacing w:after="0" w:line="117" w:lineRule="exact"/>
        <w:rPr>
          <w:sz w:val="20"/>
          <w:szCs w:val="20"/>
          <w:color w:val="auto"/>
        </w:rPr>
      </w:pPr>
    </w:p>
    <w:p>
      <w:pPr>
        <w:ind w:right="200" w:firstLine="509"/>
        <w:spacing w:after="0" w:line="242" w:lineRule="auto"/>
        <w:rPr>
          <w:sz w:val="20"/>
          <w:szCs w:val="20"/>
          <w:color w:val="auto"/>
        </w:rPr>
      </w:pPr>
      <w:r>
        <w:rPr>
          <w:rFonts w:ascii="Times New Roman" w:cs="Times New Roman" w:eastAsia="Times New Roman" w:hAnsi="Times New Roman"/>
          <w:sz w:val="18"/>
          <w:szCs w:val="18"/>
          <w:color w:val="auto"/>
        </w:rPr>
        <w:t>Based on prior communications from the U.S. FDA, including communications in connection with its review of the ANCHOR indication for VASCEPA, it is our understanding that the U.S. FDA is not prepared to approve any therapy for treatment of cardiovascular risk based on biomarker modification without cardiovascular outcomes study data, with the potential exception of therapies which lower LDL-cholesterol, depending on the circumstances. In particular, it is our understanding that the U.S. FDA is not prepared to approve any therapy based primarily on data demonstrating lowering of triglyceride levels. In our view, this position from the U.S. FDA did not change based on the REDUCE-IT study particularly in light of significant independence of the positive benefit demonstrated in the REDUCE-IT study from triglyceride levels and benefit from the REDUCE-IT study supporting that the positive effects of VASCEPA are unique to VASCEPA and extend beyond triglyceride reduction. If the U.S. FDA were to change this position, it could potentially have a negative impact on us by making it easier for other products to achieve a cardiovascular risk reduction indication without the need in advance to conduct a long and expensive cardiovascular outcomes study.</w:t>
      </w:r>
    </w:p>
    <w:p>
      <w:pPr>
        <w:spacing w:after="0" w:line="79"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7"/>
          <w:szCs w:val="17"/>
          <w:color w:val="auto"/>
        </w:rPr>
        <w:t>VASCEPA also faces competition from dietary supplement manufacturers marketing omega-3 products as nutritional supplements. Such products are classified as food, not as prescription drugs or over-the-counter drugs, by the U.S. FDA in the United States. Most regulatory regimes outside the United States are similar in this regard. Some of the promoters of such products have greater resources than us and are not restricted to the same standards as are prescription drugs with respect to promotional claims or manufacturing quality, consistency and subsequent product stability. Although we have taken successful legal action against supplement manufacturers attempting to use the REDUCE-IT results to promote their products, we cannot be sure physicians and pharmacists will view the U.S. FDA-approved, prescription-only status, and EPA-only purity and stability of VASCEPA or U.S. FDA’s stringent regulatory oversight, as significant advantages versus omega-3 dietary supplements regardless of clinical study results and other scientific data.</w:t>
      </w:r>
    </w:p>
    <w:p>
      <w:pPr>
        <w:spacing w:after="0" w:line="72"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Although VASCEPA is currently the only drug that is approved for cardiovascular risk reduction in Europe in the at-risk patient population studied in REDUCE-IT, and there is currently no other direct competition for Canada and the Middle East, consistent with the U.S., our competitors include large, well-established and experienced pharmaceutical companies, specialty and generic pharmaceutical companies, marketing companies, and specialized cardiovascular treatment companies and we have no experience as a company self-commercializing a product outside of the United States.</w:t>
      </w:r>
    </w:p>
    <w:p>
      <w:pPr>
        <w:spacing w:after="0" w:line="69" w:lineRule="exact"/>
        <w:rPr>
          <w:sz w:val="20"/>
          <w:szCs w:val="20"/>
          <w:color w:val="auto"/>
        </w:rPr>
      </w:pPr>
    </w:p>
    <w:p>
      <w:pPr>
        <w:ind w:right="20" w:firstLine="509"/>
        <w:spacing w:after="0" w:line="268" w:lineRule="auto"/>
        <w:rPr>
          <w:sz w:val="20"/>
          <w:szCs w:val="20"/>
          <w:color w:val="auto"/>
        </w:rPr>
      </w:pPr>
      <w:r>
        <w:rPr>
          <w:rFonts w:ascii="Times New Roman" w:cs="Times New Roman" w:eastAsia="Times New Roman" w:hAnsi="Times New Roman"/>
          <w:sz w:val="17"/>
          <w:szCs w:val="17"/>
          <w:color w:val="auto"/>
        </w:rPr>
        <w:t>Recent CV outcomes trials and meta-analyses with low and high dose omega-3 fatty acid mixtures containing DHA have not shown substantial benefit in patients receiving contemporary medical therapy, including statins. Due to failed low dose omega-3 CV outcomes trials, the European regulatory</w:t>
      </w:r>
    </w:p>
    <w:p>
      <w:pPr>
        <w:ind w:right="60"/>
        <w:spacing w:after="0" w:line="220" w:lineRule="auto"/>
        <w:rPr>
          <w:sz w:val="20"/>
          <w:szCs w:val="20"/>
          <w:color w:val="auto"/>
        </w:rPr>
      </w:pPr>
      <w:r>
        <w:rPr>
          <w:rFonts w:ascii="Times New Roman" w:cs="Times New Roman" w:eastAsia="Times New Roman" w:hAnsi="Times New Roman"/>
          <w:sz w:val="18"/>
          <w:szCs w:val="18"/>
          <w:color w:val="auto"/>
        </w:rPr>
        <w:t>authorities have concluded that omega-3 fatty acid medicines (specifically Lovaza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/Omacor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at a dose of 1-gram per day are not effective in preventing further events for patients who have had a heart attack. The STRENGTH trial of an omega-3 mixture studied at 4-grams per day also failed to demonstrate cardiovascular benefit.</w:t>
      </w:r>
    </w:p>
    <w:p>
      <w:pPr>
        <w:spacing w:after="0" w:line="209" w:lineRule="exact"/>
        <w:rPr>
          <w:sz w:val="20"/>
          <w:szCs w:val="20"/>
          <w:color w:val="auto"/>
        </w:rPr>
      </w:pPr>
    </w:p>
    <w:p>
      <w:pPr>
        <w:ind w:right="7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generic company competitors seek to compete with copies of VASCEPA in the United States and elsewhere we could face additional challenges to our patents and additional patent litigation.</w:t>
      </w:r>
    </w:p>
    <w:p>
      <w:pPr>
        <w:spacing w:after="0" w:line="37" w:lineRule="exact"/>
        <w:rPr>
          <w:sz w:val="20"/>
          <w:szCs w:val="20"/>
          <w:color w:val="auto"/>
        </w:rPr>
      </w:pPr>
    </w:p>
    <w:p>
      <w:pPr>
        <w:jc w:val="both"/>
        <w:ind w:right="20" w:firstLine="509"/>
        <w:spacing w:after="0" w:line="247" w:lineRule="auto"/>
        <w:rPr>
          <w:sz w:val="20"/>
          <w:szCs w:val="20"/>
          <w:color w:val="auto"/>
        </w:rPr>
      </w:pPr>
      <w:r>
        <w:rPr>
          <w:rFonts w:ascii="Times New Roman" w:cs="Times New Roman" w:eastAsia="Times New Roman" w:hAnsi="Times New Roman"/>
          <w:sz w:val="18"/>
          <w:szCs w:val="18"/>
          <w:color w:val="auto"/>
        </w:rPr>
        <w:t>The FDCA, as amended by the Drug Price Competition and Patent Term Restoration Act of 1984, as amended, or the Hatch-Waxman Amendments, permits the U.S.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58" w:lineRule="exact"/>
        <w:rPr>
          <w:sz w:val="20"/>
          <w:szCs w:val="20"/>
          <w:color w:val="auto"/>
        </w:rPr>
      </w:pPr>
    </w:p>
    <w:p>
      <w:pPr>
        <w:ind w:firstLine="509"/>
        <w:spacing w:after="0" w:line="233" w:lineRule="auto"/>
        <w:rPr>
          <w:sz w:val="20"/>
          <w:szCs w:val="20"/>
          <w:color w:val="auto"/>
        </w:rPr>
      </w:pPr>
      <w:r>
        <w:rPr>
          <w:rFonts w:ascii="Times New Roman" w:cs="Times New Roman" w:eastAsia="Times New Roman" w:hAnsi="Times New Roman"/>
          <w:sz w:val="18"/>
          <w:szCs w:val="18"/>
          <w:color w:val="auto"/>
        </w:rPr>
        <w:t>As an alternate path to U.S. FDA approval for modifications of products previously approved by the U.S. FDA, an applicant may submit a new drug application, or NDA, under Section 505(b)(2) of the FDCA (enacted as part of the Hatch-Waxman Amendments). This statutory provision permits the filing of an NDA where at least some of the information required for approval comes from studies not conducted by or for the applicant and for which the applicant has not obtained a right of reference from the owner of the data. The Hatch-Waxman Amendments permit the applicant to rely upon the U.S. FDA findings of safety and effectiveness of a drug that has obtained U.S. FDA approval based on preclinical or clinical studies conducted by others. In addition to relying on U.S. FDA prior findings of safety and effectiveness for a referenced drug product, the U.S. FDA may require companies to perform additional preclinical or clinical studies to support approval of the modification to the referenced product.</w:t>
      </w:r>
    </w:p>
    <w:p>
      <w:pPr>
        <w:spacing w:after="0" w:line="78" w:lineRule="exact"/>
        <w:rPr>
          <w:sz w:val="20"/>
          <w:szCs w:val="20"/>
          <w:color w:val="auto"/>
        </w:rPr>
      </w:pPr>
    </w:p>
    <w:p>
      <w:pPr>
        <w:ind w:firstLine="509"/>
        <w:spacing w:after="0" w:line="236" w:lineRule="auto"/>
        <w:rPr>
          <w:sz w:val="20"/>
          <w:szCs w:val="20"/>
          <w:color w:val="auto"/>
        </w:rPr>
      </w:pPr>
      <w:r>
        <w:rPr>
          <w:rFonts w:ascii="Times New Roman" w:cs="Times New Roman" w:eastAsia="Times New Roman" w:hAnsi="Times New Roman"/>
          <w:sz w:val="18"/>
          <w:szCs w:val="18"/>
          <w:color w:val="auto"/>
        </w:rPr>
        <w:t>If an application for a generic version of a branded product or a Section 505(b)(2) application relies on a prior U.S. FDA finding of safety and effectiveness of a previously-approved product including an alternative strength thereof, the applicant is required to certify to the U.S. FDA concerning any patents listed for the referenced product in the U.S. FDA publication called “Approved Drug Products with Therapeutic Equivalence Evaluations,” otherwise known as the “Orange Book.” Specifically, the applicant must certify in the application that:</w:t>
      </w:r>
    </w:p>
    <w:p>
      <w:pPr>
        <w:spacing w:after="0" w:line="90"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patent information listed for the reference drug;</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 for the reference drug;</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53" w:name="page54"/>
    <w:bookmarkEnd w:id="53"/>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for the reference drug has not expired, but will expire on a particular date and approval is sought after patent expiration; or</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for the reference drug is invalid, unenforceable, or will not be infringed by the manufacture, use or sale of the product for which the ANDA or 505(b)(2) NDA is submitted.</w:t>
      </w:r>
    </w:p>
    <w:p>
      <w:pPr>
        <w:spacing w:after="0" w:line="54"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The Hatch-Waxman Amendments require an applicant for a drug product that relies, in whole or in part, on the U.S. FDA’s prior approval of VASCEPA, to notify us of its application, a “paragraph IV” notice, if the applicant is seeking to market its product prior to the expiration of the patents that both claim VASCEPA and are listed in the Orange Book. A bona fide paragraph IV notice may not be given under the Hatch-Waxman Amendments until after the generic company receives from the U.S. FDA an acknowledgement letter stating that its ANDA is sufficiently complete to permit a substantive review.</w:t>
      </w:r>
    </w:p>
    <w:p>
      <w:pPr>
        <w:spacing w:after="0" w:line="69"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The paragraph IV notice is required to contain a detailed factual and legal statement explaining the basis for the applicant’s opinion that the proposed product does not infringe our patents, that the relevant patents are invalid, or both. After receipt of a valid notice, the branded product manufacturer has the option of bringing a patent infringement suit in federal district court against any generic company seeking approval for its product within 45 days from the date of receipt of each notice. If such a suit is commenced within this 45-day period, the Hatch-Waxman Amendments provide for a 30-month stay on U.S. FDA’s ability to give final approval to the proposed generic product, which period begins on the date the paragraph IV notice is received. Generally, during a period of time in which generic applications may be submitted for a branded product based on a product’s regulatory exclusivity status, if no patents are listed in the Orange Book before the date on which a complete ANDA application for a product (excluding an amendment or supplement to the application) is submitted, an ANDA application could be approved by U.S. FDA without regard to a stay. For products entitled to five-year exclusivity status, the Hatch-Waxman Amendments provide that an ANDA application may be submitted after four years following U.S. FDA approval of the branded product if it contains a certification of patent invalidity or non-infringement to a patent listed in the Orange Book. In such a case, the 30-month stay runs from the end of the five-year exclusivity period. Statutory stays may be shortened or lengthened if either party fails to cooperate in the litigation and it may be terminated if the court decides the case in less than 30 months. If the litigation is resolved in favor of the ANDA applicant before the expiration of the 30-month period, the stay will be immediately lifted and the U.S. FDA’s review of the application may be completed. Such litigation is often time-consuming and costly, and may result in generic competition if such patents are not upheld or if the generic competitor is found not to infringe such patents.</w:t>
      </w:r>
    </w:p>
    <w:p>
      <w:pPr>
        <w:spacing w:after="0" w:line="95"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In addition to the ANDA patent litigation described above, we could face patent litigation related to the patents filed in the Orange Book related to the REDUCE-IT study. A three-year period of exclusivity under the Hatch-Waxman Amendments is generally granted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received three-year exclusivity in connection with the approval of our sNDA for REDUCE-IT study results. Such three-year exclusivity protection precludes, unless otherwise agreed, the U.S. FDA from approving a marketing application for an ANDA, a product candidate that the U.S. FDA views as having the same conditions of approval as VASCEPA (for example, the same indication and/or other conditions of use), or a 505(b)(2) NDA submitted to the U.S. FDA with VASCEPA as the reference product until December 13, 2022, three years from the date of U.S. FDA approval of the REDUCE-IT sNDA. While this three-year exclusivity would generally prevent such an approval based on our REDUCE-IT indication during such time, it does not preclude tentative or final approval of an ANDA based on our MARINE indication. The U.S. FDA may accept and commence review of such REDUCE-IT-related applications during the three-year exclusivity period. Such three-year exclusivity grant does not prevent a company from challenging the validity of REDUCE-IT patents during such period. This three-year form of exclusivity may also not prevent the U.S. FDA from approving an NDA that relies only on its own data to support the change or innovation. Regulatory exclusivity is in addition to exclusivity afforded by issued patents related to VASCEPA.</w:t>
      </w:r>
    </w:p>
    <w:p>
      <w:pPr>
        <w:spacing w:after="0" w:line="92"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We may also face challenges to the validity of our patents through a procedure known as inter partes review. Inter partes review is a trial proceeding conducted through the Patent Trial and Appeal Board, of the USPTO. Such a proceeding could be introduced against us within the statutory one-year window triggered by service of a complaint for infringement related to an ANDA filing or at any time by an entity not served with a complaint. Such proceedings may review the patentability of one or more claims in a patent on specified substantive grounds such as allegations that a claim is obvious on the basis of certain prior art.</w:t>
      </w:r>
    </w:p>
    <w:p>
      <w:pPr>
        <w:spacing w:after="0" w:line="73"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intend to vigorously enforce our intellectual property rights relating to VASCEPA, but we cannot predict the outcome of the pending lawsuits, any appeals, or any subsequently filed lawsuits or inter partes review.</w:t>
      </w:r>
    </w:p>
    <w:p>
      <w:pPr>
        <w:spacing w:after="0" w:line="68" w:lineRule="exact"/>
        <w:rPr>
          <w:sz w:val="20"/>
          <w:szCs w:val="20"/>
          <w:color w:val="auto"/>
        </w:rPr>
      </w:pPr>
    </w:p>
    <w:p>
      <w:pPr>
        <w:ind w:right="160" w:firstLine="509"/>
        <w:spacing w:after="0" w:line="246" w:lineRule="auto"/>
        <w:rPr>
          <w:sz w:val="20"/>
          <w:szCs w:val="20"/>
          <w:color w:val="auto"/>
        </w:rPr>
      </w:pPr>
      <w:r>
        <w:rPr>
          <w:rFonts w:ascii="Times New Roman" w:cs="Times New Roman" w:eastAsia="Times New Roman" w:hAnsi="Times New Roman"/>
          <w:sz w:val="18"/>
          <w:szCs w:val="18"/>
          <w:color w:val="auto"/>
        </w:rPr>
        <w:t>Generally, if an ANDA filer meets the approval requirements for a generic version of VASCEPA to the satisfaction of the U.S. FDA under its ANDA, U.S. FDA may grant tentative approval to the ANDA during a Hatch-Waxman 30-month stay period and during the Hatch-Waxman 36-month regulatory exclusivity period. A tentative approval is issued to an ANDA applicant when its application is approvable prior to the expiration of any exclusivities applicable to the branded, reference listed drug product. A tentative approval does not allow the applicant to market the generic drug product and postpones the final ANDA approval until applicable exclusivity protections have expired.</w:t>
      </w:r>
    </w:p>
    <w:p>
      <w:pPr>
        <w:spacing w:after="0" w:line="73" w:lineRule="exact"/>
        <w:rPr>
          <w:sz w:val="20"/>
          <w:szCs w:val="20"/>
          <w:color w:val="auto"/>
        </w:rPr>
      </w:pPr>
    </w:p>
    <w:p>
      <w:pPr>
        <w:ind w:right="320" w:firstLine="509"/>
        <w:spacing w:after="0" w:line="254" w:lineRule="auto"/>
        <w:rPr>
          <w:sz w:val="20"/>
          <w:szCs w:val="20"/>
          <w:color w:val="auto"/>
        </w:rPr>
      </w:pPr>
      <w:r>
        <w:rPr>
          <w:rFonts w:ascii="Times New Roman" w:cs="Times New Roman" w:eastAsia="Times New Roman" w:hAnsi="Times New Roman"/>
          <w:sz w:val="18"/>
          <w:szCs w:val="18"/>
          <w:color w:val="auto"/>
        </w:rPr>
        <w:t>Generic versions of VASCEPA made available in the market, even if based on a MARINE indication, are often used to fill a prescription for any intended use of the drug. If any approved ANDA filers are able to supply the product in significant commercial</w:t>
      </w: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4" w:name="page55"/>
    <w:bookmarkEnd w:id="54"/>
    <w:p>
      <w:pPr>
        <w:ind w:right="20"/>
        <w:spacing w:after="0" w:line="250" w:lineRule="auto"/>
        <w:rPr>
          <w:sz w:val="20"/>
          <w:szCs w:val="20"/>
          <w:color w:val="auto"/>
        </w:rPr>
      </w:pPr>
      <w:r>
        <w:rPr>
          <w:rFonts w:ascii="Times New Roman" w:cs="Times New Roman" w:eastAsia="Times New Roman" w:hAnsi="Times New Roman"/>
          <w:sz w:val="18"/>
          <w:szCs w:val="18"/>
          <w:color w:val="auto"/>
        </w:rPr>
        <w:t>quantities, generic companies could introduce generic versions of VASCEPA in the market, as did Hikma in November 2020, Dr. Reddy's in June 2021 and Apotex in January 2022. Although any such introduction of a generic version of VASCEPA would also be subject to any litigation settlement terms and patent infringement claims (including any new claims and those that may then be subject to an appeal), pursuing such litigation may be prohibitively costly or could put a substantial constraint on our resources.</w:t>
      </w:r>
    </w:p>
    <w:p>
      <w:pPr>
        <w:spacing w:after="0" w:line="83"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On July 9, 2021, President Biden issued an executive order directing the U.S. FDA to, among other things, continue to clarify and improve the approval framework for generic drugs and identify and address any efforts to impede generic drug competition.</w:t>
      </w:r>
    </w:p>
    <w:p>
      <w:pPr>
        <w:spacing w:after="0" w:line="54"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Any significant degree of generic market entry would limit our U.S. sales, which would have a significant adverse impact on our business and results of operations. In addition, even if a competitor’s effort to introduce a generic product is ultimately unsuccessful, the perception that such development is in progress and/or news related to such progress or news related to litigation outcomes could materially affect the reputation of VASCEPA or the perceived value of our company and our stock price. In addition, generic market entry, whether limited to its approved indication or not, can create market disruption which leads to an overall slowing of market growth regardless of whether the net price of the generic entry is higher or lower than the net price of the branded drug. Such disruption includes potential stock shortages of the generic market entry at retail pharmacies and wholesalers which can cause filling of prescriptions for patients to be delayed or abandoned. Sponsors of generic entries typically do not fund market education initiatives to help healthcare professionals and at-risk patients learn about a new drug, which, particularly for a recently launched drug, can potentially limit overall growth. And certain States impose restrictions on the promotion of branded drugs, particularly if the generic market entry is less expensive than the branded drug. While some companies with generic competition elect to launch an authorized generic form of the drug to counter the perception, real or imagined, that generics are less expensive, if launched, an authorized generic is typically aligned with reduction or elimination of promotion of the associated branded drug, thus limiting the extent of market growth and potentially contracting the overall size of the realized market penetration. While an authorized generic could be profitable the market opportunity for growth from an authorized generic is likely less than from promotion of a branded drug, and as such we have not launched an authorized generic version of VASCEPA to date, but may elect to do so in the future.</w:t>
      </w:r>
    </w:p>
    <w:p>
      <w:pPr>
        <w:spacing w:after="0" w:line="220"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The active pharmaceutical ingredient in VASCEPA is difficult and time consuming to manufacture, often requires considerable advanced planning and long-term financial commitments to ensure sufficient capacity is available when needed. One of the generic competitors which has filed a lawsuit against us claiming we have engaged in anticompetitive practices related to our building of adequate supply for our needs and, in activities we believe were prompted by the generic competitor, government agencies are investigating our business as it relates to the supply of the active pharmaceutical ingredient in VASCEPA. Consumer lawsuits with similar allegations have also been filed. This dynamic could interfere with our business plans.</w:t>
      </w:r>
    </w:p>
    <w:p>
      <w:pPr>
        <w:spacing w:after="0" w:line="73"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The active pharmaceutical ingredient in VASCEPA is difficult and time consuming to manufacture, often requires considerable advanced planning and long-term financial commitments to ensure sufficient capacity is available when needed. We have invested over a decade of resources and expenses to develop with our third-party, active pharmaceutical ingredient supply chain the technical knowhow, manufacturing processes and related regulatory approvals that have helped enable our suppliers to supply our clinical and commercial needs globally.</w:t>
      </w:r>
    </w:p>
    <w:p>
      <w:pPr>
        <w:spacing w:after="0" w:line="83"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As has been a practice in the generic pharmaceutical industry, on April 27, 2021, Dr. Reddy’s filed a complaint against us in the United States District Court District of New Jersey (case no. 2:21-cv-10309) alleging various antitrust violations stemming from alleged anticompetitive practices related to the supply of active pharmaceutical ingredient of VASCEPA. Damages sought include recovery for alleged economic harm to Dr. Reddy’s, payors, and consumers, treble damages and other costs and fees. Injunctive relief against the alleged violative activities is also being sought by Dr. Reddy’s. Consumer group lawsuits followed claiming similar violations and alleging, for example, that such alleged violations resulted in higher prices to consumers. Such litigation can be lengthy, costly and could materially affect and disrupt our business. We believe we have valid defenses and will vigorously defend against the claims but cannot predict the outcome.</w:t>
      </w:r>
    </w:p>
    <w:p>
      <w:pPr>
        <w:spacing w:after="0" w:line="73"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18"/>
          <w:szCs w:val="18"/>
          <w:color w:val="auto"/>
        </w:rPr>
        <w:t>We have also received a civil investigative demand from the U.S. FTC and a subpoena from the New York Attorney General with respect to practices relating to our supply of the active pharmaceutical ingredient in VASCEPA. We believe such contact from the governments may have been prompted by a generic competitor. The government inquiries require us to produce documents and answer related questions relevant to specified time periods. We are cooperating with the agencies. Such investigations can be lengthy, costly and could materially affect and disrupt our business. We cannot predict when these investigations will be resolved, the outcome of the investigations or their potential impact on our business. If a government determines that we have violated antitrust law, we could be subject to significant civil fines and penalties.</w:t>
      </w:r>
    </w:p>
    <w:p>
      <w:pPr>
        <w:spacing w:after="0" w:line="218" w:lineRule="exact"/>
        <w:rPr>
          <w:sz w:val="20"/>
          <w:szCs w:val="20"/>
          <w:color w:val="auto"/>
        </w:rPr>
      </w:pPr>
    </w:p>
    <w:p>
      <w:pPr>
        <w:ind w:right="36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VASCEPA is a prescription-only omega-3 fatty acid product. Omega-3 fatty acids are also marketed by other companies as non-prescription dietary supplements. As a result, in the U.S. VASCEPA is subject to non-prescription competition and consumer substitution.</w:t>
      </w:r>
    </w:p>
    <w:p>
      <w:pPr>
        <w:spacing w:after="0" w:line="50" w:lineRule="exact"/>
        <w:rPr>
          <w:sz w:val="20"/>
          <w:szCs w:val="20"/>
          <w:color w:val="auto"/>
        </w:rPr>
      </w:pPr>
    </w:p>
    <w:p>
      <w:pPr>
        <w:ind w:right="260" w:firstLine="509"/>
        <w:spacing w:after="0" w:line="247" w:lineRule="auto"/>
        <w:rPr>
          <w:sz w:val="20"/>
          <w:szCs w:val="20"/>
          <w:color w:val="auto"/>
        </w:rPr>
      </w:pPr>
      <w:r>
        <w:rPr>
          <w:rFonts w:ascii="Times New Roman" w:cs="Times New Roman" w:eastAsia="Times New Roman" w:hAnsi="Times New Roman"/>
          <w:sz w:val="18"/>
          <w:szCs w:val="18"/>
          <w:color w:val="auto"/>
        </w:rPr>
        <w:t>Our only product, VASCEPA, is a prescription-only form of EPA, an omega-3 fatty acid in ethyl ester form. Mixtures of omega-3 fatty acids in triglyceride form are naturally occurring substances contained in various foods, including fatty fish. Omega-3 fatty acids are marketed by others in a number of chemical forms as non-prescription dietary supplements. We cannot be sure physicians and other providers will view the U.S. FDA approval, pharmaceutical grade purity and proven efficacy and safety of</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5" w:name="page56"/>
    <w:bookmarkEnd w:id="55"/>
    <w:p>
      <w:pPr>
        <w:ind w:right="140"/>
        <w:spacing w:after="0" w:line="250" w:lineRule="auto"/>
        <w:rPr>
          <w:sz w:val="20"/>
          <w:szCs w:val="20"/>
          <w:color w:val="auto"/>
        </w:rPr>
      </w:pPr>
      <w:r>
        <w:rPr>
          <w:rFonts w:ascii="Times New Roman" w:cs="Times New Roman" w:eastAsia="Times New Roman" w:hAnsi="Times New Roman"/>
          <w:sz w:val="18"/>
          <w:szCs w:val="18"/>
          <w:color w:val="auto"/>
        </w:rPr>
        <w:t>VASCEPA as having a superior therapeutic profile to unproven and loosely regulated omega-3 fatty acid dietary supplements. In addition, the U.S. FDA has not yet enforced to the full extent of its regulatory authority what we view as illegal claims made by certain omega-3 fatty acid product manufacturers to the extent we believe appropriate under applicable law and regulations, for example, claims that certain of such chemically altered products are dietary supplements and that certain of such products reduce triglyceride levels or could reduce cardiovascular risk.</w:t>
      </w:r>
    </w:p>
    <w:p>
      <w:pPr>
        <w:spacing w:after="0" w:line="83"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 xml:space="preserve">Also, for over a decade, subject to certain limitations, the U.S. FDA has expressly permitted dietary supplement manufacturers that sell supplements containing the omega-3 fatty acids EPA and/or DHA to make the following qualified health claim directly to consumers: </w:t>
      </w:r>
      <w:r>
        <w:rPr>
          <w:rFonts w:ascii="Times New Roman" w:cs="Times New Roman" w:eastAsia="Times New Roman" w:hAnsi="Times New Roman"/>
          <w:sz w:val="18"/>
          <w:szCs w:val="18"/>
          <w:i w:val="1"/>
          <w:iCs w:val="1"/>
          <w:color w:val="auto"/>
        </w:rPr>
        <w:t>Supportive but not conclusive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research shows that consumption of EPA and DHA omega-3 fatty acids may reduce the risk of coronary heart disease. </w:t>
      </w:r>
      <w:r>
        <w:rPr>
          <w:rFonts w:ascii="Times New Roman" w:cs="Times New Roman" w:eastAsia="Times New Roman" w:hAnsi="Times New Roman"/>
          <w:sz w:val="18"/>
          <w:szCs w:val="18"/>
          <w:color w:val="auto"/>
        </w:rPr>
        <w:t>Such companies are not,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based on U.S. FDA enforcement activity, to make claims that suggest or imply treatment of cardiovascular disease.</w:t>
      </w:r>
    </w:p>
    <w:p>
      <w:pPr>
        <w:spacing w:after="0" w:line="6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These factors enable dietary supplements to compete with VASCEPA to a certain degree. Although we have taken steps to address these competitive issues, and plan to continue to do so vigorously, we may not be successful in such efforts.</w:t>
      </w:r>
    </w:p>
    <w:p>
      <w:pPr>
        <w:spacing w:after="0" w:line="54"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For example, on October 29, 2018, we filed two lawsuits in U.S. federal court, each against a different dietary supplement company for unlawfully using the results from the REDUCE-IT cardiovascular outcomes study to falsely and deceptively claim that their omega-3 dietary supplement products are effective in reducing cardiovascular risk. The defendants in the cases were Omax Health, Inc., or Omax, and The Coromega Company, Inc., or Coromega. In April 2019, based on the strength of our case and available legal remedies, Omax and Coromega settled these litigations under terms by which Omax and Coromega agreed to substantially all the demands in our complaints. Under the settlements, Coromega and Omax agreed to publicly correct their prior statements that wrongly suggested the REDUCE-IT cardiovascular outcomes trial supports the safety and efficacy of omega-3 dietary supplements. Each dietary supplement company also acknowledged that as a general matter under federal law dietary supplements may be lawfully marketed to supplement the diet, but they cannot be lawfully marketed to treat, mitigate, or prevent disease, such as cardiovascular disease.</w:t>
      </w:r>
    </w:p>
    <w:p>
      <w:pPr>
        <w:spacing w:after="0" w:line="7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Similarly, on August 30, 2017, we filed a lawsuit with the United States International Trade Commission, or the ITC, against manufacturers, importers, and distributors of products containing synthetically produced omega-3 products in ethyl ester or re-esterified triglyceride form that contain more EPA than DHA or any other single component for use in or as dietary supplements. The lawsuit sought an investigation by the ITC regarding potentially unfair methods of competition and unfair acts involving the importation and sale of articles in the United States that injure or threaten injury to a domestic industry. In October 2017, the ITC determined to not institute our requested investigation. We appealed this determination to the U.S. Federal Circuit, but that court upheld ITC’s determination. On July 30, 2019, we filed a petition with the U.S. Supreme Court seeking to appeal the Federal Circuit decision, which petition was denied on December 9, 2019, ending this litigation. We have also engaged with U.S. FDA on the topic of synthetically produced omega-3 products through the citizen’s petition process and otherwise.</w:t>
      </w:r>
    </w:p>
    <w:p>
      <w:pPr>
        <w:spacing w:after="0" w:line="78"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In addition, to the extent the net price of VASCEPA after insurance and offered discounts is significantly higher than the prices of commercially available omega-3 fatty acids marketed by other companies as dietary supplements (through the lack of coverage by insurers or otherwise), physicians and pharmacists may recommend these retail alternatives instead of writing or filling prescriptions for VASCEPA or patients may elect on their own to take commercially available omega-3 fatty acids. Also, insurance plans may increasingly impose policies that directly or indirectly favor supplement use over VASCEPA. While VASCEPA is priced comparatively with, or in some cases lower than, many competing treatments, particularly when taking into account insurance coverage, such pricing might not be sufficient for healthcare providers or patients to elect VASCEPA over alternative treatments that may be perceived as less expense or more convenient to access. If healthcare providers or patients favor dietary supplements over prescribing VASCEPA, we may be constrained in how we price our product or VASCEPA’s market acceptance may be less than expected, which would have a negative impact on our revenues and results of operations.</w:t>
      </w:r>
    </w:p>
    <w:p>
      <w:pPr>
        <w:spacing w:after="0" w:line="208"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commercial value of VASCEPA outside the United States may be smaller than we anticipate, including adequacy of product reimbursement, which can vary from country to country. If we are unable to realize product reimbursement rates at reasonable levels, or at all, patient access to VASCEPA may be limited.</w:t>
      </w:r>
    </w:p>
    <w:p>
      <w:pPr>
        <w:spacing w:after="0" w:line="60"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There can be no assurance as to the market for VASCEPA outside the United States. For example, despite having received EC approval to commercialize VAZKEPA in Europe and through our partner, Edding, marketing approval for VASCEPA in Hong Kong as well as we expect to obtain through Edding, marketing approval for VASCEPA in Mainland China, Macau and Taiwan, applicable regulatory agencies may impose restrictions on the product’s conditions for use, distribution or marketing and in some cases may impose ongoing requirements for post-market surveillance, post-approval studies or clinical trials.</w:t>
      </w:r>
    </w:p>
    <w:p>
      <w:pPr>
        <w:spacing w:after="0" w:line="87"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Further, securing adequate reimbursement is critical for commercial success of any therapeutic and pricing and reimbursement levels of medications in markets outside the United States can be unpredictable and vary considerably on a country-by-country basis. In some foreign countries, including major markets in Europe, the pricing of prescription pharmaceuticals is subject to governmental control. In these countries, pricing negotiations with individual governmental authorities can take six to 12 months or longer after the receipt of regulatory marketing approval for a product. The time required to secure reimbursement tends to vary from country to country and cannot be reliably predicted at this time. In certain European countries, securing product reimbursement is a requisite to</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6" w:name="page57"/>
    <w:bookmarkEnd w:id="56"/>
    <w:p>
      <w:pPr>
        <w:spacing w:after="0" w:line="250" w:lineRule="auto"/>
        <w:rPr>
          <w:sz w:val="20"/>
          <w:szCs w:val="20"/>
          <w:color w:val="auto"/>
        </w:rPr>
      </w:pPr>
      <w:r>
        <w:rPr>
          <w:rFonts w:ascii="Times New Roman" w:cs="Times New Roman" w:eastAsia="Times New Roman" w:hAnsi="Times New Roman"/>
          <w:sz w:val="18"/>
          <w:szCs w:val="18"/>
          <w:color w:val="auto"/>
        </w:rPr>
        <w:t>commercial launch.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delayed or limited in scope or amount or if pricing is set at unsatisfactory levels. If the pricing and reimbursement levels of VASCEPA are lower than we anticipate, then affordability of, and market access to, VASCEPA may be adversely affected and thus market potential in these territories would suffer.</w:t>
      </w:r>
    </w:p>
    <w:p>
      <w:pPr>
        <w:spacing w:after="0" w:line="69"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We or our partners may even choose to not proceed with marketing VASCEPA in a market, even after a regulatory approval, due to negative commercial dynamics. Further, with regard to any indications for which we may gain approval in territories outside the United States, the number of actual patients with the condition included in such approved indication may be smaller than we anticipate. In addition, we could face competition from products similar or deemed equivalent to VASCEPA in various jurisdictions through regulatory pathways that are more lenient than in the United States or in jurisdictions in which we do not have exclusivity from regulations or intellectual property. If any of these market dynamics exist, the commercial potential in these territories for our product would suffer.</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marketing efforts are subject to extensive post-approval government regulation.</w:t>
      </w:r>
    </w:p>
    <w:p>
      <w:pPr>
        <w:spacing w:after="0" w:line="10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Once a product candidate receives U.S. FDA marketing approval, numerous post-approval requirements apply. Among other things, the holder of an approved NDA is subject to periodic and other monitoring and reporting obligations enforced by the U.S.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69"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With respect to sales and marketing activities, advertising and promotional materials must comply with U.S. FDA rules in addition to other applicable federal and local laws in the United States and in other countries. The result of our First Amendment litigation and settlement may cause the government to scrutinize our promotional efforts or otherwise monitor our business more closely. Industry-sponsored scientific and educational activities also must comply with U.S. FDA and other requirements. In the United States, the distribution of product samples to physicians must comply with the requirements of the U.S. Prescription Drug Marketing Act. Manufacturing facilities remain subject to U.S. FDA inspection and must continue to adhere to the U.S. FDA’s pharmaceutical current good manufacturing practice requirements, or cGMPs. Application holders must obtain U.S. FDA approval for product and manufacturing changes, depending on the nature of the change. In addition, drug manufacturers and other entities involved in the manufacture and distribution of approved drugs are subject to periodic unannounced inspections by the U.S. FDA and state agencies for compliance with cGMP requirements.</w:t>
      </w:r>
    </w:p>
    <w:p>
      <w:pPr>
        <w:spacing w:after="0" w:line="77"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We participate in the U.S. Medicaid Drug Rebate Program, the Federal Supply Schedule, or FSS, of the U.S. Department of Veterans Affairs, or the VA, and other government drug programs, and, accordingly, are subject to complex laws and regulations regarding reporting and payment obligations. We must also comply with requirements to collect and report adverse events and product complaints associated with our products. Our activities are also subject to U.S. federal and state consumer protection and unfair competition laws, non-compliance with which could subject us to significant liability. Similar requirements exist in many of these areas in other countries.</w:t>
      </w:r>
    </w:p>
    <w:p>
      <w:pPr>
        <w:spacing w:after="0" w:line="87"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Depending on the circumstances, failure to meet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our former co-promotion partner Kowa America. As discussed above, in June 2020, we received a CID from the DOJ informing us that the DOJ is investigating whether aspects of our promotional speaker programs and copayment waiver programs during the period from January 1, 2015 to the present violated the U.S. Anti-Kickback Statute and the U.S. FCA in relation to the sale and marketing of VASCEPA by us and our previous co-marketing partner, Kowa America. The New York State attorney general similarly issued a subpoena to us regarding the same subject matter on which the FTC CID is focused. The inquiries require us to produce documents and answer written questions, or interrogatories, relevant to specified time periods. We are cooperating with the government.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 In addition, even if we comply with U.S. FDA and other requirements, new information regarding the safety or effectiveness of a product could lead the U.S. FDA to modify or withdraw a product approval. Newly discovered or developed safety or effectiveness data may require changes to a drug’s approved labeling and marketing, including the addition of new warnings and contraindications, and also may require the implementation of other risk management measures.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w:t>
      </w:r>
    </w:p>
    <w:p>
      <w:pPr>
        <w:spacing w:after="0" w:line="90" w:lineRule="exact"/>
        <w:rPr>
          <w:sz w:val="20"/>
          <w:szCs w:val="20"/>
          <w:color w:val="auto"/>
        </w:rPr>
      </w:pPr>
    </w:p>
    <w:p>
      <w:pPr>
        <w:ind w:right="340" w:firstLine="509"/>
        <w:spacing w:after="0" w:line="246" w:lineRule="auto"/>
        <w:rPr>
          <w:sz w:val="20"/>
          <w:szCs w:val="20"/>
          <w:color w:val="auto"/>
        </w:rPr>
      </w:pPr>
      <w:r>
        <w:rPr>
          <w:rFonts w:ascii="Times New Roman" w:cs="Times New Roman" w:eastAsia="Times New Roman" w:hAnsi="Times New Roman"/>
          <w:sz w:val="18"/>
          <w:szCs w:val="18"/>
          <w:color w:val="auto"/>
        </w:rPr>
        <w:t>In addition, all of the above factors may also apply to any regulatory approval for VASCEPA obtained in territories outside the United States. In Europe, for example, restrictions regarding off-label promotion are in some ways more stringent than in the United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7" w:name="page58"/>
    <w:bookmarkEnd w:id="57"/>
    <w:p>
      <w:pPr>
        <w:ind w:right="100"/>
        <w:spacing w:after="0" w:line="258" w:lineRule="auto"/>
        <w:rPr>
          <w:sz w:val="20"/>
          <w:szCs w:val="20"/>
          <w:color w:val="auto"/>
        </w:rPr>
      </w:pPr>
      <w:r>
        <w:rPr>
          <w:rFonts w:ascii="Times New Roman" w:cs="Times New Roman" w:eastAsia="Times New Roman" w:hAnsi="Times New Roman"/>
          <w:sz w:val="18"/>
          <w:szCs w:val="18"/>
          <w:color w:val="auto"/>
        </w:rPr>
        <w:t>States, including restrictions covering certain communications with shareholders. Given our inexperience with marketing and commercializing products outside the United States, in certain territories we may need to rely on third parties, such as our partners in Canada, China and the Middle East, to assist us in dealing with any such issues and we will have limited or no control over such partners.</w:t>
      </w:r>
    </w:p>
    <w:p>
      <w:pPr>
        <w:spacing w:after="0" w:line="192"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 of the healthcare system in the United States and foreign jurisdictions may affect our ability to profitably sell VASCEPA.</w:t>
      </w:r>
    </w:p>
    <w:p>
      <w:pPr>
        <w:spacing w:after="0" w:line="37"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Our ability to commercialize VASCEPA or any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73" w:lineRule="exact"/>
        <w:rPr>
          <w:sz w:val="20"/>
          <w:szCs w:val="20"/>
          <w:color w:val="auto"/>
        </w:rPr>
      </w:pPr>
    </w:p>
    <w:p>
      <w:pPr>
        <w:jc w:val="both"/>
        <w:ind w:right="120" w:firstLine="509"/>
        <w:spacing w:after="0" w:line="262" w:lineRule="auto"/>
        <w:rPr>
          <w:sz w:val="20"/>
          <w:szCs w:val="20"/>
          <w:color w:val="auto"/>
        </w:rPr>
      </w:pPr>
      <w:r>
        <w:rPr>
          <w:rFonts w:ascii="Times New Roman" w:cs="Times New Roman" w:eastAsia="Times New Roman" w:hAnsi="Times New Roman"/>
          <w:sz w:val="17"/>
          <w:szCs w:val="17"/>
          <w:color w:val="auto"/>
        </w:rPr>
        <w:t>Specifically, in both the United States and some foreign jurisdictions, there have been a number of legislative and regulatory changes and proposed changes to the healthcare system in ways that could affect our ability to sell our products profitably. For example, on August 2, 2011, the Budget Control Act of 2011, among other things, created the Joint Select Committee on Deficit Reduction to recommend to Congress proposals for spending reductions.</w:t>
      </w:r>
    </w:p>
    <w:p>
      <w:pPr>
        <w:spacing w:after="0" w:line="1"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The Joint Select Committee did not achieve a targeted deficit reduction, which triggered the legislation’s automatic reductions. In concert with subsequent legislation, this has resulted in aggregate reductions to Medicare payments to providers of, on average, 2% per fiscal year through 2030 with the exception of a temporary suspension from May 1, 2020 through March 31, 2022 due to the COVID-19 pandemic. Following the suspension, a 1% payment reduction occurred from April 1, 2022 through June 30, 2022, and the 2% payment reduction resumed on July 1, 2022. These cuts reduce reimbursement payments related to our products, which could potentially negatively impact our revenue. Also for example, the ACA has substantially changed the way healthcare is financed by both governmental and private insurers and has significantly impacted the U.S. pharmaceutical industry. Among other cost-containment measures, the ACA establishes:</w:t>
      </w:r>
    </w:p>
    <w:p>
      <w:pPr>
        <w:spacing w:after="0" w:line="91" w:lineRule="exact"/>
        <w:rPr>
          <w:sz w:val="20"/>
          <w:szCs w:val="20"/>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drugs and biologic agents;</w:t>
      </w:r>
    </w:p>
    <w:p>
      <w:pPr>
        <w:spacing w:after="0" w:line="103" w:lineRule="exact"/>
        <w:rPr>
          <w:rFonts w:ascii="Times New Roman" w:cs="Times New Roman" w:eastAsia="Times New Roman" w:hAnsi="Times New Roman"/>
          <w:sz w:val="18"/>
          <w:szCs w:val="18"/>
          <w:color w:val="auto"/>
        </w:rPr>
      </w:pPr>
    </w:p>
    <w:p>
      <w:pPr>
        <w:ind w:left="900" w:right="240" w:hanging="383"/>
        <w:spacing w:after="0" w:line="26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67" w:lineRule="exact"/>
        <w:rPr>
          <w:rFonts w:ascii="Times New Roman" w:cs="Times New Roman" w:eastAsia="Times New Roman" w:hAnsi="Times New Roman"/>
          <w:sz w:val="18"/>
          <w:szCs w:val="18"/>
          <w:color w:val="auto"/>
        </w:rPr>
      </w:pPr>
    </w:p>
    <w:p>
      <w:pPr>
        <w:ind w:left="900" w:right="260" w:hanging="383"/>
        <w:spacing w:after="0" w:line="26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formula that increases the rebates a manufacturer must pay under the Medicaid Drug Rebate Program and extends the Medicaid Drug Rebate Program to individuals enrolled in Medicaid managed care organizations.</w:t>
      </w:r>
    </w:p>
    <w:p>
      <w:pPr>
        <w:spacing w:after="0" w:line="54"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specialty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At a federal level, President Biden signed an Executive Order on July 9, 2021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biosimilars; and (ii) support the enactment of a public health insurance option. Among other things, the Executive Order also directs HHS to provide a report on actions to combat excessive pricing of prescription drugs, enhance the domestic drug supply chain, reduce the price that the federal government pays for drugs, and address price gouging in the industry; and directs the FDA to work with states and Indian Tribes that propose to develop section 804 Importation Programs in accordance with the Medicare Prescription Drug, Improvement, and Modernization Act of 2003, and the FDA's implementing regulations. FDA released such implementing regulations on September 24, 2020, which went into effect on November 30, 2020, providing guidance for states to build and submit importation plans for drugs from Canada.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If implemented, importation of drugs from Canada may materially and adversely affect the price we receive for any of our product candidates. Further, on November 20, 2020 CMS issued an Interim Final Rule implementing the Most Favored Nation, or MFN, Model under which Medicare Part B reimbursement rates would have been calculated for certain drugs and biologicals based on the lowest price drug manufacturers receive in Organization for Economic Cooperation and Development countries with a similar gross domestic product per capita. However, on December 29, 2021 CMS rescinded the Most Favored Nations rule. Additionally, on November 30,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8" w:name="page59"/>
    <w:bookmarkEnd w:id="58"/>
    <w:p>
      <w:pPr>
        <w:ind w:right="240"/>
        <w:spacing w:after="0" w:line="258" w:lineRule="auto"/>
        <w:rPr>
          <w:sz w:val="20"/>
          <w:szCs w:val="20"/>
          <w:color w:val="auto"/>
        </w:rPr>
      </w:pPr>
      <w:r>
        <w:rPr>
          <w:rFonts w:ascii="Times New Roman" w:cs="Times New Roman" w:eastAsia="Times New Roman" w:hAnsi="Times New Roman"/>
          <w:sz w:val="18"/>
          <w:szCs w:val="18"/>
          <w:color w:val="auto"/>
        </w:rPr>
        <w:t>until January 1, 2026.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61"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In addition, it is time-consuming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ACA and by other healthcare reforms that may be enacted or adopted in the future. In addition, increasing emphasis on managed care in the United States will continue to put pressure on the pricing of pharmaceutical products. For example, proposals are being considered to expand the use of dietary supplements in addition to or in place of drugs in government and private payor plans. In addition, cost control initiatives could decrease the price that we or any potential collaborators could receive for any of our future products and could adversely affect our profitability.</w:t>
      </w:r>
    </w:p>
    <w:p>
      <w:pPr>
        <w:spacing w:after="0" w:line="92" w:lineRule="exact"/>
        <w:rPr>
          <w:sz w:val="20"/>
          <w:szCs w:val="20"/>
          <w:color w:val="auto"/>
        </w:rPr>
      </w:pPr>
    </w:p>
    <w:p>
      <w:pPr>
        <w:ind w:right="120" w:firstLine="509"/>
        <w:spacing w:after="0" w:line="284" w:lineRule="auto"/>
        <w:rPr>
          <w:sz w:val="20"/>
          <w:szCs w:val="20"/>
          <w:color w:val="auto"/>
        </w:rPr>
      </w:pPr>
      <w:r>
        <w:rPr>
          <w:rFonts w:ascii="Times New Roman" w:cs="Times New Roman" w:eastAsia="Times New Roman" w:hAnsi="Times New Roman"/>
          <w:sz w:val="17"/>
          <w:szCs w:val="17"/>
          <w:color w:val="auto"/>
        </w:rPr>
        <w:t>These and similar regulatory dynamics, including the recent entry of generic versions of VASCEPA into the market, and the potential for additional generic versions in the near term, can affect our ability to commercialize VASCEPA on commercially reasonable terms and limit the commercial value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VASCEPA.</w:t>
      </w:r>
    </w:p>
    <w:p>
      <w:pPr>
        <w:spacing w:after="0" w:line="230"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81"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We participate in the Medicaid Drug Rebate program, the 340B drug pricing program, and the VA’s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commercial entity in the U.S. in any pricing structure, calculated to include all sales and associated rebates, discounts and other price concessions. Our failure to comply with these price reporting and rebate payment obligations could negatively impact our financial results.</w:t>
      </w:r>
    </w:p>
    <w:p>
      <w:pPr>
        <w:spacing w:after="0" w:line="78"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The ACA made significant changes to the Medicaid Drug Rebate program. CMS issued a final regulation, which became effective on April 1,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69"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other legislation, or in regulation could affect our 340B ceiling price calculations and negatively impact our results of operations.</w:t>
      </w:r>
    </w:p>
    <w:p>
      <w:pPr>
        <w:spacing w:after="0" w:line="77"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The Health Resources and Services Administration, or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72"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9" w:name="page60"/>
    <w:bookmarkEnd w:id="59"/>
    <w:p>
      <w:pPr>
        <w:ind w:right="340"/>
        <w:spacing w:after="0" w:line="282" w:lineRule="auto"/>
        <w:rPr>
          <w:sz w:val="20"/>
          <w:szCs w:val="20"/>
          <w:color w:val="auto"/>
        </w:rPr>
      </w:pPr>
      <w:r>
        <w:rPr>
          <w:rFonts w:ascii="Times New Roman" w:cs="Times New Roman" w:eastAsia="Times New Roman" w:hAnsi="Times New Roman"/>
          <w:sz w:val="18"/>
          <w:szCs w:val="18"/>
          <w:color w:val="auto"/>
        </w:rPr>
        <w:t>our rebate liability for past quarters. Price recalculations also may affect the ceiling price at which we are required to offer our products under the 340B program or could require us to issue refunds to 340B covered entities.</w:t>
      </w:r>
    </w:p>
    <w:p>
      <w:pPr>
        <w:spacing w:after="0" w:line="40"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87"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7"/>
          <w:szCs w:val="17"/>
          <w:color w:val="auto"/>
        </w:rPr>
        <w:t>In order to be eligible to have our products paid for with federal funds under the Medicaid and Medicare Part B programs and purchased by certain federal agencies and grantees, as noted above, we participate in the VA’s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(the VA, U.S. Department of Defense, or DOD, Public Health Service, and the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76"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FCA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reimbursement procedures by government and other third-party payors may limit our ability to market and sell our approved drugs.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These changes could have a material adverse effect on our business and financial condition.</w:t>
      </w:r>
    </w:p>
    <w:p>
      <w:pPr>
        <w:spacing w:after="0" w:line="85"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In the U.S., Europe and other regions globally, sales of pharmaceutical drugs are dependent, in part, on the availability of reimbursement to the consumer from third-party payors, such as government and private insurance plans. Third-party payors decide which products and services they will cover and the conditions for such coverage. Third party payors also establish reimbursement rates for those products and services. Increasingly, third-party payors are challenging the prices charged for medical products and services. Some third-party payor benefit packages restrict reimbursement, charge copayments to patients, or do not provide coverage for specific drugs or drug classes.</w:t>
      </w:r>
    </w:p>
    <w:p>
      <w:pPr>
        <w:spacing w:after="0" w:line="7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certain U.S. based healthcare providers are moving toward a managed care system in which such providers contract to provide comprehensive healthcare services, including prescription drugs, for a fixed cost per person. We are unable to predict the reimbursement policies employed by third-party healthcare payors.</w:t>
      </w:r>
    </w:p>
    <w:p>
      <w:pPr>
        <w:spacing w:after="0" w:line="61"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We expect to experience pricing and reimbursement pressures in connection with the sale of our products due to the trend toward managed healthcare, the increasing influence of health maintenance organizations and additional legislative and executive proposals, as well as the availability of generic versions of VASCEPA. In addition, we may confront limitations in, or exclusions from, insurance coverage for our products, particularly as generic competition intensifies. If we fail to successfully secure and maintain reimbursement coverage for our approved drugs or are significantly delayed in doing so, we may have difficulty achieving market acceptance of our approved drugs and investigational drug candidates for which we obtain approval, and our business may be harmed. Congress has enacted healthcare reform and may enact further reform, which could adversely affect the pharmaceutical industry as a whole, and therefore could have a material adverse effect on our business.</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*Ongoing healthcare legislative and regulatory reform measures may have a material adverse effect on our business and results of operations.</w:t>
      </w:r>
    </w:p>
    <w:p>
      <w:pPr>
        <w:spacing w:after="0" w:line="108"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Certain provisions of the ACA have been subject to judicial challenges, as well as efforts to repeal or replace them or to alter their interpretation or implementation. Multiple Executive Orders were signed during the Trump administration which were designed to delay the implementation of certain provisions of the ACA or otherwise circumvent some of the requirements for health insurance mandated by the ACA. For example, the previous administration terminated the cost-sharing subsidies under the ACA. Nineteen state Attorneys General filed suit to stop the administration from terminating the subsidies, but on July 18, 2018, the U.S. District Court for the Northern District of California dismissed the case without prejudice. Further, on June 14, 2018, U.S. Court of Appeals for the Federal Circuit ruled that, due to Congressional appropriations riders that prohibited the HHS from paying out more in risk corridor</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0" w:name="page61"/>
    <w:bookmarkEnd w:id="60"/>
    <w:p>
      <w:pPr>
        <w:ind w:right="20"/>
        <w:spacing w:after="0" w:line="241" w:lineRule="auto"/>
        <w:rPr>
          <w:sz w:val="20"/>
          <w:szCs w:val="20"/>
          <w:color w:val="auto"/>
        </w:rPr>
      </w:pPr>
      <w:r>
        <w:rPr>
          <w:rFonts w:ascii="Times New Roman" w:cs="Times New Roman" w:eastAsia="Times New Roman" w:hAnsi="Times New Roman"/>
          <w:sz w:val="18"/>
          <w:szCs w:val="18"/>
          <w:color w:val="auto"/>
        </w:rPr>
        <w:t>payments than it collected, HHS was not required to pay more than $12.0 billion in ACA risk corridor payments owed to insurers under the risk corridor formula. On November 6, 2018, the Federal Circuit declined to rehear the case en banc. This decision was appealed to the U.S. Supreme Court, which on April 27, 2020, reversed the U.S. Court of Appeals for the Federal Circuit’s decision and remanded the case to the U.S. Court of Federal Claims, concluding the government has an obligation to pay these risk corridor payments under the relevant formula. It is not clear what effect this result will have on our business, but we will continue to monitor any developments. Moreover, the Tax Act included a provision that eliminated the tax-based shared responsibility payment for individuals who fail to maintain minimum essential coverage under section 5000A of the Internal Revenue Code of 1986, commonly referred to as the “individual mandate,” effective January 1, 2019. The Bipartisan Budget Act of 2018, or the BBA, among other things, amends the ACA to create a new Medicare Part D coverage gap discount program, in which manufacturers must agree to offer 70% (an increase from 50% effective as of January 1, 2019) point-of-sale discounts off negotiated prices of applicable brand drugs to eligible beneficiaries during their coverage gap period as a condition for the manufacturer’s outpatient drugs to be covered under Medicare Part D. Under the Trump administration, CMS issued regulations that gave states greater flexibility, starting in 2020, in the identification of the essential health benefits benchmarks for non-grandfathered individual and small group market health insurance coverage, including plans sold through the health insurance exchanges established under the ACA. On December 14, 2018, the U.S. District Court for the Northern District of Texas ruled (i) that the “individual mandate” was unconstitutional as a result of the associated tax penalty being repealed by Congress as part of the Tax Act; and (ii) the individual mandate is not severable from the rest of the ACA, as a result the entire ACA is invalid. On December 18, 2019, the U.S. Court of Appeals for the Fifth Circuit affirmed the district court’s decision that the individual mandate is unconstitutional, but remanded the case to the district court to reconsider the severability question. On March 2, 2020, the U.S. Supreme Court granted the petitions for writs of certiorari to review this case and held oral arguments on November 10, 2020.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the purpose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p>
    <w:p>
      <w:pPr>
        <w:spacing w:after="0" w:line="88"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addition, 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FYs 2019 and 2018 reimbursement formula on specified covered outpatient drugs, or SCODs. The court ruled this change was not an “adjustment” which was within the Secretary’s discretion to make but was instead a fundamental change in the reimbursement calculation. However, on July 31, 2020, the U.S. Court of Appeals for the District of Columbia Circuit overturned the district court’s decision and found that the changes were within the Secretary’s authority. On September 14, 2020, the plaintiffs-appellees filed a Petition for Rehearing En Banc (i.e., before the full court), but was denied on October 16, 2020. On February 10, 2021, plaintiffs-appellees filed a writ of certiorari with the U.S. Supreme Court. The U.S. Supreme Court granted the writ of certiorari on July 2, 2021 and oral arguments were held on November 30, 2021. The Court's decision should be released in the coming months. It is unclear how these developments could affect covered hospitals who might purchase our future products and affect the rates we may charge such facilities for our approved products in the future, if any. We expect that the healthcare reform measures that have been adopted and may be adopted in the future, may result in more rigorous coverage criteria, and new payment methodologies, and in additional downward pressure on coverage and payment and the price that we receive for any approved product, and could seriously harm our future revenues. Any reduction in reimbursement from Medicare or other government programs may result in a similar reduction in payments from private third-party payors.</w:t>
      </w:r>
    </w:p>
    <w:p>
      <w:pPr>
        <w:spacing w:after="0" w:line="75"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enactment and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18"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50"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1" w:name="page62"/>
    <w:bookmarkEnd w:id="61"/>
    <w:p>
      <w:pPr>
        <w:spacing w:after="0" w:line="247" w:lineRule="auto"/>
        <w:rPr>
          <w:sz w:val="20"/>
          <w:szCs w:val="20"/>
          <w:color w:val="auto"/>
        </w:rPr>
      </w:pPr>
      <w:r>
        <w:rPr>
          <w:rFonts w:ascii="Times New Roman" w:cs="Times New Roman" w:eastAsia="Times New Roman" w:hAnsi="Times New Roman"/>
          <w:sz w:val="18"/>
          <w:szCs w:val="18"/>
          <w:color w:val="auto"/>
        </w:rPr>
        <w:t>collaborators. In addition, we may obtain health information from third parties (including research institutions from which we obtain clinical trial data) that are subject to privacy and security requirements under the federal Health Insurance Portability and Accountability Act of 1996, or HIPAA. Although we are not directly subject to HIPAA – other than with respect to providing certain employee benefits – we could potentially be subject to criminal penalties if we, our affiliates, or our agents knowingly obtain, use, or disclose individually identifiable health information maintained by a HIPAA-covered entity in a manner that is not authorized or permitted by HIPAA. In addition, state laws govern the privacy and security of health information in specified circumstances, many of which differ from each other in significant ways and may not have the same effect, thus complicating compliance efforts.</w:t>
      </w:r>
    </w:p>
    <w:p>
      <w:pPr>
        <w:spacing w:after="0" w:line="72"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European data collection is governed by restrictive regulations governing the use, processing and cross-border transfer of personal information.</w:t>
      </w:r>
    </w:p>
    <w:p>
      <w:pPr>
        <w:spacing w:after="0" w:line="108"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The REDUCE-IT cardiovascular outcomes trial was conducted in part through clinical sites in the EEA. As a result, we are subject to additional privacy restrictions. The collection and use of personal health data in the EU is governed by the provisions of the GDPR. The GDPR imposes several requirements relating to the legal basis for processing personal data which may include the consent of the individuals to whom the personal data relates, the information provided to the individuals and the security and confidentiality of the personal data. The GDPR also imposes strict rules on the transfer of personal data out of the EEA to the United States. A decision by the Court of Justice of the European Union, or CJEU, in 2020 invalidated the EU-U.S. Privacy Shield Framework, which was one of the primary mechanisms used by U.S. companies to import personal information from Europe in compliance with the GDPR's cross-border data transfer restrictions, and raised questions about whether the EC's Standard Contractual Clauses, or SCCs, one of the primary alternatives to the Privacy Shield, can lawfully be used for personal information transfers from Europe to the United States or most other countries. Furthermore, on June 4, 2021, the EC issued new forms of standard contractual clauses for data transfers from controllers or processors in the EEA, or otherwise subject to the GDPR, to controllers or processors established outside the EEA, and not subject to the GDPR. The new forms of standard contractual clauses have replaced the standard contractual clauses that were adopted previously under the Data Protection Directive. We will be required to transition to the new forms of standard contractual clauses and doing so will require significant effort and cost. The new standard contractual clauses may also impact our business as companies based in Europe may be reluctant to utilize the new clauses to legitimize transfers of personal information to third countries given the burdensome requirements of transfer impact assessments and the substantial obligations that the new standard contractual clauses impose upon exporters. Failure to comply with the requirements of the GDPR, and the related national data protection laws of the EEA Member States may result in restrictions against regulatory approval in the EEA or substantial fines for breaches of the data protection rules. The GDPR may impose additional responsibility and liability in relation to personal data that we process and we may be required to put in place additional mechanisms ensuring compliance with these and/or new data protection rules. This may be onerous and adversely affect our business, financial condition, prospects and results of operations.</w:t>
      </w:r>
    </w:p>
    <w:p>
      <w:pPr>
        <w:spacing w:after="0" w:line="224"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The U.S. FDA, other regulatory agencies and industry organizations strictly regulate the promotional claims that may be made about prescription products and promotional efforts such as speaker programs. If we or our partners are found to have improperly promoted uses, efficacy or safety of VASCEPA or otherwise are found to have violated the law or applicable regulations, we may become subject to significant fines and other liability. The government may seek to find means to prevent our promotion of truthful and non-misleading information beyond the current court ruling and litigation settlement or seek to find violations of other laws or regulations in connection with the promotional efforts we undertake on our own or through third parties.</w:t>
      </w:r>
    </w:p>
    <w:p>
      <w:pPr>
        <w:spacing w:after="0" w:line="86" w:lineRule="exact"/>
        <w:rPr>
          <w:sz w:val="20"/>
          <w:szCs w:val="20"/>
          <w:color w:val="auto"/>
        </w:rPr>
      </w:pPr>
    </w:p>
    <w:p>
      <w:pPr>
        <w:ind w:right="80" w:firstLine="509"/>
        <w:spacing w:after="0" w:line="241" w:lineRule="auto"/>
        <w:rPr>
          <w:sz w:val="20"/>
          <w:szCs w:val="20"/>
          <w:color w:val="auto"/>
        </w:rPr>
      </w:pPr>
      <w:r>
        <w:rPr>
          <w:rFonts w:ascii="Times New Roman" w:cs="Times New Roman" w:eastAsia="Times New Roman" w:hAnsi="Times New Roman"/>
          <w:sz w:val="18"/>
          <w:szCs w:val="18"/>
          <w:color w:val="auto"/>
        </w:rPr>
        <w:t>The U.S. FDA and other regulatory agencies strictly regulate the promotional claims that may be made about prescription products. In particular, in general, the U.S. government’s position has been that a product may not be promoted for uses that are not approved by the U.S. FDA as reflected in the product’s approved labeling. The Federal government has levied large civil and criminal fines against companies for alleged improper promotion and has enjoined several companies from engaging in off-label promotion. The U.S. FDA has also requested that companies enter into consent decrees or permanent injunctions under which specified promotional conduct is changed or curtailed. Even though we received U.S. FDA marketing approval for VASCEPA for the MARINE indication and for cardiovascular risk reduction based on the REDUCE-IT study, and our settlement with the U.S. FDA affords us a degree of protection for other promotional efforts, physicians may still prescribe VASCEPA to their patients for use in the treatment of conditions that are not included as part of the indication statement in our U.S. FDA-approved VASCEPA label or our settlement. If</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2" w:name="page63"/>
    <w:bookmarkEnd w:id="62"/>
    <w:p>
      <w:pPr>
        <w:ind w:right="60"/>
        <w:spacing w:after="0" w:line="250" w:lineRule="auto"/>
        <w:rPr>
          <w:sz w:val="20"/>
          <w:szCs w:val="20"/>
          <w:color w:val="auto"/>
        </w:rPr>
      </w:pPr>
      <w:r>
        <w:rPr>
          <w:rFonts w:ascii="Times New Roman" w:cs="Times New Roman" w:eastAsia="Times New Roman" w:hAnsi="Times New Roman"/>
          <w:sz w:val="18"/>
          <w:szCs w:val="18"/>
          <w:color w:val="auto"/>
        </w:rPr>
        <w:t>we are found to have promoted VASCEPA outside the terms of the litigation settlement or in violation of what federal or state government may determine to be acceptable, we may become subject to significant government fines and other related liability, such as under the FDCA, the FCA, or other theories of liability. Government may also seek to hold us responsible for the non-compliance of our former co-promotion partner, Kowa America, or our commercialization partners outside the United States or other third-parties that we retain to help us implement our business plan.</w:t>
      </w:r>
    </w:p>
    <w:p>
      <w:pPr>
        <w:spacing w:after="0" w:line="83"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74"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In June 2020, we received a CID from the DOJ informing us that the DOJ is investigating whether aspects of our promotional speaker programs and copayment waiver program during the period from January 1, 2015 to the present violated the U.S. Anti-Kickback Statute and the FCA in relation to the sale and marketing of VASCEPA by us and our previous co-marketing partner, Kowa America. Similarly, in March 2021, the FTC issued a CID to us in connection with the FTC’s investigation of whether we have engaged in, or are engaging in, anticompetitive practices or unfair methods of competition relating to VASCEPA. The New York State attorney general similarly issued a subpoena to us regarding the same subject matter on which the FTC CID is focused. The inquiries require us to produce documents and answer written questions, or interrogatories, relevant to specified time periods. We are cooperating with the government.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w:t>
      </w:r>
    </w:p>
    <w:p>
      <w:pPr>
        <w:spacing w:after="0" w:line="208"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developing and receiving regulatory approval for VASCEPA in other jurisdictions or marketing future products if we cannot meet the extensive regulatory requirements of regulatory agencies such as for quality, safety, efficacy and data privacy.</w:t>
      </w:r>
    </w:p>
    <w:p>
      <w:pPr>
        <w:spacing w:after="0" w:line="37"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U.S.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 among others:</w:t>
      </w:r>
    </w:p>
    <w:p>
      <w:pPr>
        <w:spacing w:after="0" w:line="78" w:lineRule="exact"/>
        <w:rPr>
          <w:sz w:val="20"/>
          <w:szCs w:val="20"/>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efficacy during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manufacture sufficient quantities of qualified materials under cGMPs for use in clinical trials;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observe patients adequately after treatment;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for clinical trials or preclinical studies;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unforeseen safety issues in clinical trials or preclinical studies;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suspension, or termination of a trial by the institutional review board responsible for overseeing the study at a particular study site;</w:t>
      </w:r>
    </w:p>
    <w:p>
      <w:pPr>
        <w:spacing w:after="0" w:line="117" w:lineRule="exact"/>
        <w:rPr>
          <w:rFonts w:ascii="Times New Roman" w:cs="Times New Roman" w:eastAsia="Times New Roman" w:hAnsi="Times New Roman"/>
          <w:sz w:val="18"/>
          <w:szCs w:val="18"/>
          <w:color w:val="auto"/>
        </w:rPr>
      </w:pPr>
    </w:p>
    <w:p>
      <w:pPr>
        <w:ind w:left="900" w:right="440" w:hanging="383"/>
        <w:spacing w:after="0" w:line="26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to the requirements imposed by regulatory authorities on the extent, nature or timing of studies to be conducted on quality, safety and efficacy;</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related to patient data privacy;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 or “clinical holds” requiring suspension or termination of a trial;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other social or government protocols affecting our clinical trial sites.</w:t>
      </w:r>
    </w:p>
    <w:p>
      <w:pPr>
        <w:spacing w:after="0" w:line="104" w:lineRule="exact"/>
        <w:rPr>
          <w:sz w:val="20"/>
          <w:szCs w:val="20"/>
          <w:color w:val="auto"/>
        </w:rPr>
      </w:pPr>
    </w:p>
    <w:p>
      <w:pPr>
        <w:ind w:right="100" w:firstLine="509"/>
        <w:spacing w:after="0" w:line="247" w:lineRule="auto"/>
        <w:rPr>
          <w:sz w:val="20"/>
          <w:szCs w:val="20"/>
          <w:color w:val="auto"/>
        </w:rPr>
      </w:pPr>
      <w:r>
        <w:rPr>
          <w:rFonts w:ascii="Times New Roman" w:cs="Times New Roman" w:eastAsia="Times New Roman" w:hAnsi="Times New Roman"/>
          <w:sz w:val="18"/>
          <w:szCs w:val="18"/>
          <w:color w:val="auto"/>
        </w:rPr>
        <w:t>Even if we obtain positive results from our efforts to seek regulatory approvals, from early stage preclinical studies or clinical trials, we may not achieve the same success in future efforts. Clinical trials that we or potential partners conduct may not provide sufficient safety and efficacy data to obtain the requisite regulatory approvals for product candidates. The failure of clinical trials to</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63" w:name="page64"/>
    <w:bookmarkEnd w:id="63"/>
    <w:p>
      <w:pPr>
        <w:ind w:right="20"/>
        <w:spacing w:after="0"/>
        <w:rPr>
          <w:sz w:val="20"/>
          <w:szCs w:val="20"/>
          <w:color w:val="auto"/>
        </w:rPr>
      </w:pPr>
      <w:r>
        <w:rPr>
          <w:rFonts w:ascii="Times New Roman" w:cs="Times New Roman" w:eastAsia="Times New Roman" w:hAnsi="Times New Roman"/>
          <w:sz w:val="18"/>
          <w:szCs w:val="18"/>
          <w:color w:val="auto"/>
        </w:rPr>
        <w:t>demonstrate safety and efficacy for our desired indications could harm the development of that product candidate as well as other product candidates, and our business and results of operations would suffer. For example, during the public advisory committee meeting held by U.S. FDA as part of its review of our ANCHOR data and sNDA in October 2013, a discussion regarding observed, nominally statistically significant changes from baseline in an adverse direction, while on background statin therapy, in certain lipid parameters, including LDL cholesterol and triglycerides, in the placebo group, raised questions about the possibility that the light liquid paraffin oil, or mineral oil, placebo used in the ANCHOR trial and then in use in the REDUCE-IT trial might not be biologically inert and might be viewed as artificially exaggerating the clinical effect of VASCEPA when measured against placebo. Ultimately, in 2012, before the U.S. FDA approval of VASCEPA after review of the MARINE and ANCHOR trials and consideration of other data regarding mineral oil, no strong evidence for biological activity of mineral oil was identified by the agency. It was ultimately concluded that the between-group differences likely provided the most appropriate descriptions of the treatment effect of VASCEPA and that whatever factor(s) led to the within-group changes over time in the placebo group were likely randomly distributed to all treatment groups. Thus, the U.S. FDA approved VASCEPA for use in the MARINE indication in July 2012, U.S. FDA did not dispute the veracity of the ANCHOR trial data and, in connection with the March 2016 agreement we reached with the U.S. FDA allowing us to promote the results of the ANCHOR study, the U.S. FDA did not seek to require that we include any qualification related to this earlier question regarding the mineral oil placebo. In addition, in connection with U.S. FDA’s review of REDUCE-IT data and sNDA in 2019, the agency determined that an interaction between mineral oil and statins leading to decreased absorption of statins cannot be excluded when the two are co-administered as could have been the case in some patients in REDUCE-IT and that, in the agency’s view, indirect evidence suggested the presence of a potential inhibitory effect on statin absorption by mineral oil. However, U.S. FDA’s exploratory analysis indicated that the effect of LDL cholesterol values on the time to the primary endpoint was numerically small and unlikely to change the overall conclusion of treatment benefit. U.S. FDA then relied on this assessment and all data available to it to approve a new indication statement and labeling based on REDUCE-IT results. This matter illustrates that concerns such as this may arise in the future that could affect our product development, regulatory reviews or the public perception of our products and our future prospects, including REDUCE-IT results. Any approvals that are obtained may be limited in scope, may require additional post-approval studies or may require the addition of labeling statements, including boxed warnings, 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commercialization,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proposed future approvals of a product and/or restrictions on that product or manufacturer, including withdrawal of an indication or the product from the market, which would have a negative impact on our potential revenue stream.</w:t>
      </w:r>
    </w:p>
    <w:p>
      <w:pPr>
        <w:spacing w:after="0" w:line="226" w:lineRule="exact"/>
        <w:rPr>
          <w:sz w:val="20"/>
          <w:szCs w:val="20"/>
          <w:color w:val="auto"/>
        </w:rPr>
      </w:pPr>
    </w:p>
    <w:p>
      <w:pPr>
        <w:ind w:right="68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*As we continue to build our infrastructure for commercializing VASCEPA, we may encounter difficulties in managing the scale of our operations successfully.</w:t>
      </w:r>
    </w:p>
    <w:p>
      <w:pPr>
        <w:spacing w:after="0" w:line="50"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The process of establishing, maintaining, expanding and streamlining a commercial infrastructure is difficult, expensive and time-consuming. In June 2022, we implemented a cost and organizational restructuring plan, which included a further reduction to our U.S. commercial team from approximately 300 sales representatives to approximately 75 sales representatives. Our sales team promotes VASCEPA to a targeted group of physicians and other healthcare professionals in select geographies in the United States who recognize the potential benefit to patients and is not large enough to call upon all physicians.</w:t>
      </w:r>
    </w:p>
    <w:p>
      <w:pPr>
        <w:spacing w:after="0" w:line="69"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addition to sales force reductions in the United States, we continue to work on our own and with our international partners to support regulatory efforts outside the United States based on REDUCE-IT results. As our operations expand with the anticipated growth of our product sales, we expect that we will need to manage additional relationships with various collaborative partners, suppliers and other third parties. Future growth and streamlining efforts will impose significant added responsibilities on members of management, including the need to identify, recruit, maintain and integrate the right number of employees. For example, in Europe we have built out our team subsequent to EC approval of the marketing authorization acceptance in 2021, with plans to continue to expand our European staff as deemed appropriate on a country by country basis. The time required to secure reimbursement tends to vary from country to country and cannot be reliably predicted at this time. While we believe that we have strong arguments regarding the cost effectiveness of VAZKEPA, the success of such reimbursement negotiations could have a significant impact on our ability to hire and retain personnel and realize the commercial opportunity of VAZKEPA in Europe. Our future financial performance and our ability to commercialize VASCEPA and to compete effectively will depend, in part, on our ability to manage our future growth effectively, and such efforts may be disrupted by ongoing or reinstated COVID-19 protocols. To that end, we must be able to manage our development efforts effectively, and hire, train, integrate and retain an appropriate level of management, administrative and sales and marketing personnel and have limited experience managing a commercial organization. We may not be able to accomplish these tasks, and our failure to accomplish any of them could prevent us from successfully growing our company.</w:t>
      </w:r>
    </w:p>
    <w:p>
      <w:pPr>
        <w:spacing w:after="0" w:line="199" w:lineRule="exact"/>
        <w:rPr>
          <w:sz w:val="20"/>
          <w:szCs w:val="20"/>
          <w:color w:val="auto"/>
        </w:rPr>
      </w:pPr>
    </w:p>
    <w:p>
      <w:pPr>
        <w:ind w:right="320" w:firstLine="509"/>
        <w:spacing w:after="0"/>
        <w:rPr>
          <w:sz w:val="20"/>
          <w:szCs w:val="20"/>
          <w:color w:val="auto"/>
        </w:rPr>
      </w:pPr>
      <w:r>
        <w:rPr>
          <w:rFonts w:ascii="Times New Roman" w:cs="Times New Roman" w:eastAsia="Times New Roman" w:hAnsi="Times New Roman"/>
          <w:sz w:val="18"/>
          <w:szCs w:val="18"/>
          <w:b w:val="1"/>
          <w:bCs w:val="1"/>
          <w:i w:val="1"/>
          <w:iCs w:val="1"/>
          <w:color w:val="auto"/>
        </w:rPr>
        <w:t>Our life-cycle management, in large part, currently depends on our ability to develop, obtain regulatory approval and commercialize a fixed-dose combination of VASCEPA and yet to be disclosed statins.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4" w:name="page65"/>
    <w:bookmarkEnd w:id="64"/>
    <w:p>
      <w:pPr>
        <w:ind w:firstLine="509"/>
        <w:spacing w:after="0" w:line="250" w:lineRule="auto"/>
        <w:rPr>
          <w:sz w:val="20"/>
          <w:szCs w:val="20"/>
          <w:color w:val="auto"/>
        </w:rPr>
      </w:pPr>
      <w:r>
        <w:rPr>
          <w:rFonts w:ascii="Times New Roman" w:cs="Times New Roman" w:eastAsia="Times New Roman" w:hAnsi="Times New Roman"/>
          <w:sz w:val="18"/>
          <w:szCs w:val="18"/>
          <w:color w:val="auto"/>
        </w:rPr>
        <w:t>Specifically, our drug development efforts are subject to the risks and uncertainties inherent in any drug development program. Due to the risks and uncertainties involved in progressing through development and bioequivalence or even potential additional trials (as may be required by specific regulatory agencies), and the time and cost involved in obtaining regulatory approvals, among other factors, we cannot reasonably estimate the timing, completion dates and costs, or range of costs, of our drug development program, or of the successful development of any particular fixed-dose combination. The potential success of any fixed-dose combination will depend on a number of factors, including the following:</w:t>
      </w:r>
    </w:p>
    <w:p>
      <w:pPr>
        <w:spacing w:after="0" w:line="69" w:lineRule="exact"/>
        <w:rPr>
          <w:sz w:val="20"/>
          <w:szCs w:val="20"/>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manufacture a combination of VASCEPA and a statin;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supply of necessary statin for use in the fixed-dose combination;</w:t>
      </w:r>
    </w:p>
    <w:p>
      <w:pPr>
        <w:spacing w:after="0" w:line="117"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approvals for any and all markets in which we intend to commercialize a fixed-dose combination of VASCEPA and a statin;</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payor acceptance and market access for a fixed-dose combination product of VASCEPA and a statin;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market acceptance of a fixed-dose combination of VASCEPA and a statin.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39" w:lineRule="exact"/>
        <w:rPr>
          <w:sz w:val="20"/>
          <w:szCs w:val="20"/>
          <w:color w:val="auto"/>
        </w:rPr>
      </w:pPr>
    </w:p>
    <w:p>
      <w:pPr>
        <w:ind w:right="60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supply of product for the commercial market and clinical trials is dependent upon relationships with third-party manufacturers and suppliers.</w:t>
      </w:r>
    </w:p>
    <w:p>
      <w:pPr>
        <w:spacing w:after="0" w:line="50"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We have no in-house manufacturing capacity and rely on contract manufacturers for our clinical and commercial product supply. We cannot provide assurance that we will successfully manufacture any product we may develop, either independently or under manufacturing arrangements, if any, with our third-party manufacturers. Moreover, if our manufacturers should cease doing business with us or experience delays, shortages of supply or excessive demands on their capacity, we may not be able to obtain adequate quantities of product in a timely manner, or at all. If we are not able to continue to operate our business relationships in a manner that is sufficiently profitable for us and our suppliers, certain members of our supply chain could compete with us through supply to competitors, such as generic drug companies, through breach of our agreements or otherwise.</w:t>
      </w:r>
    </w:p>
    <w:p>
      <w:pPr>
        <w:spacing w:after="0" w:line="72"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Any manufacturing problem, natural or manmade disaster affecting manufacturing facilities, government action, or the loss of a contract manufacturer could potentially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active pharmaceutical ingredient, API, (drug substance) or encapsulated bulk product (drug product), it would have a material adverse effect on our ability to continue to commercialize VASCEPA.</w:t>
      </w:r>
    </w:p>
    <w:p>
      <w:pPr>
        <w:spacing w:after="0" w:line="72"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We have contractual freedom to source the API for VASCEPA and to procure other services supporting our supply chain. We have entered into supply agreements with multiple suppliers who also rely on other third-party suppliers to manufacture the API and other elements necessary for the sale of VASCEPA. Our strategy in sourcing API and other components in our supply chain from multiple suppliers has been to expand manufacturing capacity, maintain competitive advantages, and mitigate the risk of reliance on any single supplier.</w:t>
      </w:r>
    </w:p>
    <w:p>
      <w:pPr>
        <w:spacing w:after="0" w:line="69"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Expanding manufacturing capacity and qualifying such capacity is complex and subject to numerous regulations and other operational challenges. We require supply capacity to support our direct and indirect commercialization of VASCEPA. We are also committed to providing supply to our commercial partners and distributors in Canada, China, the Middle East and North Africa, and we anticipate potential additional supply requirements as we pursue commercial opportunities in other countries. The resources of our suppliers vary and are limited; costs associated with projected expansion and qualification can be significant, and lead-times for supply purchases and capacity expansion are long requiring certain supply related decisions and commitment to be made in advance, for example, prior to commercial launch in China and in various European countries. Our aggregate capacity to produce API is dependent upon the continued qualification of our API suppliers and, depending on the ability of existing suppliers to meet our supply demands, potentially the qualifications of new suppliers. If no additional API supplier is approved by the U.S. FDA as part of an sNDA, our API supply will be limited to the API we purchase from previously approved suppliers. Similarly, the EMA has not initially approved use of each of our suppliers used for VASCEPA in the United States for VAZKEPA in the EU. While we believe that we have sufficient supply of VAZKEPA to support our initial launch plans in Europe, our supply in Europe will be limited until additional suppliers are qualified which qualifications could be delayed by COVID-19 and our exposure to manufacturing issues with our approved suppliers for the EU. If our third-party manufacturing capacity is not appropriately qualified and/or compliant with applicable regulatory requirements, we may not be able to supply sufficient quantities of VASCEPA to meet anticipated demand. We cannot guarantee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65" w:name="page66"/>
    <w:bookmarkEnd w:id="65"/>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can be no guarantee that current suppliers and future suppliers with which we have contracted to encapsulate API will be continually qualified to manufacture the product to our specifications or that current and any future suppliers will have the manufacturing capacity to meet anticipated demand for VASCEPA.</w:t>
      </w:r>
    </w:p>
    <w:p>
      <w:pPr>
        <w:spacing w:after="0" w:line="192"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purchase too much or not enough supply to satisfy actual demand, which could have a material adverse effect on our financial results and financial condition.</w:t>
      </w:r>
    </w:p>
    <w:p>
      <w:pPr>
        <w:spacing w:after="0" w:line="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Certain of our agreements with our suppliers include minimum purchase obligations and limited exclusivity provisions. These purchases are</w:t>
      </w:r>
    </w:p>
    <w:p>
      <w:pPr>
        <w:spacing w:after="0" w:line="1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generally made on the basis of rolling 12-month forecasts which in part are binding on us and the balance of which are subject to adjustment by us subject to certain limitations. Certain of our agreements also include contractual minimum purchase commitments regardless of the rolling 12-month forecasts. We may not purchase sufficient quantities of VASCEPA to meet actual demand or we may be required to purchase more supply than needed to meet actual demand. In either case, such event could have a material adverse effect on our financial results and financial condition.</w:t>
      </w:r>
    </w:p>
    <w:p>
      <w:pPr>
        <w:spacing w:after="0" w:line="208"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third parties in the distribution channel from our manufacturers to patients subject us to risks that limit our profitability and could limit our ability to supply VASCEPA to large market segments.</w:t>
      </w:r>
    </w:p>
    <w:p>
      <w:pPr>
        <w:spacing w:after="0" w:line="37"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We sell VASCEPA principally to a limited number of major wholesalers, as well as selected regional wholesalers and mail order pharmacy providers, or collectively, our distributors or our customers, that in turn resell VASCEPA to retail pharmacies for subsequent resale to patients and healthcare providers. These parties exercise a substantial amount of bargaining power over us given their control over large segments of the market for VASCEPA. This bargaining power has led us to bear increasingly higher discounts in the sale of VASCEPA. In addition, payors have broad latitude to change individual products’ formulary position or to implement other barriers that inhibit patients from receiving therapies prescribed by their healthcare professionals. These payor barriers include requirements that patients try another drug before VASCEPA, known as step edits, and the requirement that prior authorization be obtained by a healthcare provider after a prescription is written before a patient will be reimbursed by their health plan for the cost of a VASCEPA prescription. Further, pharmacy benefit managers implement plans that act as disincentives for VASCEPA use, such as increasingly higher deductibles. One practical impact of higher deductibles is that they may cause patients to delay filling prescriptions for asymptomatic, chronic care medications such as hypertriglyceridemia earlier in the year, until patients meet their deductible and the cost of VASCEPA is then borne more by their insurance carrier. Collectively, these dynamics negatively affect our profitability for the sale of VASCEPA and could increase over time further impacting our operating results. Consolidation among these industry participants could increase the pressure from these market dynamics.</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manufacture, packaging and distribution of pharmaceutical products such as VASCEPA are subject to U.S. FDA regulations and those of</w:t>
      </w:r>
    </w:p>
    <w:p>
      <w:pPr>
        <w:spacing w:after="0" w:line="6" w:lineRule="exact"/>
        <w:rPr>
          <w:sz w:val="20"/>
          <w:szCs w:val="20"/>
          <w:color w:val="auto"/>
        </w:rPr>
      </w:pPr>
    </w:p>
    <w:p>
      <w:pPr>
        <w:ind w:right="1100"/>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similar foreign regulatory bodies. If we or our third-party manufacturers fail to satisfy these requirements, our product development and commercialization efforts may be materially harmed.</w:t>
      </w:r>
    </w:p>
    <w:p>
      <w:pPr>
        <w:spacing w:after="0" w:line="76"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 manufacture, packaging and distribution of pharmaceutical products, such as VASCEPA, are regulated by the U.S. FDA and similar foreign regulatory bodies and must be conducted in accordance with the U.S. FDA’s cGMPs and comparable requirements of foreign regulatory bodies. There are a limited number of manufacturers that operate under these cGMPs as well as the International Council for Harmonisation of Technical Requirements for Registration of Pharmaceuticals for Human Use, or ICH, regulations and guidelines, that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and penalties,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78"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Changes in the manufacturing process or procedure, including a change in the location where the product is manufactured or a change of a third-party manufacturer, may require prior U.S. FDA review and pre-approval of the manufacturing process and procedures in accordance with the U.S. FDA’s cGMPs. Any new facility may be subject to a pre-approval inspection by the U.S. FDA and would again require us to demonstrate product comparability to the U.S. FDA. If any third-party manufacturer with whom we contract fails to perform its obligations, we may be forced to manufacture the materials ourselves, for which we may not have the capabilities or resources, or enter into an agreement with a different third-party manufacturer, which we may not be able to do on reasonable terms, if at all. In either scenario, our clinical trials or commercial distribution could be delayed significantly as we establish alternative supply sources. In some cases, the technical skills required to manufacture our products or product candidates may be unique or proprietary to the original third-party manufacturer and we may have difficulty, or there may be contractual restrictions prohibiting us from, transferring such skills to a back-up or alternate supplier, or we may be unable to transfer such skills at all. In addition, if we are required to change third-party manufacturer for any reason, we will be required to verify that the new third-party manufacturer maintains facilities and procedures that comply with quality standards and with all applicable regulations. We will also need to verify, such as through a manufacturing comparability study, that any new manufacturing process will produce our product according to the specifications previously submitted to or approved by the U.S. FDA or another regulatory authority. The</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6" w:name="page67"/>
    <w:bookmarkEnd w:id="66"/>
    <w:p>
      <w:pPr>
        <w:spacing w:after="0" w:line="246" w:lineRule="auto"/>
        <w:rPr>
          <w:sz w:val="20"/>
          <w:szCs w:val="20"/>
          <w:color w:val="auto"/>
        </w:rPr>
      </w:pPr>
      <w:r>
        <w:rPr>
          <w:rFonts w:ascii="Times New Roman" w:cs="Times New Roman" w:eastAsia="Times New Roman" w:hAnsi="Times New Roman"/>
          <w:sz w:val="18"/>
          <w:szCs w:val="18"/>
          <w:color w:val="auto"/>
        </w:rPr>
        <w:t>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third-party manufacturer owns independently. This would increase our reliance on such third-party manufacturer or require us to obtain a license from such third-party manufacturer in order to have another third-party manufacturer manufacture our products or product candidates. In addition, in the case of the third-party manufacturers that supply our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71" w:lineRule="exact"/>
        <w:rPr>
          <w:sz w:val="20"/>
          <w:szCs w:val="20"/>
          <w:color w:val="auto"/>
        </w:rPr>
      </w:pPr>
    </w:p>
    <w:p>
      <w:pPr>
        <w:jc w:val="both"/>
        <w:ind w:right="240" w:firstLine="509"/>
        <w:spacing w:after="0" w:line="250" w:lineRule="auto"/>
        <w:rPr>
          <w:sz w:val="20"/>
          <w:szCs w:val="20"/>
          <w:color w:val="auto"/>
        </w:rPr>
      </w:pPr>
      <w:r>
        <w:rPr>
          <w:rFonts w:ascii="Times New Roman" w:cs="Times New Roman" w:eastAsia="Times New Roman" w:hAnsi="Times New Roman"/>
          <w:sz w:val="18"/>
          <w:szCs w:val="18"/>
          <w:color w:val="auto"/>
        </w:rPr>
        <w:t>There are comparable foreign requirements under ICH guidelines. In addition, certain COVID-19 restrictions have affected Regulatory Agencies' ability to conduct facility inspections and may affect the timing of further approvals. This review may be costly and time consuming and could delay or prevent the launch of a product.</w:t>
      </w:r>
    </w:p>
    <w:p>
      <w:pPr>
        <w:spacing w:after="0" w:line="82" w:lineRule="exact"/>
        <w:rPr>
          <w:sz w:val="20"/>
          <w:szCs w:val="20"/>
          <w:color w:val="auto"/>
        </w:rPr>
      </w:pPr>
    </w:p>
    <w:p>
      <w:pPr>
        <w:ind w:right="140" w:firstLine="509"/>
        <w:spacing w:after="0" w:line="242" w:lineRule="auto"/>
        <w:rPr>
          <w:sz w:val="20"/>
          <w:szCs w:val="20"/>
          <w:color w:val="auto"/>
        </w:rPr>
      </w:pPr>
      <w:r>
        <w:rPr>
          <w:rFonts w:ascii="Times New Roman" w:cs="Times New Roman" w:eastAsia="Times New Roman" w:hAnsi="Times New Roman"/>
          <w:sz w:val="18"/>
          <w:szCs w:val="18"/>
          <w:color w:val="auto"/>
        </w:rPr>
        <w:t>Furthermore, the U.S.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Process validation includes stability testing, measurement of impurities and testing of other product specifications by validated test methods. If the U.S. FDA does not consider the result of the process validation or required testing to be satisfactory, the commercial supply of VASCEPA may be delayed, or we may not be able to supply sufficient quantities of VASCEPA to meet anticipated demand. On March 27, 2020, former President Trump signed into law the CARES Act in response to the COVID-19 pandemic. Throughout the COVID-19 pandemic, there has been public concern over the availability and accessibility of critical medical products, and the CARES Act enhances U.S. FDA’s existing authority with respect to drug shortage measures. Under the CARES Act, we must have in place a risk management plan that identifies and evaluates the risks to the supply of approved drugs for certain serious diseases or conditions for each establishment where the drug or API is manufactured. The risk management plan will be subject to U.S. FDA review during an inspection. If we experience shortages in the supply of our marketed products, our results could be materially impacted.</w:t>
      </w:r>
    </w:p>
    <w:p>
      <w:pPr>
        <w:spacing w:after="0" w:line="80"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The U.S.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or we may be prevented from manufacturing or selling VASCEPA, all of which could significantly and adversely affect our business. Furthermore, reductions in government operations due to pandemic mitigation efforts, or other factors, may delay timely regulatory review by U.S. FDA or similar foreign regulatory bodies. For example, since March 2020 when foreign and domestic inspections of facilities were largely placed on hold, the U.S. FDA has been working to resume routine surveillance, bioresearch monitoring and pre-approval inspections on a prioritized basis. Since April 2021, the U.S. FDA has conducted limited inspections and employed remote interactive evaluations, using risk management methods, to meet user fee commitments and goal dates. Ongoing travel restrictions and other uncertainties continue to impact oversight operations both domestic and abroad and it is unclear when standard operational levels will resume. The U.S. FDA is continuing to complete mission-critical work, prioritize other higher-tiered inspectional needs (e.g., for-cause inspections), and carry out surveillance inspections using risk-based approaches for evaluating public health. Should the U.S. FDA determine that an inspection is necessary for approval and an inspection cannot be completed during the review cycle due to restrictions on travel, and the U.S. FDA does not determine a remote interactive evaluation to be adequate, the agency has stated that it generally intends to issue, depending on the circumstances, a complete response letter or defer action on the application until an inspection can be completed.</w:t>
      </w:r>
    </w:p>
    <w:p>
      <w:pPr>
        <w:spacing w:after="0" w:line="206" w:lineRule="exact"/>
        <w:rPr>
          <w:sz w:val="20"/>
          <w:szCs w:val="20"/>
          <w:color w:val="auto"/>
        </w:rPr>
      </w:pPr>
    </w:p>
    <w:p>
      <w:pPr>
        <w:ind w:right="120" w:firstLine="50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*Our commercialization of VASCEPA outside the United States is substantially dependent on third parties and other circumstances outside our control.</w:t>
      </w:r>
    </w:p>
    <w:p>
      <w:pPr>
        <w:spacing w:after="0" w:line="78"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We have expanded our VASCEPA commercialization activities outside of the United States through several contractual arrangements in territories including China, the Middle East, North Africa and Canada. We continue to assess other opportunities to develop VASCEPA commercialization outside of the United States through similar arrangements.</w:t>
      </w:r>
    </w:p>
    <w:p>
      <w:pPr>
        <w:spacing w:after="0" w:line="6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February 2015, we entered into a Development, Commercialization and Supply Agreement, or the DCS Agreement, with Edding, related to the development and commercialization of VASCEPA in the China Territory. Under the DCS Agreement, Edding is responsible for development and commercialization activities in the China Territory and associated expenses. Additionally, Edding is required to conduct clinical trials in the China Territory to secure regulatory approval in certain territories. In December 2017, Edding commenced a pivotal Phase 3 clinical trial aimed to demonstrate that VASCEPA lowers triglyceride levels and otherwise has beneficial effects in Chinese patients with severe hypertriglyceridemia (TG &gt;500 mg/dL), as we previously demonstrated with VASCEPA in the more diverse population studied in the MARINE study. In November 2020, we announced statistically significant positive topline results from Edding’s Phase 3 clinical trial of VASCEPA. On February 9, 2021, we announced that the regulatory review processes for approval of VASCEPA in Mainland China and Hong Kong have commenced. The Chinese National Medical Products Administration, or NMPA, has accepted for review the new drug application for VASCEPA, submitted by Edding, based on the results from the Phase 3 clinical trial and the results from our prior studies of VASCEPA. We expect to receive a decision from the NMPA in Mainland China in the second half of 2022. On February 23, 2022 the Hong Kong Department of Health completed their</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7" w:name="page68"/>
    <w:bookmarkEnd w:id="67"/>
    <w:p>
      <w:pPr>
        <w:ind w:right="20"/>
        <w:spacing w:after="0" w:line="246" w:lineRule="auto"/>
        <w:rPr>
          <w:sz w:val="20"/>
          <w:szCs w:val="20"/>
          <w:color w:val="auto"/>
        </w:rPr>
      </w:pPr>
      <w:r>
        <w:rPr>
          <w:rFonts w:ascii="Times New Roman" w:cs="Times New Roman" w:eastAsia="Times New Roman" w:hAnsi="Times New Roman"/>
          <w:sz w:val="18"/>
          <w:szCs w:val="18"/>
          <w:color w:val="auto"/>
        </w:rPr>
        <w:t>evaluation and approved the use of VASCEPA under the REDUCE-IT indication. Even though such results are similar to the MARINE study, additional clinical development efforts may be necessary in this market to demonstrate the effectiveness of VASCEPA in reducing major adverse cardiovascular events in Chinese patients with persistent cardiovascular risk. Any development and regulatory efforts in the China Territory may be negatively impacted if the coronavirus pandemic worsens, continues or spreads, and if resources by regulators and industry professionals continue to be diverted to address the prolonged coronavirus pandemic. Any development and regulatory efforts in the China Territory may be negatively impacted by heightened political tension between China and the United States, including in connection with COVID-19 and other issues expressed between the countries regarding trade practices, tariffs and honoring intellectual property rights. If Edding is not able to effectively develop and commercialize VASCEPA in the China Territory, we may not be able to generate revenue from the DCS Agreement resulting from the sale of VASCEPA in the China Territory.</w:t>
      </w:r>
    </w:p>
    <w:p>
      <w:pPr>
        <w:spacing w:after="0" w:line="7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March 2016, we entered into an agreement with Biologix FZCo, or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Biologix was approved under the MARINE indication in the following countries: Lebanon in March 2018, United Arab Emirates in July 2018, Qatar in December 2019, Bahrain in April 2021, Kuwait in December 2021 and Saudi Arabia in March 2022. VASCEPA was approved under the REDUCE-IT indication in the following countries: Qatar in April 2021, Lebanon in August 2021, United Arab Emirates in October 2021 and Bahrain in April 2022. VASCEPA was launched in Lebanon and the United Arab Emirates in June 2018 and February 2019, respectively. VASCEPA is under registration in additional countries in the Middle East and North Africa regions. Commercialization across the Middle East and North Africa is subject to similar risks as in the China Territory, and has been negatively impacted by COVID-19 and the destabilized local economies in the region.</w:t>
      </w:r>
    </w:p>
    <w:p>
      <w:pPr>
        <w:spacing w:after="0" w:line="93"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In September 2017, we entered into an agreement with HLS Therapeutics Inc., or HLS, to register, commercialize and distribute VASCEPA in Canada. Under the agreement, HLS is responsible for regulatory and commercialization activities and associated costs. We are responsible for providing assistance towards local filings, supplying finished product under negotiated supply terms, maintaining intellectual property, and continuing the development and funding of REDUCE-IT related activities. In December 2019, VASCEPA was approved for use in Canada to reduce the risk of cardiovascular events in statin-treated patients with elevated triglycerides, who are at high risk of cardiovascular events due to established cardiovascular disease, or diabetes, and at least one other cardiovascular risk factor. In January 2020, HLS obtained an extended regulatory exclusivity designation. In February 2020, HLS launched VASCEPA in Canada, with strong initial uptake before the impact of COVID-19 pandemic. In July 2020, Patented Medicine Prices Review Board confirmed VASCEPA price is compliant with current guidelines, and CADTH recommended reimbursement for VASCEPA in Canada in secondary prevention population. In June 2022 HLS entered into Product Listing Agreements with New Brunswick, Northwest Territories and the non-insured health benefits, for the listing and public reimbursement of VASCEPA on their respective Public Prescription Drug Insurance Plans. Coverage of patients with established cardiovascular disease represents a substantial portion of VASCEPA’s approved label in Canada. However, if HLS is not able to effectively commercialize VASCEPA in Canada through effective pricing (initially and over time), reimbursement or otherwise we may not be able to generate revenue from the sale of VASCEPA in Canada.</w:t>
      </w:r>
    </w:p>
    <w:p>
      <w:pPr>
        <w:spacing w:after="0" w:line="92"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Our efforts to launch and support commercialization of VAZKEPA on our own in Europe is a complex undertaking for a company that, other than our recent launch of VAZKEPA in Germany in September 2021, has not launched or otherwise commercialized a product in Europe and could be subject to significant risks of execution to our successful development and revenue generation of VAZKEPA in Europe. While various of our suppliers have been inspected and we do not anticipate supply availability limiting our launch in Europe, COVID-19 has limited the ability of suppliers to be inspected and not all of our suppliers have completed all of the requirements of the European regulatory authorities.</w:t>
      </w:r>
    </w:p>
    <w:p>
      <w:pPr>
        <w:spacing w:after="0" w:line="73"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We have limited experience working with partners outside the United States to develop and market our products in non-U.S. jurisdictions. In order for our partners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our partners to obtain approval for VASCEPA in non-U.S. jurisdictions in a timely manner may limit the commercial success of VASCEPA and our ability to grow our revenues.</w:t>
      </w:r>
    </w:p>
    <w:p>
      <w:pPr>
        <w:spacing w:after="0" w:line="203"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and physicians and third-party payors are subject to applicable anti-kickback, fraud and abuse and other healthcare laws and regulations, which could expose use to criminal sanctions, civil penalties, contractual damages, reputational harm and diminished profits and future earnings.</w:t>
      </w:r>
    </w:p>
    <w:p>
      <w:pPr>
        <w:spacing w:after="0" w:line="60"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which may constrain the business or financial arrangements and relationships through which such companies sell, market and distribute pharmaceutical products. In particular, the promotion, sales and marketing of healthcare items and services, as well as a wide range of pricing,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8" w:name="page69"/>
    <w:bookmarkEnd w:id="68"/>
    <w:p>
      <w:pPr>
        <w:ind w:right="40"/>
        <w:spacing w:after="0" w:line="258" w:lineRule="auto"/>
        <w:rPr>
          <w:sz w:val="20"/>
          <w:szCs w:val="20"/>
          <w:color w:val="auto"/>
        </w:rPr>
      </w:pPr>
      <w:r>
        <w:rPr>
          <w:rFonts w:ascii="Times New Roman" w:cs="Times New Roman" w:eastAsia="Times New Roman" w:hAnsi="Times New Roman"/>
          <w:sz w:val="18"/>
          <w:szCs w:val="18"/>
          <w:color w:val="auto"/>
        </w:rPr>
        <w:t>discounting, marketing and promotion, structuring and commission(s), certain customer incentive programs and other business arrangements, are subject to extensive laws designed to prevent fraud, kickbacks, self-dealing and other abusive practices. The applicable federal and state healthcare laws and regulations laws that may affect our ability to operate include, but are not limited to:</w:t>
      </w:r>
    </w:p>
    <w:p>
      <w:pPr>
        <w:spacing w:after="0" w:line="48" w:lineRule="exact"/>
        <w:rPr>
          <w:sz w:val="20"/>
          <w:szCs w:val="20"/>
          <w:color w:val="auto"/>
        </w:rPr>
      </w:pPr>
    </w:p>
    <w:p>
      <w:pPr>
        <w:ind w:left="900" w:right="80" w:hanging="383"/>
        <w:spacing w:after="0" w:line="220"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FCA. Although there are a number of statutory exemptions and regulatory safe harbors protecting certain activities from prosecution, the exemptions and safe harbors are drawn narrowly, and practices that involve remuneration intended to induce prescribing, purchases, or recommendations may be subject to scrutiny if they do not qualify for an exemption or safe harbor. Our practices may not in all cases meet all of the criteria for safe harbor protection from anti-kickback liability. Violations are subject to significant civil and criminal fines and penalties for each violation, plus up to three times the renumeration involved, imprisonment, and exclusion from government healthcare workers;</w:t>
      </w:r>
    </w:p>
    <w:p>
      <w:pPr>
        <w:spacing w:after="0" w:line="72" w:lineRule="exact"/>
        <w:rPr>
          <w:rFonts w:ascii="Times New Roman" w:cs="Times New Roman" w:eastAsia="Times New Roman" w:hAnsi="Times New Roman"/>
          <w:sz w:val="18"/>
          <w:szCs w:val="18"/>
          <w:color w:val="auto"/>
        </w:rPr>
      </w:pPr>
    </w:p>
    <w:p>
      <w:pPr>
        <w:ind w:left="900" w:hanging="383"/>
        <w:spacing w:after="0" w:line="218"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penalties laws, including the FCA, which prohibits, among other things, any person from knowingly presenting, or causing to be presented, a false or fraudulent claim for payment of government funds, or knowingly making or using, or causing to be made or used, a false record or statement material to an obligation to pay money to the government or knowingly concealing, or knowingly and improperly avoiding, decreasing, or concealing an obligation to pay money to the federal government. The FCA also permits a private individual acting as a “whistleblower” to bring actions on behalf of the federal government alleging violations of the statute and to share in any monetary recovery. Manufacturers can be held liable under the FCA even when they do not submit claims directly to government payors if they are deemed to “case” the submission of false or fraudulent claims. Recently, several pharmaceutical and other healthcare companies have been investigated or faced enforcement actions under the FCA for a variety of alleged improper marketing activities, including allegations that they caused false claims to be submitted because of the company’s marketing of the product for unapproved, and thus allegedly non-reimbursable, uses. Federal enforcement agencies also have showed increased interest in pharmaceutical companies’ product and patient assistance programs, including reimbursement and co-pay support services, and a number of investigations into these programs have resulted in significant civil and criminal settlements. A claim that includes items or services resulting from a violations of the U.S. Anti-Kickback Statute constitutes a false or fraudulent claim under the FCA. When an entity is determined to have violated the FCA, the government may impose civil fines and penalties for each false claim, plus treble damages, and exclude the entity from participation in Medicare, Medicaid and other federal healthcare programs. Pharmaceutical and other healthcare companies also are subject to other federal false claims laws, including, among others, federal criminal healthcare fraud and false statement statutes that extend to non-government health benefit programs;</w:t>
      </w:r>
    </w:p>
    <w:p>
      <w:pPr>
        <w:spacing w:after="0" w:line="70" w:lineRule="exact"/>
        <w:rPr>
          <w:rFonts w:ascii="Times New Roman" w:cs="Times New Roman" w:eastAsia="Times New Roman" w:hAnsi="Times New Roman"/>
          <w:sz w:val="18"/>
          <w:szCs w:val="18"/>
          <w:color w:val="auto"/>
        </w:rPr>
      </w:pPr>
    </w:p>
    <w:p>
      <w:pPr>
        <w:ind w:left="900" w:right="280" w:hanging="383"/>
        <w:spacing w:after="0" w:line="228"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among other things, imposes criminal and civil liability for knowingly and willfully executing a scheme to defraud any healthcare benefit program, including private third-party payor and knowingly and willfully falsifying, concealing or covering up a material fact or making any materially false, fictitious or fraudulent statement in connection with the delivery of or payment for healthcare benefits, items or services;</w:t>
      </w:r>
    </w:p>
    <w:p>
      <w:pPr>
        <w:spacing w:after="0" w:line="77" w:lineRule="exact"/>
        <w:rPr>
          <w:rFonts w:ascii="Times New Roman" w:cs="Times New Roman" w:eastAsia="Times New Roman" w:hAnsi="Times New Roman"/>
          <w:sz w:val="18"/>
          <w:szCs w:val="18"/>
          <w:color w:val="auto"/>
        </w:rPr>
      </w:pPr>
    </w:p>
    <w:p>
      <w:pPr>
        <w:ind w:left="900" w:right="180" w:hanging="383"/>
        <w:spacing w:after="0" w:line="245"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and its implementing regulations, which impose, among other things,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The Health Information Technology for Economic and Clinical Health Act of 2009, or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73" w:lineRule="exact"/>
        <w:rPr>
          <w:rFonts w:ascii="Times New Roman" w:cs="Times New Roman" w:eastAsia="Times New Roman" w:hAnsi="Times New Roman"/>
          <w:sz w:val="18"/>
          <w:szCs w:val="18"/>
          <w:color w:val="auto"/>
        </w:rPr>
      </w:pPr>
    </w:p>
    <w:p>
      <w:pPr>
        <w:ind w:left="900" w:right="20" w:hanging="383"/>
        <w:spacing w:after="0" w:line="245"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(defined to include doctors, dentists, optometrists, podiatrists, and chiropractors) and teaching hospitals, as well as ownership and investment interests held in the company by physicians and their immediate family members. Effective January 2022, applicable manufacturers also are required to report information regarding payments and transfers of value provided to physician assistants, nurse practitioners, clinical nurse specialists, certified nurse anesthetists, and certified nurse-midwives;</w:t>
      </w:r>
    </w:p>
    <w:p>
      <w:pPr>
        <w:spacing w:after="0" w:line="73"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governmental price reporting laws, which require the calculation and reporting of complex pricing metrics in an accurate and timely manner to government programs;</w:t>
      </w:r>
    </w:p>
    <w:p>
      <w:pPr>
        <w:spacing w:after="0" w:line="40" w:lineRule="exact"/>
        <w:rPr>
          <w:rFonts w:ascii="Times New Roman" w:cs="Times New Roman" w:eastAsia="Times New Roman" w:hAnsi="Times New Roman"/>
          <w:sz w:val="18"/>
          <w:szCs w:val="18"/>
          <w:color w:val="auto"/>
        </w:rPr>
      </w:pPr>
    </w:p>
    <w:p>
      <w:pPr>
        <w:ind w:left="900" w:right="360" w:hanging="383"/>
        <w:spacing w:after="0" w:line="253"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9" w:name="page70"/>
    <w:bookmarkEnd w:id="69"/>
    <w:p>
      <w:pPr>
        <w:ind w:left="900" w:right="20" w:hanging="383"/>
        <w:spacing w:after="0" w:line="244"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 other state or local laws that require pharmaceutical companies to comply with the pharmaceutical industry’s voluntary compliance guidelines and the relevant compliance guidance promulgated by the federal government or otherwise restrict payments that may be made to healthcare providers; restrict the ability of manufacturers to offer co-pay support to patients for certain prescription drugs; require drug manufacturers to report information related to clinical trials, or information related to payments and other transfers of value to physicians and other healthcare providers or marketing expenditures; and/or require identification or licensing of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77"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 In addition, manufacturers and other parties involved in the drug supply chain for prescription drug products must also comply with product tracking and tracing requirements and for notifying U.S. FDA of counterfeit, diverted, stolen and intentionally adulterated products or products that are otherwise unfit for distribution in the United States.</w:t>
      </w:r>
    </w:p>
    <w:p>
      <w:pPr>
        <w:spacing w:after="0" w:line="69"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give regular and close scrutiny to interactions between healthcare companies and healthcare providers, and such scrutiny often leads to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 For example, in June 2020, we received a CID from the DOJ informing us that the DOJ is investigating whether aspects of our promotional speaker programs and copayment waiver program during the period from January 1, 2015 to the present violated the U.S. Anti-Kickback Statute and the FCA in relation to the sale and marketing of VASCEPA by us and our previous co-marketing partner, Kowa America. Similarly, in March 2021, the FTC issued a CID to us in connection with the FTC’s investigation of whether we have engaged in, or is engaging in, anticompetitive practices or unfair methods of competition relating to VASCEPA. The New York State attorney general similarly issued a subpoena to us regarding the same subject matter on which the FTC CID is focused. The investigations require us to produce documents and answer written questions, or interrogatories, relevant to specified time periods. We are cooperating with the government.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 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93"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Although compliance programs can mitigate the risk of investigation and prosecution for violations of these laws,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69"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Third party patient assistance programs that receive financial support from companies have become the subject of enhanced government and regulatory scrutiny.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The U.S. government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0" w:name="page71"/>
    <w:bookmarkEnd w:id="70"/>
    <w:p>
      <w:pPr>
        <w:ind w:right="100"/>
        <w:spacing w:after="0" w:line="242" w:lineRule="auto"/>
        <w:rPr>
          <w:sz w:val="20"/>
          <w:szCs w:val="20"/>
          <w:color w:val="auto"/>
        </w:rPr>
      </w:pPr>
      <w:r>
        <w:rPr>
          <w:rFonts w:ascii="Times New Roman" w:cs="Times New Roman" w:eastAsia="Times New Roman" w:hAnsi="Times New Roman"/>
          <w:sz w:val="18"/>
          <w:szCs w:val="18"/>
          <w:color w:val="auto"/>
        </w:rPr>
        <w:t>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foundation support for our patients who need assistance. Further, it is possible that changes in insurer policies regarding co-pay coupons and/or the introduction and enactment of new legislation or regulatory measures impacting patients using affected products could have a material adverse effect on our sales, business and financial condition. For example, on December 31, 2020, CMS published a new rule, effective January 1, 2023, requiring manufacturers to ensure the full value of co-pay assistance is passed on to the patient or these dollars will count toward the Average Manufacturer Price and Best Price calculation of the drug. On May 21, 2021, PhRMA sued the HHS in the U.S. District Court for the District of Columbia, to stop the implementation of the rule claiming that the rule contradicts federal law surrounding Medicaid rebates. Although a number of these and other proposed measures may require authorization through additional legislation to become effective, and the current U.S. presidential administration may reverse or otherwise change these measures, both the current U.S. presidential administration and Congress have indicated that they will continue to seek new legislative measures to control drug costs. We cannot predict how the implementation of and any further changes to this rule will affect our business.</w:t>
      </w:r>
    </w:p>
    <w:p>
      <w:pPr>
        <w:spacing w:after="0" w:line="82"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In addition, with the approval and commercialization of any of our products outside the United States, we will also likely be subject to foreign equivalents of the healthcare laws mentioned above, among other foreign laws.</w:t>
      </w:r>
    </w:p>
    <w:p>
      <w:pPr>
        <w:spacing w:after="0" w:line="199"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50"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U.S. FDA requires us to comply with requirements, commonly referred to as good clinical practices, for conducting, recording, and reporting the results of clinical trials to ensure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patents, proprietary rights and confidentiality to protect the commercial value and potential of VASCEPA.</w:t>
      </w:r>
    </w:p>
    <w:p>
      <w:pPr>
        <w:spacing w:after="0" w:line="81"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drug candidates, technology and know-how, and to operate without infringing the proprietary rights of others. While certain key patents related to our product based on the MARINE clinical study were determined to be invalid as obvious by a district court in the United States, and we are pursuing an appeal process, it remains the case that our ability to successfully implement our business plan and to protect our products with our intellectual property will depend in large part on our ability to:</w:t>
      </w:r>
    </w:p>
    <w:p>
      <w:pPr>
        <w:spacing w:after="0" w:line="50" w:lineRule="exact"/>
        <w:rPr>
          <w:sz w:val="20"/>
          <w:szCs w:val="20"/>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defend and maintain patent protection and market exclusivity for our current and future products;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any trade secrets relating to our current and future products;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patented or patentable products and technologies; and</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proprietary rights of third parties.</w:t>
      </w:r>
    </w:p>
    <w:p>
      <w:pPr>
        <w:spacing w:after="0" w:line="104"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We have prosecuted, and are currently prosecuting, multiple patent applications to protect the intellectual property developed during the VASCEPA development program. As of the date of this report, we had 126 patent applications in the United States that have been either issued or allowed and more than 30 additional patent applications are pending in the United States. Such 126 allowed and issued applications include the following:</w:t>
      </w:r>
    </w:p>
    <w:p>
      <w:pPr>
        <w:spacing w:after="0" w:line="82" w:lineRule="exact"/>
        <w:rPr>
          <w:sz w:val="20"/>
          <w:szCs w:val="20"/>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issued U.S. patent directed to a pharmaceutical composition of VASCEPA in a capsule that expires in 2030;</w:t>
      </w:r>
    </w:p>
    <w:p>
      <w:pPr>
        <w:spacing w:after="0" w:line="103" w:lineRule="exact"/>
        <w:rPr>
          <w:rFonts w:ascii="Times New Roman" w:cs="Times New Roman" w:eastAsia="Times New Roman" w:hAnsi="Times New Roman"/>
          <w:sz w:val="18"/>
          <w:szCs w:val="18"/>
          <w:color w:val="auto"/>
        </w:rPr>
      </w:pPr>
    </w:p>
    <w:p>
      <w:pPr>
        <w:ind w:left="900" w:right="400" w:hanging="383"/>
        <w:spacing w:after="0" w:line="266"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 U.S. patents covering or related to the use of VASCEPA in either the MARINE or ANCHOR populations that have terms that expire in 2030 or later;</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U.S. patents covering or related to the use of VASCEPA in the REDUCE-IT population with terms expiring in 2033 or later;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1" w:name="page72"/>
    <w:bookmarkEnd w:id="71"/>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additional U.S. patents directed to a pharmaceutical composition comprised of free fatty acids with a term that expires in 2030;</w:t>
      </w:r>
    </w:p>
    <w:p>
      <w:pPr>
        <w:spacing w:after="0" w:line="117"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additional patents related to the use of a pharmaceutical composition comprised of free fatty acids to treat the ANCHOR patient population with a term that expires in 2030 or later;</w:t>
      </w:r>
    </w:p>
    <w:p>
      <w:pPr>
        <w:spacing w:after="0" w:line="54"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additional patents related to the use of a pharmaceutical composition comprised of free fatty acids to treat the MARINE patient population with a term that expires in 2030;</w:t>
      </w:r>
    </w:p>
    <w:p>
      <w:pPr>
        <w:spacing w:after="0" w:line="40" w:lineRule="exact"/>
        <w:rPr>
          <w:rFonts w:ascii="Times New Roman" w:cs="Times New Roman" w:eastAsia="Times New Roman" w:hAnsi="Times New Roman"/>
          <w:sz w:val="18"/>
          <w:szCs w:val="18"/>
          <w:color w:val="auto"/>
        </w:rPr>
      </w:pPr>
    </w:p>
    <w:p>
      <w:pPr>
        <w:ind w:left="900" w:right="260" w:hanging="383"/>
        <w:spacing w:after="0" w:line="266"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additional patents related to the use of a pharmaceutical composition comprised of free fatty acids to treat the REDUCE-IT population expiring 2033;</w:t>
      </w:r>
    </w:p>
    <w:p>
      <w:pPr>
        <w:spacing w:after="0" w:line="67" w:lineRule="exact"/>
        <w:rPr>
          <w:rFonts w:ascii="Times New Roman" w:cs="Times New Roman" w:eastAsia="Times New Roman" w:hAnsi="Times New Roman"/>
          <w:sz w:val="18"/>
          <w:szCs w:val="18"/>
          <w:color w:val="auto"/>
        </w:rPr>
      </w:pPr>
    </w:p>
    <w:p>
      <w:pPr>
        <w:ind w:left="900" w:right="240" w:hanging="383"/>
        <w:spacing w:after="0" w:line="266"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additional patents related to a pharmaceutical composition comprised of free fatty acids and uses thereof to treat both the MARINE and ANCHOR patient populations with a term that expires in 2030;</w:t>
      </w:r>
    </w:p>
    <w:p>
      <w:pPr>
        <w:spacing w:after="0" w:line="54" w:lineRule="exact"/>
        <w:rPr>
          <w:rFonts w:ascii="Times New Roman" w:cs="Times New Roman" w:eastAsia="Times New Roman" w:hAnsi="Times New Roman"/>
          <w:sz w:val="18"/>
          <w:szCs w:val="18"/>
          <w:color w:val="auto"/>
        </w:rPr>
      </w:pPr>
    </w:p>
    <w:p>
      <w:pPr>
        <w:ind w:left="900" w:right="200" w:hanging="383"/>
        <w:spacing w:after="0" w:line="266"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additional patent related to the use of a pharmaceutical composition comprised of re-esterified EPA triglyceride to treat the REDUCE-IT population expiring 2033;</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additional patents related to a formulation of EPA/DHA and uses thereof with a term that expires in 2030;</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additional patents related to the use of VASCEPA to treat obesity with a term that expires in 2034;</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additional patent related to the use of VASCEPA to treat prostate cancer with a term that expires in 2037;</w:t>
      </w:r>
    </w:p>
    <w:p>
      <w:pPr>
        <w:spacing w:after="0" w:line="117" w:lineRule="exact"/>
        <w:rPr>
          <w:rFonts w:ascii="Times New Roman" w:cs="Times New Roman" w:eastAsia="Times New Roman" w:hAnsi="Times New Roman"/>
          <w:sz w:val="18"/>
          <w:szCs w:val="18"/>
          <w:color w:val="auto"/>
        </w:rPr>
      </w:pPr>
    </w:p>
    <w:p>
      <w:pPr>
        <w:ind w:left="900" w:right="180" w:hanging="383"/>
        <w:spacing w:after="0" w:line="266"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additional patents covering a pharmaceutical composition comprised of EPA and a hydroxyl compound with a term that expires in 2034; and</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additional patents covering a new combination therapy comprised of EPA and another drug.</w:t>
      </w:r>
    </w:p>
    <w:p>
      <w:pPr>
        <w:spacing w:after="0" w:line="117"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73"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are the owner of the above-listed patents. We are also the exclusive licensee of certain patents owned by others covering products and products in development.</w:t>
      </w:r>
    </w:p>
    <w:p>
      <w:pPr>
        <w:spacing w:after="0" w:line="40" w:lineRule="exact"/>
        <w:rPr>
          <w:sz w:val="20"/>
          <w:szCs w:val="20"/>
          <w:color w:val="auto"/>
        </w:rPr>
      </w:pPr>
    </w:p>
    <w:p>
      <w:pPr>
        <w:ind w:right="180" w:firstLine="509"/>
        <w:spacing w:after="0" w:line="262" w:lineRule="auto"/>
        <w:rPr>
          <w:sz w:val="20"/>
          <w:szCs w:val="20"/>
          <w:color w:val="auto"/>
        </w:rPr>
      </w:pPr>
      <w:r>
        <w:rPr>
          <w:rFonts w:ascii="Times New Roman" w:cs="Times New Roman" w:eastAsia="Times New Roman" w:hAnsi="Times New Roman"/>
          <w:sz w:val="17"/>
          <w:szCs w:val="17"/>
          <w:color w:val="auto"/>
        </w:rPr>
        <w:t>We are also pursuing patent applications related to VASCEPA in multiple jurisdictions outside the United States. Geographies outside the United States in which VASCEPA is sold and under regulatory review are not subject to the U.S. patent litigation and judgment. No litigation involving potential generic versions of VASCEPA is pending outside the United States. VASCEPA is currently available by prescription in Canada, Lebanon and the United Arab Emirates. In Canada, VASCEPA has the benefit of data protection afforded through Health Canada (until the end of 2027), in addition to separate patent protection with expiration dates that could extend into 2039. We are pursuing additional regulatory approvals for VASCEPA in Europe, China and the Middle East. In China and the Middle East, we are pursuing such regulatory approvals and subsequent commercialization of VASCEPA with commercial partners. The EC approval provides ten years of market protection in the EU. Furthermore, patent protection in Europe includes:</w:t>
      </w:r>
    </w:p>
    <w:p>
      <w:pPr>
        <w:spacing w:after="0" w:line="4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One granted patent related to the use of a pharmaceutical composition comprised of 4g of 96% EPA ethyl ester to treat the REDUCE-IT population expiring 2033.</w:t>
      </w:r>
    </w:p>
    <w:p>
      <w:pPr>
        <w:spacing w:after="0" w:line="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Pending patent applications in Europe, if granted, may have the potential to extend exclusivity into 2039.</w:t>
      </w:r>
    </w:p>
    <w:p>
      <w:pPr>
        <w:spacing w:after="0" w:line="104" w:lineRule="exact"/>
        <w:rPr>
          <w:sz w:val="20"/>
          <w:szCs w:val="20"/>
          <w:color w:val="auto"/>
        </w:rPr>
      </w:pPr>
    </w:p>
    <w:p>
      <w:pPr>
        <w:ind w:right="40" w:firstLine="509"/>
        <w:spacing w:after="0" w:line="233" w:lineRule="auto"/>
        <w:rPr>
          <w:sz w:val="20"/>
          <w:szCs w:val="20"/>
          <w:color w:val="auto"/>
        </w:rPr>
      </w:pPr>
      <w:r>
        <w:rPr>
          <w:rFonts w:ascii="Times New Roman" w:cs="Times New Roman" w:eastAsia="Times New Roman" w:hAnsi="Times New Roman"/>
          <w:sz w:val="18"/>
          <w:szCs w:val="18"/>
          <w:color w:val="auto"/>
        </w:rPr>
        <w:t>We may be dependent in some cases upon third-party licensors to pursue filing, prosecution and maintenance of patent rights or applications owned or controlled by those parties, including, for example, under our collaboration with Mochida.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 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83"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2" w:name="page73"/>
    <w:bookmarkEnd w:id="72"/>
    <w:p>
      <w:pPr>
        <w:ind w:right="20"/>
        <w:spacing w:after="0"/>
        <w:rPr>
          <w:sz w:val="20"/>
          <w:szCs w:val="20"/>
          <w:color w:val="auto"/>
        </w:rPr>
      </w:pPr>
      <w:r>
        <w:rPr>
          <w:rFonts w:ascii="Times New Roman" w:cs="Times New Roman" w:eastAsia="Times New Roman" w:hAnsi="Times New Roman"/>
          <w:sz w:val="18"/>
          <w:szCs w:val="18"/>
          <w:color w:val="auto"/>
        </w:rPr>
        <w:t>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77" w:lineRule="exact"/>
        <w:rPr>
          <w:sz w:val="20"/>
          <w:szCs w:val="20"/>
          <w:color w:val="auto"/>
        </w:rPr>
      </w:pPr>
    </w:p>
    <w:p>
      <w:pPr>
        <w:ind w:right="100" w:firstLine="509"/>
        <w:spacing w:after="0" w:line="235" w:lineRule="auto"/>
        <w:rPr>
          <w:sz w:val="20"/>
          <w:szCs w:val="20"/>
          <w:color w:val="auto"/>
        </w:rPr>
      </w:pPr>
      <w:r>
        <w:rPr>
          <w:rFonts w:ascii="Times New Roman" w:cs="Times New Roman" w:eastAsia="Times New Roman" w:hAnsi="Times New Roman"/>
          <w:sz w:val="18"/>
          <w:szCs w:val="18"/>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issued patents may not prevent competitors from competing with VASCEPA, even if we are successful in enforcing our patent rights.</w:t>
      </w:r>
    </w:p>
    <w:p>
      <w:pPr>
        <w:spacing w:after="0" w:line="121"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We plan to vigorously defend our rights under issued patents. For example, on November 30, 2020 we filed a patent infringement lawsuit against Hikma for making, selling, offering to sell and importing generic icosapent ethyl capsules in and into the United States in a manner that we allege has induced the infringement of patents covering the use of VASCEPA to reduce specified cardiovascular risk. On January 25, 2021, we expanded the scope of this patent infringement lawsuit to include a health care insurance provider, Health Net, LLC. On January 4, 2022, the district court hearing the case granted Hikma's motion to dismiss. We intend to appeal the decision of the district court when permitted and also intend to continue to vigorously pursue our ongoing litigation with Health Net, LLC, but cannot predict the outcome or the impact on our business.</w:t>
      </w:r>
    </w:p>
    <w:p>
      <w:pPr>
        <w:spacing w:after="0" w:line="74" w:lineRule="exact"/>
        <w:rPr>
          <w:sz w:val="20"/>
          <w:szCs w:val="20"/>
          <w:color w:val="auto"/>
        </w:rPr>
      </w:pPr>
    </w:p>
    <w:p>
      <w:pPr>
        <w:ind w:right="140" w:firstLine="509"/>
        <w:spacing w:after="0" w:line="247" w:lineRule="auto"/>
        <w:rPr>
          <w:sz w:val="20"/>
          <w:szCs w:val="20"/>
          <w:color w:val="auto"/>
        </w:rPr>
      </w:pPr>
      <w:r>
        <w:rPr>
          <w:rFonts w:ascii="Times New Roman" w:cs="Times New Roman" w:eastAsia="Times New Roman" w:hAnsi="Times New Roman"/>
          <w:sz w:val="18"/>
          <w:szCs w:val="18"/>
          <w:color w:val="auto"/>
        </w:rPr>
        <w:t>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 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72"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any of our pending patent applications relating to VASCEPA or its use will issue as patents.</w:t>
      </w:r>
    </w:p>
    <w:p>
      <w:pPr>
        <w:spacing w:after="0" w:line="108" w:lineRule="exact"/>
        <w:rPr>
          <w:sz w:val="20"/>
          <w:szCs w:val="20"/>
          <w:color w:val="auto"/>
        </w:rPr>
      </w:pPr>
    </w:p>
    <w:p>
      <w:pPr>
        <w:ind w:right="140" w:firstLine="509"/>
        <w:spacing w:after="0" w:line="247" w:lineRule="auto"/>
        <w:rPr>
          <w:sz w:val="20"/>
          <w:szCs w:val="20"/>
          <w:color w:val="auto"/>
        </w:rPr>
      </w:pPr>
      <w:r>
        <w:rPr>
          <w:rFonts w:ascii="Times New Roman" w:cs="Times New Roman" w:eastAsia="Times New Roman" w:hAnsi="Times New Roman"/>
          <w:sz w:val="18"/>
          <w:szCs w:val="18"/>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our clinical trials. If granted, one or more of the resulting granted patents from REDUCE-IT, for example, would expire in 2039, beyond the 2030 and 2033 expiration dates of currently issued REDUCE-IT patents. However, no assurance can be given that any of our pending patent applications will be granted or, if they grant, that they will prevent competitors from competing with VASCEPA.</w:t>
      </w:r>
    </w:p>
    <w:p>
      <w:pPr>
        <w:spacing w:after="0" w:line="7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210"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50"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w:t>
      </w: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3" w:name="page74"/>
    <w:bookmarkEnd w:id="73"/>
    <w:p>
      <w:pPr>
        <w:ind w:right="120"/>
        <w:spacing w:after="0" w:line="282" w:lineRule="auto"/>
        <w:rPr>
          <w:sz w:val="20"/>
          <w:szCs w:val="20"/>
          <w:color w:val="auto"/>
        </w:rPr>
      </w:pPr>
      <w:r>
        <w:rPr>
          <w:rFonts w:ascii="Times New Roman" w:cs="Times New Roman" w:eastAsia="Times New Roman" w:hAnsi="Times New Roman"/>
          <w:sz w:val="18"/>
          <w:szCs w:val="18"/>
          <w:color w:val="auto"/>
        </w:rPr>
        <w:t>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right="32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50"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In January 2022, we disclosed our 2022 financial outlook. Subsequent to that, including in connection with the announcement of our cost and organizational restructuring plan, we have made statements about expected cost reductions and expenditures. Such outlook and estimates are based on estimates, assumptions and the judgment of management. Because of the inherent nature of estimates, including during the uncertainty of the European launch and COVID-19’s impact on our business, we have suspended providing net revenue guidance and there could be significant differences between our estimates and the actual amount of product demand. If we fail to realize or if we change or update any element of our publicly disclosed financial guidance as we have done in the past or other expectations about our business and initiative change, our stock price could decline in value.</w:t>
      </w:r>
    </w:p>
    <w:p>
      <w:pPr>
        <w:spacing w:after="0" w:line="203" w:lineRule="exact"/>
        <w:rPr>
          <w:sz w:val="20"/>
          <w:szCs w:val="20"/>
          <w:color w:val="auto"/>
        </w:rPr>
      </w:pPr>
    </w:p>
    <w:p>
      <w:pPr>
        <w:ind w:right="50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loss of key personnel could have an adverse effect on our business, particularly in light of our recent announcement of management succession plan.</w:t>
      </w:r>
    </w:p>
    <w:p>
      <w:pPr>
        <w:spacing w:after="0" w:line="63"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are highly dependent upon the efforts of our senior management. The loss of the services of one or more members of senior management could have a material adverse effect on us. Given our rapidly expanding enterprise coupled with a streamlined management structure and sales force,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continue to expand our commercialization efforts, particularly on a global scale, we may experience continued or increased turnover among members of our senior management team. We may have difficulty identifying, attracting and integrating new executives to replace any such losses. As we expand commercialization efforts in Europe, we need to rapidly hire employees and ensure that they are well trained and working cohesively with core values which are consistent with our existing operations and which, we believe, help improve our position for success. In the United States, employees are increasingly being recruited by other companies. While our business remains focused on continued promotion of VASCEPA in the United States, and expansion in Europe, the current and potential threat of generic competition and our recent reductions in force can create employee uncertainty which could lead to increased employee turnover. There is intense competition for qualified personnel in the areas of our activities. In this environment, we may not be able to attract or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181" w:lineRule="exact"/>
        <w:rPr>
          <w:sz w:val="20"/>
          <w:szCs w:val="20"/>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clinical research organizations or other contractors or consultants, may fail or suffer security breaches, which could result in a material disruption of our commercial, research and development and other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-214630</wp:posOffset>
            </wp:positionV>
            <wp:extent cx="64135" cy="393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43" w:lineRule="exact"/>
        <w:rPr>
          <w:sz w:val="20"/>
          <w:szCs w:val="20"/>
          <w:color w:val="auto"/>
        </w:rPr>
      </w:pPr>
    </w:p>
    <w:p>
      <w:pPr>
        <w:ind w:right="20" w:firstLine="509"/>
        <w:spacing w:after="0" w:line="215" w:lineRule="exact"/>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clinical research organizations and other contractors and consultants are vulnerable to damage from computer viruses, unauthorized access, natural disasters, terrorism, war, and telecommunication and electrical failures. Any such incident could cause interruptions in our operations or a material disruption of our programs. To the extent that any disruption or security breach results in a loss of or damage to our data or applications or other data or applications relating to our technology or products candidates, or inappropriate disclosure of confidential or proprietary information, we could incur liabilities and our research and development program could be delayed.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4" w:name="page75"/>
    <w:bookmarkEnd w:id="74"/>
    <w:p>
      <w:pPr>
        <w:ind w:firstLine="509"/>
        <w:spacing w:after="0" w:line="242" w:lineRule="auto"/>
        <w:rPr>
          <w:sz w:val="20"/>
          <w:szCs w:val="20"/>
          <w:color w:val="auto"/>
        </w:rPr>
      </w:pPr>
      <w:r>
        <w:rPr>
          <w:rFonts w:ascii="Times New Roman" w:cs="Times New Roman" w:eastAsia="Times New Roman" w:hAnsi="Times New Roman"/>
          <w:sz w:val="18"/>
          <w:szCs w:val="18"/>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For example, in June 2019, a report published by security researchers claimed that a database belonging to one of our vendors containing information about individuals who use or have expressed interest in VASCEPA was accessible to unauthorized users. Although we were informed that such breach did not include social security numbers or credit card information, we cannot guarantee that a more material breach will not occur in the future.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and to repair reputational costs.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We may incur significant costs or divert significant internal resources as a result of any regulatory actions or private litigation. Any of the foregoing consequences may adversely affect our business and financial condition.</w:t>
      </w:r>
    </w:p>
    <w:p>
      <w:pPr>
        <w:spacing w:after="0" w:line="82"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7"/>
          <w:szCs w:val="17"/>
          <w:color w:val="auto"/>
        </w:rPr>
        <w:t>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potential product liability.</w:t>
      </w:r>
    </w:p>
    <w:p>
      <w:pPr>
        <w:spacing w:after="0" w:line="10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54"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change in our tax residence and/or tax laws could have a negative effect on our future profitability.</w:t>
      </w:r>
    </w:p>
    <w:p>
      <w:pPr>
        <w:spacing w:after="0" w:line="108"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We expect that our tax jurisdiction will remain in Ireland. 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Up to December 31, 2019, where a company was treated as tax resident under the domestic laws of both the UK and Ireland, then the provisions of article 4(3) of the Double Tax Agreement, or DTA, between the UK and Ireland provided that such enterprise would be treated as resident only in the jurisdiction in which its place of effective management is situated. We had at all times sought to conduct our affairs in such a way so as to be solely resident in Ireland for tax purposes by virtue of having our place of effective management situated in Ireland.</w:t>
      </w:r>
    </w:p>
    <w:p>
      <w:pPr>
        <w:spacing w:after="0" w:line="73"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These rules regarding determination of tax residence changed effective January 1, 2020, when a modified Ireland-UK DTA came into effect pursuant to the OECD’s Multilateral Instrument, or MLI. Under the modified Ireland-UK DTA, from January 1, 2020, we would be solely tax resident in Ireland and not tax resident in the UK if we continued to be centrally managed and controlled in Ireland and if it were mutually agreed between the Irish and UK tax authorities under the MLI “tie-breaker rule” that we are solely tax resident in Ireland. Having made the relevant submission under the amended provisions, we received confirmation effective January 1, 2020 of the mutual agreement of Irish and UK tax authorities that we are solely tax resident in Ireland for the purposes of the modified DTA.</w:t>
      </w:r>
    </w:p>
    <w:p>
      <w:pPr>
        <w:spacing w:after="0" w:line="72"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However, we cannot assure you that we are or will continue to be solely resident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and the basis on which our</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75" w:name="page76"/>
    <w:bookmarkEnd w:id="75"/>
    <w:p>
      <w:pPr>
        <w:ind w:right="100"/>
        <w:spacing w:after="0" w:line="282" w:lineRule="auto"/>
        <w:rPr>
          <w:sz w:val="20"/>
          <w:szCs w:val="20"/>
          <w:color w:val="auto"/>
        </w:rPr>
      </w:pPr>
      <w:r>
        <w:rPr>
          <w:rFonts w:ascii="Times New Roman" w:cs="Times New Roman" w:eastAsia="Times New Roman" w:hAnsi="Times New Roman"/>
          <w:sz w:val="18"/>
          <w:szCs w:val="18"/>
          <w:color w:val="auto"/>
        </w:rPr>
        <w:t>income is taxed may also change. Similarly, if the tax residency of our Irish or UK subsidiaries were to change from their current jurisdiction, they may be subject to a charge to local capital gains tax on their assets and the basis on which their income is taxed may also change.</w:t>
      </w:r>
    </w:p>
    <w:p>
      <w:pPr>
        <w:spacing w:after="0" w:line="40"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Our and our subsidiaries’ income tax returns are periodically examined by various tax authorities, including the Internal Revenue Service, or the IRS, and states. For example, the IRS began an examination of our 2018 U.S. income tax return in the first quarter of 2020. Although the outcome of tax audits is always uncertain and could result in significant cash tax payments, we do not believe the outcome of any ongoing or future audits will have a material adverse effect on our consolidated financial position or results of operations.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our exposure to customer concentration risk.</w:t>
      </w:r>
    </w:p>
    <w:p>
      <w:pPr>
        <w:spacing w:after="0" w:line="108" w:lineRule="exact"/>
        <w:rPr>
          <w:sz w:val="20"/>
          <w:szCs w:val="20"/>
          <w:color w:val="auto"/>
        </w:rPr>
      </w:pPr>
    </w:p>
    <w:p>
      <w:pPr>
        <w:ind w:right="40" w:firstLine="509"/>
        <w:spacing w:after="0" w:line="235" w:lineRule="auto"/>
        <w:rPr>
          <w:sz w:val="20"/>
          <w:szCs w:val="20"/>
          <w:color w:val="auto"/>
        </w:rPr>
      </w:pPr>
      <w:r>
        <w:rPr>
          <w:rFonts w:ascii="Times New Roman" w:cs="Times New Roman" w:eastAsia="Times New Roman" w:hAnsi="Times New Roman"/>
          <w:sz w:val="18"/>
          <w:szCs w:val="18"/>
          <w:color w:val="auto"/>
        </w:rPr>
        <w:t>A significant portion of our sales are to wholesalers in the pharmaceutical industry. Three customers individually accounted for 10% or more of our U.S. gross product sales. Customers A, B, and C accounted for 25%, 38%, and 31%, respectively, of gross product sales for the six months ended June 30, 2022, and represented 41%, 33%, and 21%, respectively, of the gross accounts receivable balance as of June 30, 2022. Customers A, B, and C accounted for 27%, 36%, and 30%, respectively, of gross product sales for the six months ended June 30, 2021, and represented 40%, 34%, and 21%, respectively, of the gross accounts receivable balance as of June 30, 2021. We expect that we may have customer concentration risk as we enter additional countries.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anticipate that we will incur continued losses for an indefinite period of time.</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yet reached sustained profitability. For the fiscal year ended December 31, 2021, we reported net income of approximately $7.7</w:t>
      </w:r>
    </w:p>
    <w:p>
      <w:pPr>
        <w:spacing w:after="0" w:line="237" w:lineRule="auto"/>
        <w:rPr>
          <w:sz w:val="20"/>
          <w:szCs w:val="20"/>
          <w:color w:val="auto"/>
        </w:rPr>
      </w:pPr>
      <w:r>
        <w:rPr>
          <w:rFonts w:ascii="Times New Roman" w:cs="Times New Roman" w:eastAsia="Times New Roman" w:hAnsi="Times New Roman"/>
          <w:sz w:val="18"/>
          <w:szCs w:val="18"/>
          <w:color w:val="auto"/>
        </w:rPr>
        <w:t>million. For the fiscal years ended December 31, 2020 and 2019, we reported net losses of approximately $18.0 million and $22.6 million, and we had an</w:t>
      </w:r>
    </w:p>
    <w:p>
      <w:pPr>
        <w:spacing w:after="0" w:line="234" w:lineRule="auto"/>
        <w:rPr>
          <w:sz w:val="20"/>
          <w:szCs w:val="20"/>
          <w:color w:val="auto"/>
        </w:rPr>
      </w:pPr>
      <w:r>
        <w:rPr>
          <w:rFonts w:ascii="Times New Roman" w:cs="Times New Roman" w:eastAsia="Times New Roman" w:hAnsi="Times New Roman"/>
          <w:sz w:val="18"/>
          <w:szCs w:val="18"/>
          <w:color w:val="auto"/>
        </w:rPr>
        <w:t>accumulated deficit as of December 31, 2021 of $1.4 billion. For the three months ended June 30, 2022 and 2021, we reported losses of approximately</w:t>
      </w:r>
    </w:p>
    <w:p>
      <w:pPr>
        <w:spacing w:after="0" w:line="235" w:lineRule="auto"/>
        <w:rPr>
          <w:sz w:val="20"/>
          <w:szCs w:val="20"/>
          <w:color w:val="auto"/>
        </w:rPr>
      </w:pPr>
      <w:r>
        <w:rPr>
          <w:rFonts w:ascii="Times New Roman" w:cs="Times New Roman" w:eastAsia="Times New Roman" w:hAnsi="Times New Roman"/>
          <w:sz w:val="18"/>
          <w:szCs w:val="18"/>
          <w:color w:val="auto"/>
        </w:rPr>
        <w:t>$70.0 million and income of approximately $7.8 million, respectively, and we had an accumulated deficit as of June 30, 2022 of $1.5 billion. Substantially</w:t>
      </w:r>
    </w:p>
    <w:p>
      <w:pPr>
        <w:spacing w:after="0" w:line="219" w:lineRule="auto"/>
        <w:rPr>
          <w:sz w:val="20"/>
          <w:szCs w:val="20"/>
          <w:color w:val="auto"/>
        </w:rPr>
      </w:pPr>
      <w:r>
        <w:rPr>
          <w:rFonts w:ascii="Times New Roman" w:cs="Times New Roman" w:eastAsia="Times New Roman" w:hAnsi="Times New Roman"/>
          <w:sz w:val="18"/>
          <w:szCs w:val="18"/>
          <w:color w:val="auto"/>
        </w:rPr>
        <w:t>all of our operating losses resulted from costs incurred in connection with our research and development programs, from general and administrative costs</w:t>
      </w:r>
    </w:p>
    <w:p>
      <w:pPr>
        <w:spacing w:after="0" w:line="235" w:lineRule="auto"/>
        <w:rPr>
          <w:sz w:val="20"/>
          <w:szCs w:val="20"/>
          <w:color w:val="auto"/>
        </w:rPr>
      </w:pPr>
      <w:r>
        <w:rPr>
          <w:rFonts w:ascii="Times New Roman" w:cs="Times New Roman" w:eastAsia="Times New Roman" w:hAnsi="Times New Roman"/>
          <w:sz w:val="18"/>
          <w:szCs w:val="18"/>
          <w:color w:val="auto"/>
        </w:rPr>
        <w:t>associated with our operations, and costs related to the commercialization of VASCEPA. Additionally, as a result of our significant expenses relating to</w:t>
      </w:r>
    </w:p>
    <w:p>
      <w:pPr>
        <w:spacing w:after="0" w:line="235" w:lineRule="auto"/>
        <w:rPr>
          <w:sz w:val="20"/>
          <w:szCs w:val="20"/>
          <w:color w:val="auto"/>
        </w:rPr>
      </w:pPr>
      <w:r>
        <w:rPr>
          <w:rFonts w:ascii="Times New Roman" w:cs="Times New Roman" w:eastAsia="Times New Roman" w:hAnsi="Times New Roman"/>
          <w:sz w:val="18"/>
          <w:szCs w:val="18"/>
          <w:color w:val="auto"/>
        </w:rPr>
        <w:t>research and development and to commercialization, we expect to continue to incur significant operating losses for an indefinite period. Because of the</w:t>
      </w:r>
    </w:p>
    <w:p>
      <w:pPr>
        <w:spacing w:after="0" w:line="219" w:lineRule="auto"/>
        <w:rPr>
          <w:sz w:val="20"/>
          <w:szCs w:val="20"/>
          <w:color w:val="auto"/>
        </w:rPr>
      </w:pPr>
      <w:r>
        <w:rPr>
          <w:rFonts w:ascii="Times New Roman" w:cs="Times New Roman" w:eastAsia="Times New Roman" w:hAnsi="Times New Roman"/>
          <w:sz w:val="18"/>
          <w:szCs w:val="18"/>
          <w:color w:val="auto"/>
        </w:rPr>
        <w:t>numerous risks and uncertainties associated with developing and commercializing pharmaceutical products, we are unable to predict the magnitude of these</w:t>
      </w:r>
    </w:p>
    <w:p>
      <w:pPr>
        <w:spacing w:after="0" w:line="235" w:lineRule="auto"/>
        <w:rPr>
          <w:sz w:val="20"/>
          <w:szCs w:val="20"/>
          <w:color w:val="auto"/>
        </w:rPr>
      </w:pPr>
      <w:r>
        <w:rPr>
          <w:rFonts w:ascii="Times New Roman" w:cs="Times New Roman" w:eastAsia="Times New Roman" w:hAnsi="Times New Roman"/>
          <w:sz w:val="18"/>
          <w:szCs w:val="18"/>
          <w:color w:val="auto"/>
        </w:rPr>
        <w:t>future losses. Our historic losses, combined with expected future losses, have had and will continue to have an adverse effect on our cash resources,</w:t>
      </w:r>
    </w:p>
    <w:p>
      <w:pPr>
        <w:spacing w:after="0"/>
        <w:rPr>
          <w:sz w:val="20"/>
          <w:szCs w:val="20"/>
          <w:color w:val="auto"/>
        </w:rPr>
      </w:pPr>
      <w:r>
        <w:rPr>
          <w:rFonts w:ascii="Times New Roman" w:cs="Times New Roman" w:eastAsia="Times New Roman" w:hAnsi="Times New Roman"/>
          <w:sz w:val="18"/>
          <w:szCs w:val="18"/>
          <w:color w:val="auto"/>
        </w:rPr>
        <w:t>shareholders’ deficit and working capital.</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Although we began generating revenue from VASCEPA in January 2013, we may never be consistently profitable for a full year.</w:t>
      </w:r>
    </w:p>
    <w:p>
      <w:pPr>
        <w:spacing w:after="0" w:line="94"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Our ability to become profitable on a sustained basis depends upon our ability to generate revenue. We have been generating product revenue from sales of VASCEPA since January 2013, but we may not be able to generate sufficient revenue to achieve a steady state of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69"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Even though VASCEPA has been approved by the U.S. FDA for marketing in the United States for two important indications, received marketing authorization in Europe and is approved in smaller jurisdictions, it may not gain enough market acceptance to support consistent profitability. We anticipate continuing to incur significant costs associated with expanding the commercialization of VASCEPA. We may not achieve profitability on a sustained basis in the near term due to high costs associated with, for example, our expanded commercialization efforts in the United States and our expected commercialization efforts in Europe. If we are unable to continue to generate robust product revenues, we will not become profitable on a sustained basis in the near term, if ever, and may be unable to continue operations without continued funding.</w:t>
      </w:r>
    </w:p>
    <w:p>
      <w:pPr>
        <w:spacing w:after="0" w:line="203"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50"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operations may be affected by a variety of factors, including those risks and uncertainties described in this Part II, Item 1A and the following:</w:t>
      </w:r>
    </w:p>
    <w:p>
      <w:pPr>
        <w:spacing w:after="0" w:line="117" w:lineRule="exact"/>
        <w:rPr>
          <w:sz w:val="20"/>
          <w:szCs w:val="20"/>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and potential launches of additional generic versions of VASCEPA;</w:t>
      </w:r>
    </w:p>
    <w:p>
      <w:pPr>
        <w:spacing w:after="0" w:line="103" w:lineRule="exact"/>
        <w:rPr>
          <w:rFonts w:ascii="Times New Roman" w:cs="Times New Roman" w:eastAsia="Times New Roman" w:hAnsi="Times New Roman"/>
          <w:sz w:val="18"/>
          <w:szCs w:val="18"/>
          <w:color w:val="auto"/>
        </w:rPr>
      </w:pPr>
    </w:p>
    <w:p>
      <w:pPr>
        <w:ind w:left="900" w:right="100" w:hanging="383"/>
        <w:spacing w:after="0" w:line="266"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and prolonged disruption to our business, or delays in resuming normal business activities, or reinstating restrictions after protocols have been lifted, from the COVID-19 pandemic;</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evolution of the medical community’s and the public’s perception of the REDUCE-IT study results;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VASCEPA, due to changes in prescriber sentiment, quarterly changes in distributor purchases, and other factors;</w:t>
      </w:r>
    </w:p>
    <w:p>
      <w:pPr>
        <w:spacing w:after="0" w:line="103" w:lineRule="exact"/>
        <w:rPr>
          <w:rFonts w:ascii="Times New Roman" w:cs="Times New Roman" w:eastAsia="Times New Roman" w:hAnsi="Times New Roman"/>
          <w:sz w:val="18"/>
          <w:szCs w:val="18"/>
          <w:color w:val="auto"/>
        </w:rPr>
      </w:pPr>
    </w:p>
    <w:p>
      <w:pPr>
        <w:jc w:val="both"/>
        <w:ind w:left="900" w:right="320" w:hanging="383"/>
        <w:spacing w:after="0" w:line="258"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coverage and reimbursement for VASCEPA is available from government and health administration authorities, private health insurers, managed care programs and other third-party payors and the timing and extent to which such coverage and reimbursement changes;</w:t>
      </w:r>
    </w:p>
    <w:p>
      <w:pPr>
        <w:spacing w:after="0" w:line="61" w:lineRule="exact"/>
        <w:rPr>
          <w:rFonts w:ascii="Times New Roman" w:cs="Times New Roman" w:eastAsia="Times New Roman" w:hAnsi="Times New Roman"/>
          <w:sz w:val="18"/>
          <w:szCs w:val="18"/>
          <w:color w:val="auto"/>
        </w:rPr>
      </w:pPr>
    </w:p>
    <w:p>
      <w:pPr>
        <w:ind w:left="900" w:right="120" w:hanging="383"/>
        <w:spacing w:after="0" w:line="266"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sales and marketing efforts to support VASCEPA sales, and our cost and reorganization efforts, including our recent cost reduction plan, and the resulting effectiveness of those efforts;</w:t>
      </w:r>
    </w:p>
    <w:p>
      <w:pPr>
        <w:spacing w:after="0" w:line="67" w:lineRule="exact"/>
        <w:rPr>
          <w:rFonts w:ascii="Times New Roman" w:cs="Times New Roman" w:eastAsia="Times New Roman" w:hAnsi="Times New Roman"/>
          <w:sz w:val="18"/>
          <w:szCs w:val="18"/>
          <w:color w:val="auto"/>
        </w:rPr>
      </w:pPr>
    </w:p>
    <w:p>
      <w:pPr>
        <w:ind w:left="900" w:right="380" w:hanging="383"/>
        <w:spacing w:after="0" w:line="266"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our or our partners’ commercial or development activities, including as a result of political instability, civil unrest, terrorism, pandemics or other natural disasters, such as the coronavirus pandemic;</w:t>
      </w:r>
    </w:p>
    <w:p>
      <w:pPr>
        <w:spacing w:after="0" w:line="54" w:lineRule="exact"/>
        <w:rPr>
          <w:rFonts w:ascii="Times New Roman" w:cs="Times New Roman" w:eastAsia="Times New Roman" w:hAnsi="Times New Roman"/>
          <w:sz w:val="18"/>
          <w:szCs w:val="18"/>
          <w:color w:val="auto"/>
        </w:rPr>
      </w:pPr>
    </w:p>
    <w:p>
      <w:pPr>
        <w:ind w:left="900" w:right="160" w:hanging="383"/>
        <w:spacing w:after="0" w:line="258"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ability of efforts outside the United States, to develop, register and commercialize VASCEPA in Europe, the China Territory, several Middle Eastern and North African countries, and Canada, for example, including obtaining necessary regulatory approvals, favorable pricing and establishing marketing channels;</w:t>
      </w:r>
    </w:p>
    <w:p>
      <w:pPr>
        <w:spacing w:after="0" w:line="6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developments regarding our intellectual property portfolio and regulatory exclusivity protections, if any;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of litigation and other legal proceedings;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regulatory dialogue.</w:t>
      </w:r>
    </w:p>
    <w:p>
      <w:pPr>
        <w:spacing w:after="0" w:line="235" w:lineRule="exact"/>
        <w:rPr>
          <w:sz w:val="20"/>
          <w:szCs w:val="20"/>
          <w:color w:val="auto"/>
        </w:rPr>
      </w:pPr>
    </w:p>
    <w:p>
      <w:pPr>
        <w:ind w:left="26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37"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We currently operate with limited resources. We believe that our cash and cash equivalents balance of $228.0 million and short-term investment balance of $85.2 million as of June 30, 2022 will be sufficient to fund our projected operations for at least 12 months. We have based this estimate on assumptions that may prove to be wrong, and we could deplete our capital resources sooner than we expect or fail to achieve positive cash flow. Depending on the level of cash generated from operations, and depending in part on the rate of prescription growth for VASCEPA, additional capital may be required to support planned VASCEPA promotion and potential VASCEPA promotion beyond which we are currently executing and for commercialization of VAZKEPA in Europe. If additional capital is required and we are unable to obtain additional capital on satisfactory terms, or at all, we may be forced to delay, limit or eliminate certain promotional activities. We anticipate that quarterly net cash outflows in future periods will be variable as a result of the timing of certain items, including our purchases of API, VASCEPA promotional and educational activities, including launch activities in Europe and the impact from COVID-19 on our operations and those of our customers and any current or potential generic competition.</w:t>
      </w:r>
    </w:p>
    <w:p>
      <w:pPr>
        <w:spacing w:after="0" w:line="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order to fully realize the market potential of VASCEPA, we may need to enter into a new strategic collaboration or raise additional capital.</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04"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amount and consistency of revenue generated from the commercial sale of VASCEPA;</w:t>
      </w:r>
    </w:p>
    <w:p>
      <w:pPr>
        <w:spacing w:after="0" w:line="117"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commercializing VASCEPA in the United States and increased sales force sizing, and for commercializing VAZKEPA in Europe, including hiring experienced professionals, and for additional regulatory approvals internationally, if any, the cost and timing of securing commercial supply of VASCEPA and the timing of entering into any new strategic collaboration with others relating to the commercialization of VASCEPA, if at all, and the terms of any such collaboration;</w:t>
      </w:r>
    </w:p>
    <w:p>
      <w:pPr>
        <w:spacing w:after="0" w:line="6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costs associated with litigation and other legal proceedings and governmental inquiries;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additional regulatory approvals for VASCEPA based on REDUCE-IT results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continue to develop internally, acquire or in-license new products, technologies or businesses;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any patent claims and other intellectual property rights.</w:t>
      </w:r>
    </w:p>
    <w:p>
      <w:pPr>
        <w:spacing w:after="0" w:line="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77" w:name="page78"/>
    <w:bookmarkEnd w:id="77"/>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If we require additional funds and adequate funds are not available to us in amounts or on terms acceptable to us or on a timely basis, or at all, our commercialization efforts for VASCEPA, and our business generally, may suffer materially.</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 material adverse effect on our business, financial condition and results of operations.</w:t>
      </w:r>
    </w:p>
    <w:p>
      <w:pPr>
        <w:spacing w:after="0" w:line="108"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7"/>
          <w:szCs w:val="17"/>
          <w:color w:val="auto"/>
        </w:rPr>
        <w:t>Tax law and policies in the United States and Ireland are unsettled and may be subject to significant change, including based on adjustments in political perspectives and administration shifts. In the United States and internationally, how to tax entities with international operations, like us, has been subject to significant re-evaluation. We believe we developed VASCEPA in and from Ireland based on understanding of applicable requirements. In recent years, particularly since 2013 when commercial sale of VASCEPA commenced in the United States, the majority of our consolidated operations have been in the United States. Ownership of VASCEPA continues to reside with our wholly-owned Ireland-based subsidiary, Amarin Pharmaceuticals Ireland Ltd., and oversight and operations of that entity are structured to be maintained in Ireland. In order to effectively utilize our accumulated net operating loss carryforwards for tax purposes in Ireland, our operations, particularly for this subsidiary, need to be active in Ireland under applicable requirements. In addition, utilization of these accumulated net operating loss carryforwards assumes that tax treaties between Ireland and other countries, particularly the United States, do not change in a manner that limit our future ability to offset earnings with these operating loss carryforwards for tax purposes.</w:t>
      </w:r>
    </w:p>
    <w:p>
      <w:pPr>
        <w:spacing w:after="0" w:line="6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Similarly, a change in our Irish tax residence could materially affect our ability to obtain and maintain profitability, if otherwise achievable. Changes in tax law and tax rates, particularly in the United States and Ireland, could also impact our assessment of deferred taxes. Any change in our assessment of the realizability or the timing for realizing deferred taxes could have a negative impact our future profitability.</w:t>
      </w:r>
    </w:p>
    <w:p>
      <w:pPr>
        <w:spacing w:after="0" w:line="61"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Changes in tax laws (including in response to the COVID-19 pandemic) or tax rulings, or changes in interpretations of existing laws, could cause us to be subject to additional income-based taxes and non-income taxes (such as payroll, sales, use, value-added, digital tax, net worth, property, and goods and services taxes), which in turn could materially affect our financial position and results of operations. In particular, there have been a number of significant changes to the U.S. federal income tax rules in recent years and additional tax reform proposed by the Biden administration may be enacted. The effect of any such tax reform is uncertain. As we continue to expand internationally, we will be subject to varied and complex tax regimes, and the tax laws of one jurisdiction may impact our expansion to or operations in other jurisdictions. Additionally, new, changed, modified, or newly interpreted or applied tax laws could increase our partners’ and our compliance, operating and other costs, as well as the costs of our products. As we expand the scale of our business activities, any changes in the taxation of such activities may increase our effective tax rate and harm our business, financial condition, and results of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ADSs and Common Shares</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ADSs and common shares may be volatile.</w:t>
      </w:r>
    </w:p>
    <w:p>
      <w:pPr>
        <w:spacing w:after="0" w:line="10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61"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As of July 29, 2022, we had 403,205,514 common shares outstanding including 403,021,687 shares held as ADSs and 183,827 held as ordinary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seek to sell substantial amounts of our ADSs, particularly if these sales are in a rapid or disorderly manner, or other investors perceive that these sales could occur, the market price of our ADSs could decrease significantly.</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market price of our ADSs and common shares may also be affected by factors such as:</w:t>
      </w:r>
    </w:p>
    <w:p>
      <w:pPr>
        <w:spacing w:after="0" w:line="104" w:lineRule="exact"/>
        <w:rPr>
          <w:sz w:val="20"/>
          <w:szCs w:val="20"/>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ongoing patent prosecution efforts and any future patent or proprietary rights;</w:t>
      </w:r>
    </w:p>
    <w:p>
      <w:pPr>
        <w:spacing w:after="0" w:line="117" w:lineRule="exact"/>
        <w:rPr>
          <w:rFonts w:ascii="Times New Roman" w:cs="Times New Roman" w:eastAsia="Times New Roman" w:hAnsi="Times New Roman"/>
          <w:sz w:val="18"/>
          <w:szCs w:val="18"/>
          <w:color w:val="auto"/>
        </w:rPr>
      </w:pPr>
    </w:p>
    <w:p>
      <w:pPr>
        <w:ind w:left="900" w:right="140" w:hanging="383"/>
        <w:spacing w:after="0" w:line="26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developments in the United States affecting our VASCEPA promotional rights, and regulatory developments in other countries;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medical results relating to our products or our competitors’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failures or setbacks in product development;</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by us or our competitors;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variations in our results of operations.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78" w:name="page79"/>
    <w:bookmarkEnd w:id="78"/>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Further, the effects of Brexit are uncertain and may have a negative effect on global economic conditions, financial markets and our business, which could reduce the price of our ADSs and common shares. In particular, Brexit could lead to a period of considerable uncertainty in relation to the UK financial and banking markets, as well as on the regulatory process in Europe, which could cause the broader global financial markets to experience significant volatility. Asset valuations, currency exchange rates and credit ratings may also be subject to increased market volatility due to the ongoing uncertainty. Lack of clarity about future UK laws and regulations as the United Kingdom determines which EU rules and regulations to replace or replicate could decrease foreign direct investment in the UK, increase costs, disrupt our business, depress economic activity and restrict our access to capital, any of which could negatively impact the price of our ADSs and common shares.</w:t>
      </w:r>
    </w:p>
    <w:p>
      <w:pPr>
        <w:spacing w:after="0" w:line="218" w:lineRule="exact"/>
        <w:rPr>
          <w:sz w:val="20"/>
          <w:szCs w:val="20"/>
          <w:color w:val="auto"/>
        </w:rPr>
      </w:pPr>
    </w:p>
    <w:p>
      <w:pPr>
        <w:ind w:right="300"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68"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In accordance with the guidelines specified under Rule 10b5-1 under the Exchange Act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2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we were to be characterized as a passive foreign investment company there could be adverse consequences to U.S. investors.</w:t>
      </w:r>
    </w:p>
    <w:p>
      <w:pPr>
        <w:spacing w:after="0" w:line="108"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A non-U.S. corporation will be classified as a passive foreign investment company, or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In addition, a non-U.S. corporation will be treated as owning its proportionate share of the assets and earning its proportionate share of the income of any other corporation in which it owns, directly or indirectly, no more than 25% (by value) of the stock.</w:t>
      </w:r>
    </w:p>
    <w:p>
      <w:pPr>
        <w:spacing w:after="0" w:line="72"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Based on certain estimates of our gross income and gross assets, the latter determined by reference to the expected value of our ADSs and shares, we believe that we will not be classified as a PFIC for the taxable year ended December 31, 2021 and we do not expect to be treated as a PFIC in any future taxable year for the foreseeable future. However, because PFIC status is based on our income, assets and activities for the entire taxable year, which we expect may vary substantially over time, it is not possible to determine whether we will be characterized as a PFIC for any taxable year until after the close of the taxable year. Moreover, we must determine our PFIC status annually based on tests that are factual in nature, and our status in future years will depend on our income, assets and activities in each of those years. There can be no assurance that we will not be considered a PFIC for any taxable year.</w:t>
      </w:r>
    </w:p>
    <w:p>
      <w:pPr>
        <w:spacing w:after="0" w:line="2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the ordinary shares in the foreseeable future.</w:t>
      </w:r>
    </w:p>
    <w:p>
      <w:pPr>
        <w:spacing w:after="0" w:line="108"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U.S. corporation.</w:t>
      </w:r>
    </w:p>
    <w:p>
      <w:pPr>
        <w:spacing w:after="0" w:line="121"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82" w:lineRule="exact"/>
        <w:rPr>
          <w:sz w:val="20"/>
          <w:szCs w:val="20"/>
          <w:color w:val="auto"/>
        </w:rPr>
      </w:pPr>
    </w:p>
    <w:p>
      <w:pPr>
        <w:ind w:left="900" w:right="60" w:hanging="383"/>
        <w:spacing w:after="0" w:line="250"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6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it is only on a poll that the number of shares determines the number of votes a holder may cast. You should be aware,</w:t>
      </w:r>
    </w:p>
    <w:p>
      <w:pPr>
        <w:spacing w:after="0" w:line="27" w:lineRule="exact"/>
        <w:rPr>
          <w:sz w:val="20"/>
          <w:szCs w:val="20"/>
          <w:color w:val="auto"/>
        </w:rPr>
      </w:pPr>
    </w:p>
    <w:p>
      <w:pPr>
        <w:jc w:val="center"/>
        <w:ind w:right="400"/>
        <w:spacing w:after="0" w:line="245" w:lineRule="auto"/>
        <w:rPr>
          <w:sz w:val="20"/>
          <w:szCs w:val="20"/>
          <w:color w:val="auto"/>
        </w:rPr>
      </w:pPr>
      <w:r>
        <w:rPr>
          <w:rFonts w:ascii="Times New Roman" w:cs="Times New Roman" w:eastAsia="Times New Roman" w:hAnsi="Times New Roman"/>
          <w:sz w:val="18"/>
          <w:szCs w:val="18"/>
          <w:color w:val="auto"/>
        </w:rPr>
        <w:t>however, that the voting rights of ADSs are also governed by the provisions of a deposit agreement with our depositary bank.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79" w:name="page80"/>
    <w:bookmarkEnd w:id="79"/>
    <w:p>
      <w:pPr>
        <w:ind w:left="900" w:right="260" w:hanging="383"/>
        <w:spacing w:after="0" w:line="280" w:lineRule="auto"/>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44" w:lineRule="exact"/>
        <w:rPr>
          <w:rFonts w:ascii="Times New Roman" w:cs="Times New Roman" w:eastAsia="Times New Roman" w:hAnsi="Times New Roman"/>
          <w:sz w:val="17"/>
          <w:szCs w:val="17"/>
          <w:color w:val="auto"/>
        </w:rPr>
      </w:pPr>
    </w:p>
    <w:p>
      <w:pPr>
        <w:ind w:left="900" w:right="180" w:hanging="383"/>
        <w:spacing w:after="0" w:line="250"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69" w:lineRule="exact"/>
        <w:rPr>
          <w:rFonts w:ascii="Times New Roman" w:cs="Times New Roman" w:eastAsia="Times New Roman" w:hAnsi="Times New Roman"/>
          <w:sz w:val="18"/>
          <w:szCs w:val="18"/>
          <w:color w:val="auto"/>
        </w:rPr>
      </w:pPr>
    </w:p>
    <w:p>
      <w:pPr>
        <w:ind w:left="900" w:right="20" w:hanging="383"/>
        <w:spacing w:after="0" w:line="245"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73" w:lineRule="exact"/>
        <w:rPr>
          <w:rFonts w:ascii="Times New Roman" w:cs="Times New Roman" w:eastAsia="Times New Roman" w:hAnsi="Times New Roman"/>
          <w:sz w:val="18"/>
          <w:szCs w:val="18"/>
          <w:color w:val="auto"/>
        </w:rPr>
      </w:pPr>
    </w:p>
    <w:p>
      <w:pPr>
        <w:ind w:left="900" w:right="40" w:hanging="383"/>
        <w:spacing w:after="0" w:line="270" w:lineRule="auto"/>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51" w:lineRule="exact"/>
        <w:rPr>
          <w:rFonts w:ascii="Times New Roman" w:cs="Times New Roman" w:eastAsia="Times New Roman" w:hAnsi="Times New Roman"/>
          <w:sz w:val="17"/>
          <w:szCs w:val="17"/>
          <w:color w:val="auto"/>
        </w:rPr>
      </w:pPr>
    </w:p>
    <w:p>
      <w:pPr>
        <w:ind w:left="900" w:hanging="383"/>
        <w:spacing w:after="0" w:line="247"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requirement for a shareholders’ meeting is a minimum of two shareholders entitled to vote at the meeting and present in person or by proxy or, in the case of a shareholder which is a corporation, represented by a duly authorized officer (although the marketplace rules of the Nasdaq Stock Market require that shareholders holding at least one-third of our outstanding shares of voting stock are present at the meeting or by proxy).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0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Shareholder protections found in provisions under the UK City Code on Takeovers and Mergers, or the Takeover Code, do not apply to us.</w:t>
      </w:r>
    </w:p>
    <w:p>
      <w:pPr>
        <w:spacing w:after="0" w:line="10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Takeover Code provides a framework within which takeovers of certain companies organized in the United Kingdom are regulated and conducted. However, because our place of central management and control is currently outside of the United Kingdom, we are not subject to the Takeover Code. As a result, our shareholders are not entitled to the benefit of certain takeover offer protections provided under the Takeover Code. The following is a brief summary of some of the most important rules of the Takeover Code which, as noted, does not apply to us:</w:t>
      </w:r>
    </w:p>
    <w:p>
      <w:pPr>
        <w:spacing w:after="0" w:line="83" w:lineRule="exact"/>
        <w:rPr>
          <w:sz w:val="20"/>
          <w:szCs w:val="20"/>
          <w:color w:val="auto"/>
        </w:rPr>
      </w:pPr>
    </w:p>
    <w:p>
      <w:pPr>
        <w:ind w:left="900" w:right="80" w:hanging="383"/>
        <w:spacing w:after="0" w:line="250"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the potential offer.</w:t>
      </w:r>
    </w:p>
    <w:p>
      <w:pPr>
        <w:spacing w:after="0" w:line="82" w:lineRule="exact"/>
        <w:rPr>
          <w:rFonts w:ascii="Times New Roman" w:cs="Times New Roman" w:eastAsia="Times New Roman" w:hAnsi="Times New Roman"/>
          <w:sz w:val="18"/>
          <w:szCs w:val="18"/>
          <w:color w:val="auto"/>
        </w:rPr>
      </w:pPr>
    </w:p>
    <w:p>
      <w:pPr>
        <w:ind w:left="900" w:right="80" w:hanging="383"/>
        <w:spacing w:after="0" w:line="250"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person or group of persons who are treated as “acting in concert” with each other (a) acquires interests in shares carrying 30% or more of the voting rights of a company (which percentage is treated by the Takeover Code as the level at which effective control is obtained) or (b) increases the aggregate percentage interest they have when they are already interested in not less than 30% and not more than 50%, they must make a cash offer to all other shareholders at the highest price paid by them in the 12 months before the offer was announced.</w:t>
      </w:r>
    </w:p>
    <w:p>
      <w:pPr>
        <w:spacing w:after="0" w:line="69" w:lineRule="exact"/>
        <w:rPr>
          <w:rFonts w:ascii="Times New Roman" w:cs="Times New Roman" w:eastAsia="Times New Roman" w:hAnsi="Times New Roman"/>
          <w:sz w:val="18"/>
          <w:szCs w:val="18"/>
          <w:color w:val="auto"/>
        </w:rPr>
      </w:pPr>
    </w:p>
    <w:p>
      <w:pPr>
        <w:ind w:left="900" w:right="40" w:hanging="383"/>
        <w:spacing w:after="0" w:line="264" w:lineRule="auto"/>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interests in shares of any class representing 10% of shares of that class have been acquired for cash by an offeror (i.e., a bidder) during the offer period (i.e., broadly speaking, the period after the potential offer has been made public) and within 12 months prior to commencement of the offer period, the offer must be in cash or be accompanied by a cash alternative for all shareholders of that class at the highest price paid by the offeror in that period. Further, if an offeror acquires any interest in shares for cash during the offer period, the offer for the shares must be in cash or accompanied by a cash alternative at a price at least equal to the price paid for such shares during the offer period.</w:t>
      </w:r>
    </w:p>
    <w:p>
      <w:pPr>
        <w:spacing w:after="0" w:line="58"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an announcement is made, the offeror acquires an interest in shares in an offeree company (i.e., a target) at a price higher than the value</w:t>
      </w:r>
    </w:p>
    <w:p>
      <w:pPr>
        <w:spacing w:after="0" w:line="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of the offer, the offer must be increased accordingly.</w:t>
      </w: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0" w:name="page81"/>
    <w:bookmarkEnd w:id="80"/>
    <w:p>
      <w:pPr>
        <w:ind w:left="900" w:right="160" w:hanging="383"/>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offeree company must appoint a competent independent adviser whose advice on the financial terms of the offer must be made known to all the shareholders, together with the opinion of the board of directors of the offeree company.</w:t>
      </w:r>
    </w:p>
    <w:p>
      <w:pPr>
        <w:spacing w:after="0" w:line="40" w:lineRule="exact"/>
        <w:rPr>
          <w:rFonts w:ascii="Times New Roman" w:cs="Times New Roman" w:eastAsia="Times New Roman" w:hAnsi="Times New Roman"/>
          <w:sz w:val="18"/>
          <w:szCs w:val="18"/>
          <w:color w:val="auto"/>
        </w:rPr>
      </w:pPr>
    </w:p>
    <w:p>
      <w:pPr>
        <w:ind w:left="900" w:right="160" w:hanging="383"/>
        <w:spacing w:after="0" w:line="266"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must be given the same information.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those parties issuing takeover circulars must include statements taking responsibility for the contents thereof.</w:t>
      </w:r>
    </w:p>
    <w:p>
      <w:pPr>
        <w:spacing w:after="0" w:line="103"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forecasts, quantified financial benefits statements and asset valuations must be made to specified standards and must be reported on by professional advisers.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Misleading, inaccurate or unsubstantiated statements made in documents or to the media must be publicly corrected immediately.</w:t>
      </w:r>
    </w:p>
    <w:p>
      <w:pPr>
        <w:spacing w:after="0" w:line="103" w:lineRule="exact"/>
        <w:rPr>
          <w:rFonts w:ascii="Times New Roman" w:cs="Times New Roman" w:eastAsia="Times New Roman" w:hAnsi="Times New Roman"/>
          <w:sz w:val="18"/>
          <w:szCs w:val="18"/>
          <w:color w:val="auto"/>
        </w:rPr>
      </w:pPr>
    </w:p>
    <w:p>
      <w:pPr>
        <w:ind w:left="900" w:right="380" w:hanging="383"/>
        <w:spacing w:after="0" w:line="250"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during the course of an offer (or even before if the board of the offeree company is aware that an offer is imminent) by the offeree company, which might frustrate the offer are generally prohibited unless shareholders approve these plans (or the bidder consents to the proposed course of action). Frustrating actions would include, for example, issuing new shares, lengthening the notice period for directors under their service contract or agreeing to sell off material parts of the target group.</w:t>
      </w:r>
    </w:p>
    <w:p>
      <w:pPr>
        <w:spacing w:after="0" w:line="69" w:lineRule="exact"/>
        <w:rPr>
          <w:rFonts w:ascii="Times New Roman" w:cs="Times New Roman" w:eastAsia="Times New Roman" w:hAnsi="Times New Roman"/>
          <w:sz w:val="18"/>
          <w:szCs w:val="18"/>
          <w:color w:val="auto"/>
        </w:rPr>
      </w:pPr>
    </w:p>
    <w:p>
      <w:pPr>
        <w:ind w:left="900" w:right="140" w:hanging="383"/>
        <w:spacing w:after="0" w:line="258"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w:t>
      </w:r>
    </w:p>
    <w:p>
      <w:pPr>
        <w:spacing w:after="0" w:line="61" w:lineRule="exact"/>
        <w:rPr>
          <w:rFonts w:ascii="Times New Roman" w:cs="Times New Roman" w:eastAsia="Times New Roman" w:hAnsi="Times New Roman"/>
          <w:sz w:val="18"/>
          <w:szCs w:val="18"/>
          <w:color w:val="auto"/>
        </w:rPr>
      </w:pPr>
    </w:p>
    <w:p>
      <w:pPr>
        <w:ind w:left="900" w:right="20" w:hanging="383"/>
        <w:spacing w:after="0" w:line="258"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and pension schemes appended to the offeree board of directors’ circular or published on a website.</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 shareholders may not be able to enforce civil liabilities against us.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7"/>
          <w:szCs w:val="17"/>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192" w:lineRule="exact"/>
        <w:rPr>
          <w:sz w:val="20"/>
          <w:szCs w:val="20"/>
          <w:color w:val="auto"/>
        </w:rPr>
      </w:pPr>
    </w:p>
    <w:p>
      <w:pPr>
        <w:ind w:left="260" w:right="3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37" w:lineRule="exact"/>
        <w:rPr>
          <w:sz w:val="20"/>
          <w:szCs w:val="20"/>
          <w:color w:val="auto"/>
        </w:rPr>
      </w:pPr>
    </w:p>
    <w:p>
      <w:pPr>
        <w:ind w:right="180" w:firstLine="509"/>
        <w:spacing w:after="0" w:line="245" w:lineRule="auto"/>
        <w:rPr>
          <w:sz w:val="20"/>
          <w:szCs w:val="20"/>
          <w:color w:val="auto"/>
        </w:rPr>
      </w:pPr>
      <w:r>
        <w:rPr>
          <w:rFonts w:ascii="Times New Roman" w:cs="Times New Roman" w:eastAsia="Times New Roman" w:hAnsi="Times New Roman"/>
          <w:sz w:val="18"/>
          <w:szCs w:val="18"/>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Potential technological changes in our field of business create considerable uncertainty.</w:t>
      </w:r>
    </w:p>
    <w:p>
      <w:pPr>
        <w:spacing w:after="0" w:line="108"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 pharmaceutical industry in which we operate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81" w:name="page82"/>
    <w:bookmarkEnd w:id="81"/>
    <w:p>
      <w:pPr>
        <w:ind w:right="100"/>
        <w:spacing w:after="0" w:line="282" w:lineRule="auto"/>
        <w:rPr>
          <w:sz w:val="20"/>
          <w:szCs w:val="20"/>
          <w:color w:val="auto"/>
        </w:rPr>
      </w:pPr>
      <w:r>
        <w:rPr>
          <w:rFonts w:ascii="Times New Roman" w:cs="Times New Roman" w:eastAsia="Times New Roman" w:hAnsi="Times New Roman"/>
          <w:sz w:val="18"/>
          <w:szCs w:val="18"/>
          <w:color w:val="auto"/>
        </w:rPr>
        <w:t>health. We cannot assure you that unforeseen problems will not develop with these technologies or applications or that any commercially feasible products will ultimately be developed by us.</w:t>
      </w:r>
    </w:p>
    <w:p>
      <w:pPr>
        <w:spacing w:after="0" w:line="171" w:lineRule="exact"/>
        <w:rPr>
          <w:sz w:val="20"/>
          <w:szCs w:val="20"/>
          <w:color w:val="auto"/>
        </w:rPr>
      </w:pPr>
    </w:p>
    <w:p>
      <w:pPr>
        <w:ind w:right="240" w:firstLine="50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spacing w:after="0" w:line="6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continued uncertainty concerning the UK’s legal, political and economic relationship with the EU after Brexit may be a source of instability in the international markets, create significant currency fluctuations, and/or otherwise adversely affect trading agreements or similar cross-border co-operation arrangements whether economic, tax, fiscal, legal, regulatory or otherwise.</w:t>
      </w:r>
    </w:p>
    <w:p>
      <w:pPr>
        <w:spacing w:after="0" w:line="6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These developments, or the perception that any of them could occur,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69" w:lineRule="exact"/>
        <w:rPr>
          <w:sz w:val="20"/>
          <w:szCs w:val="20"/>
          <w:color w:val="auto"/>
        </w:rPr>
      </w:pPr>
    </w:p>
    <w:p>
      <w:pPr>
        <w:jc w:val="both"/>
        <w:ind w:right="160" w:firstLine="509"/>
        <w:spacing w:after="0" w:line="258" w:lineRule="auto"/>
        <w:rPr>
          <w:sz w:val="20"/>
          <w:szCs w:val="20"/>
          <w:color w:val="auto"/>
        </w:rPr>
      </w:pPr>
      <w:r>
        <w:rPr>
          <w:rFonts w:ascii="Times New Roman" w:cs="Times New Roman" w:eastAsia="Times New Roman" w:hAnsi="Times New Roman"/>
          <w:sz w:val="18"/>
          <w:szCs w:val="18"/>
          <w:color w:val="auto"/>
        </w:rPr>
        <w:t>If the UK and the EU are unable to implement acceptable agreements or if other EU member states pursue withdrawal, barrier-free access between the UK and other EU member states or among the European Economic Area, or EEA, overall could be diminished or eliminated. The long-term effects of Brexit will depend on any agreements (or lack thereof) between the UK and the EU.</w:t>
      </w:r>
    </w:p>
    <w:p>
      <w:pPr>
        <w:spacing w:after="0" w:line="61" w:lineRule="exact"/>
        <w:rPr>
          <w:sz w:val="20"/>
          <w:szCs w:val="20"/>
          <w:color w:val="auto"/>
        </w:rPr>
      </w:pPr>
    </w:p>
    <w:p>
      <w:pPr>
        <w:ind w:right="220" w:firstLine="509"/>
        <w:spacing w:after="0" w:line="246" w:lineRule="auto"/>
        <w:rPr>
          <w:sz w:val="20"/>
          <w:szCs w:val="20"/>
          <w:color w:val="auto"/>
        </w:rPr>
      </w:pPr>
      <w:r>
        <w:rPr>
          <w:rFonts w:ascii="Times New Roman" w:cs="Times New Roman" w:eastAsia="Times New Roman" w:hAnsi="Times New Roman"/>
          <w:sz w:val="18"/>
          <w:szCs w:val="18"/>
          <w:color w:val="auto"/>
        </w:rPr>
        <w:t>Such a withdrawal from the EU is unprecedented, and it is unclear how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 In addition to the foregoing, our UK operations support our current and future operations and clinical activities in other countries in the EU and EEA and these operations and clinical activities could be disrupted by the ongoing effects of Brexit.</w:t>
      </w:r>
    </w:p>
    <w:p>
      <w:pPr>
        <w:spacing w:after="0" w:line="87" w:lineRule="exact"/>
        <w:rPr>
          <w:sz w:val="20"/>
          <w:szCs w:val="20"/>
          <w:color w:val="auto"/>
        </w:rPr>
      </w:pPr>
    </w:p>
    <w:p>
      <w:pPr>
        <w:ind w:right="160" w:firstLine="509"/>
        <w:spacing w:after="0" w:line="243" w:lineRule="auto"/>
        <w:rPr>
          <w:sz w:val="20"/>
          <w:szCs w:val="20"/>
          <w:color w:val="auto"/>
        </w:rPr>
      </w:pPr>
      <w:r>
        <w:rPr>
          <w:rFonts w:ascii="Times New Roman" w:cs="Times New Roman" w:eastAsia="Times New Roman" w:hAnsi="Times New Roman"/>
          <w:sz w:val="18"/>
          <w:szCs w:val="18"/>
          <w:color w:val="auto"/>
        </w:rPr>
        <w:t>We may also face new regulatory costs and challenges that could have an adverse effect on our operations. The impact of the terms of the recent trade deal between the UK and EU are uncertain.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commercialization of our products in the UK. Any delay in commercializing our products in the UK and/or the EU could restrict our ability to generate revenue and achieve and sustain profitability. The uncertainty around the UK’s future relationship with the EU continues to cause economic uncertainty which could adversely impact customer confidence resulting in customers reducing their spending budgets on our solutions, which could adversely affect our business, revenue, financial condition, results of operations and could adversely affect the market price of our ADSs.</w:t>
      </w:r>
    </w:p>
    <w:p>
      <w:pPr>
        <w:spacing w:after="0" w:line="2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Negative economic conditions would likely have a negative effect on our ability to obtain financing on acceptable terms.</w:t>
      </w:r>
    </w:p>
    <w:p>
      <w:pPr>
        <w:spacing w:after="0" w:line="108"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deterioration in financial markets and confidence in economies, particularly in light of the continued volatility attributed to COVID-19.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shareholders, restrict our operations or require us to relinquish rights.</w:t>
      </w:r>
    </w:p>
    <w:p>
      <w:pPr>
        <w:spacing w:after="0" w:line="108"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61"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Debt financing, if available, may involve agreements that include burdensome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Potential business combinations or other strategic transactions may disrupt our business or divert management’s attention.</w:t>
      </w:r>
    </w:p>
    <w:p>
      <w:pPr>
        <w:spacing w:after="0" w:line="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2" w:name="page83"/>
    <w:bookmarkEnd w:id="82"/>
    <w:p>
      <w:pPr>
        <w:ind w:right="420" w:firstLine="509"/>
        <w:spacing w:after="0" w:line="258" w:lineRule="auto"/>
        <w:rPr>
          <w:sz w:val="20"/>
          <w:szCs w:val="20"/>
          <w:color w:val="auto"/>
        </w:rPr>
      </w:pPr>
      <w:r>
        <w:rPr>
          <w:rFonts w:ascii="Times New Roman" w:cs="Times New Roman" w:eastAsia="Times New Roman" w:hAnsi="Times New Roman"/>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48" w:lineRule="exact"/>
        <w:rPr>
          <w:sz w:val="20"/>
          <w:szCs w:val="20"/>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managerial resources from day-to-day operations;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from the counterparties to any such transaction, other third parties or our shareholders;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misjudgment with respect to the value;</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transaction costs; or</w:t>
      </w:r>
    </w:p>
    <w:p>
      <w:pPr>
        <w:spacing w:after="0" w:line="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successfully consummate any such transaction or collaboration.</w:t>
      </w:r>
    </w:p>
    <w:p>
      <w:pPr>
        <w:spacing w:after="0" w:line="10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192" w:lineRule="exact"/>
        <w:rPr>
          <w:sz w:val="20"/>
          <w:szCs w:val="20"/>
          <w:color w:val="auto"/>
        </w:rPr>
      </w:pPr>
    </w:p>
    <w:p>
      <w:pPr>
        <w:ind w:right="200"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including in Europe, and record inflation. Our business, financial condition and results of operations could be materially and adversely affected by any negative impact on the global economy and capital markets resulting from these global economic conditions, particularly if such conditions are prolonged or worsen.</w:t>
      </w:r>
    </w:p>
    <w:p>
      <w:pPr>
        <w:spacing w:after="0" w:line="6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Economic uncertainty in various global markets, including the U.S. and Europe, caused by political instability and conflict, such as Russia's invasion of Ukraine, and economic challenges caused by the COVID-19 pandemic, have led to market disruptions, including significant volatility in commodity prices, credit and capital market instability and supply chain interruptions, which have caused record inflation globally.</w:t>
      </w:r>
    </w:p>
    <w:p>
      <w:pPr>
        <w:spacing w:after="0" w:line="61"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Although, to date, our business has not been materially impacted by these global economic and geopolitical conditions, it is impossible to predict the extent to which our operations will be impacted in the short and long term, or the ways in which such instability could impact our business and results of operations. The extent and duration of these market disruptions, whether as a result of the military conflict between Russia and Ukraine, geopolitical tensions, record inflation or otherwise, are impossible to predict, but could be substantial. Any such disruptions may also magnify the impact of other risks described in this report.</w:t>
      </w: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Shares purchased in the second quarter of 2022 are as follows: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Period</w:t>
            </w:r>
          </w:p>
        </w:tc>
        <w:tc>
          <w:tcPr>
            <w:tcW w:w="160" w:type="dxa"/>
            <w:vAlign w:val="bottom"/>
          </w:tcPr>
          <w:p>
            <w:pPr>
              <w:spacing w:after="0"/>
              <w:rPr>
                <w:sz w:val="13"/>
                <w:szCs w:val="13"/>
                <w:color w:val="auto"/>
              </w:rPr>
            </w:pPr>
          </w:p>
        </w:tc>
        <w:tc>
          <w:tcPr>
            <w:tcW w:w="15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6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Borders>
              <w:bottom w:val="single" w:sz="8" w:color="auto"/>
            </w:tcBorders>
          </w:tcPr>
          <w:p>
            <w:pPr>
              <w:jc w:val="right"/>
              <w:ind w:right="97"/>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9"/>
                <w:szCs w:val="19"/>
                <w:b w:val="1"/>
                <w:bCs w:val="1"/>
                <w:color w:val="auto"/>
                <w:vertAlign w:val="superscript"/>
              </w:rPr>
              <w:t>(1)</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1 - 30, 2022</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May 1 - 31, 2022</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21,797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1 - 30, 2022</w:t>
            </w:r>
          </w:p>
        </w:tc>
        <w:tc>
          <w:tcPr>
            <w:tcW w:w="16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61,551</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-153670</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-153670</wp:posOffset>
            </wp:positionV>
            <wp:extent cx="514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380" w:right="180" w:hanging="372"/>
        <w:spacing w:after="0" w:line="223" w:lineRule="auto"/>
        <w:tabs>
          <w:tab w:leader="none" w:pos="326"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shares withheld to satisfy tax withholding amounts due from employees related to the receipt of stock which resulted from the exercise or vesting of equity awards.</w:t>
      </w:r>
    </w:p>
    <w:p>
      <w:pPr>
        <w:spacing w:after="0" w:line="29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or furnished as part of this report.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0" w:type="dxa"/>
            <w:vAlign w:val="bottom"/>
          </w:tcPr>
          <w:p>
            <w:pPr>
              <w:spacing w:after="0"/>
              <w:rPr>
                <w:sz w:val="1"/>
                <w:szCs w:val="1"/>
                <w:color w:val="auto"/>
              </w:rPr>
            </w:pPr>
          </w:p>
        </w:tc>
      </w:tr>
      <w:tr>
        <w:trPr>
          <w:trHeight w:val="3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3"/>
                <w:szCs w:val="3"/>
                <w:color w:val="auto"/>
              </w:rPr>
            </w:pPr>
          </w:p>
        </w:tc>
        <w:tc>
          <w:tcPr>
            <w:tcW w:w="416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960" w:type="dxa"/>
            <w:vAlign w:val="bottom"/>
            <w:tcBorders>
              <w:bottom w:val="single" w:sz="8" w:color="auto"/>
            </w:tcBorders>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9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4160" w:type="dxa"/>
            <w:vAlign w:val="bottom"/>
            <w:tcBorders>
              <w:bottom w:val="single" w:sz="8" w:color="auto"/>
            </w:tcBorders>
            <w:vMerge w:val="continue"/>
          </w:tcPr>
          <w:p>
            <w:pPr>
              <w:spacing w:after="0"/>
              <w:rPr>
                <w:sz w:val="14"/>
                <w:szCs w:val="14"/>
                <w:color w:val="auto"/>
              </w:rPr>
            </w:pPr>
          </w:p>
        </w:tc>
        <w:tc>
          <w:tcPr>
            <w:tcW w:w="196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4080" w:type="dxa"/>
            <w:vAlign w:val="bottom"/>
            <w:tcBorders>
              <w:bottom w:val="single" w:sz="8" w:color="auto"/>
            </w:tcBorders>
          </w:tcPr>
          <w:p>
            <w:pPr>
              <w:ind w:left="26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bl>
    <w:p>
      <w:pPr>
        <w:spacing w:after="0" w:line="104" w:lineRule="exact"/>
        <w:rPr>
          <w:sz w:val="20"/>
          <w:szCs w:val="20"/>
          <w:color w:val="auto"/>
        </w:rPr>
      </w:pPr>
    </w:p>
    <w:p>
      <w:pPr>
        <w:sectPr>
          <w:pgSz w:w="11900" w:h="16838" w:orient="portrait"/>
          <w:cols w:equalWidth="0" w:num="1">
            <w:col w:w="11240"/>
          </w:cols>
          <w:pgMar w:left="320" w:top="644" w:right="339" w:bottom="1440" w:gutter="0" w:footer="0" w:header="0"/>
        </w:sectPr>
      </w:pPr>
    </w:p>
    <w:p>
      <w:pPr>
        <w:spacing w:after="0" w:line="13" w:lineRule="exact"/>
        <w:rPr>
          <w:sz w:val="20"/>
          <w:szCs w:val="20"/>
          <w:color w:val="auto"/>
        </w:rPr>
      </w:pPr>
    </w:p>
    <w:p>
      <w:pPr>
        <w:ind w:left="120"/>
        <w:spacing w:after="0"/>
        <w:rPr>
          <w:rFonts w:ascii="Times New Roman" w:cs="Times New Roman" w:eastAsia="Times New Roman" w:hAnsi="Times New Roman"/>
          <w:sz w:val="17"/>
          <w:szCs w:val="17"/>
          <w:u w:val="single" w:color="auto"/>
          <w:color w:val="0000FF"/>
        </w:rPr>
      </w:pPr>
      <w:hyperlink r:id="rId246">
        <w:r>
          <w:rPr>
            <w:rFonts w:ascii="Times New Roman" w:cs="Times New Roman" w:eastAsia="Times New Roman" w:hAnsi="Times New Roman"/>
            <w:sz w:val="17"/>
            <w:szCs w:val="17"/>
            <w:u w:val="single" w:color="auto"/>
            <w:color w:val="0000FF"/>
          </w:rPr>
          <w:t>10.1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wp:posOffset>
            </wp:positionV>
            <wp:extent cx="2000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u w:val="single" w:color="auto"/>
          <w:color w:val="0000FF"/>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wp:posOffset>
            </wp:positionV>
            <wp:extent cx="2000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3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u w:val="single" w:color="auto"/>
          <w:color w:val="0000FF"/>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wp:posOffset>
            </wp:positionV>
            <wp:extent cx="2000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u w:val="single" w:color="auto"/>
          <w:color w:val="0000FF"/>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wp:posOffset>
            </wp:positionV>
            <wp:extent cx="2000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3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u w:val="single" w:color="auto"/>
          <w:color w:val="0000FF"/>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wp:posOffset>
            </wp:positionV>
            <wp:extent cx="2000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7"/>
        </w:trPr>
        <w:tc>
          <w:tcPr>
            <w:tcW w:w="4080" w:type="dxa"/>
            <w:vAlign w:val="bottom"/>
            <w:gridSpan w:val="13"/>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Amendment No. 1 to Amarin Corporation plc 2020</w:t>
              </w:r>
            </w:hyperlink>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Report on Form 8-K, dated June 30,</w:t>
            </w:r>
          </w:p>
        </w:tc>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June 30, 2022</w:t>
            </w:r>
          </w:p>
        </w:tc>
        <w:tc>
          <w:tcPr>
            <w:tcW w:w="0" w:type="dxa"/>
            <w:vAlign w:val="bottom"/>
          </w:tcPr>
          <w:p>
            <w:pPr>
              <w:spacing w:after="0"/>
              <w:rPr>
                <w:sz w:val="1"/>
                <w:szCs w:val="1"/>
                <w:color w:val="auto"/>
              </w:rPr>
            </w:pPr>
          </w:p>
        </w:tc>
      </w:tr>
      <w:tr>
        <w:trPr>
          <w:trHeight w:val="169"/>
        </w:trPr>
        <w:tc>
          <w:tcPr>
            <w:tcW w:w="376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Stock Incentive Plan (incorporated by reference to</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6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2022, File No. 000-21392, as Exhibit 10.2</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8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Exhibit 10.2 to the Registrant’s Current Report on</w:t>
              </w:r>
            </w:hyperlink>
          </w:p>
        </w:tc>
        <w:tc>
          <w:tcPr>
            <w:tcW w:w="400" w:type="dxa"/>
            <w:vAlign w:val="bottom"/>
            <w:tcBorders>
              <w:bottom w:val="single" w:sz="8" w:color="0000FF"/>
            </w:tcBorders>
            <w:gridSpan w:val="6"/>
          </w:tcPr>
          <w:p>
            <w:pPr>
              <w:spacing w:after="0" w:line="169" w:lineRule="exact"/>
              <w:rPr>
                <w:rFonts w:ascii="Times New Roman" w:cs="Times New Roman" w:eastAsia="Times New Roman" w:hAnsi="Times New Roman"/>
                <w:sz w:val="18"/>
                <w:szCs w:val="18"/>
                <w:color w:val="0000FF"/>
                <w:w w:val="97"/>
              </w:rPr>
            </w:pPr>
            <w:hyperlink r:id="rId246">
              <w:r>
                <w:rPr>
                  <w:rFonts w:ascii="Times New Roman" w:cs="Times New Roman" w:eastAsia="Times New Roman" w:hAnsi="Times New Roman"/>
                  <w:sz w:val="18"/>
                  <w:szCs w:val="18"/>
                  <w:color w:val="0000FF"/>
                  <w:w w:val="97"/>
                </w:rPr>
                <w:t>Form</w:t>
              </w:r>
            </w:hyperlink>
          </w:p>
        </w:tc>
        <w:tc>
          <w:tcPr>
            <w:tcW w:w="3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80" w:type="dxa"/>
            <w:vAlign w:val="bottom"/>
            <w:gridSpan w:val="13"/>
          </w:tcPr>
          <w:p>
            <w:pPr>
              <w:spacing w:after="0" w:line="169"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8-K (File No.: 000-21392) filed with the Securities and</w:t>
              </w:r>
            </w:hyperlink>
          </w:p>
        </w:tc>
        <w:tc>
          <w:tcPr>
            <w:tcW w:w="3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2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Exchange Commission on June 30, 2022)</w:t>
              </w:r>
            </w:hyperlink>
          </w:p>
        </w:tc>
        <w:tc>
          <w:tcPr>
            <w:tcW w:w="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Borders>
              <w:left w:val="single" w:sz="8" w:color="0000EE"/>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0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Form of Deferred Restricted Stock Unit Award</w:t>
            </w: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Borders>
              <w:left w:val="single" w:sz="8" w:color="0000EE"/>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gridSpan w:val="3"/>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40" w:type="dxa"/>
            <w:vAlign w:val="bottom"/>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Agreement</w:t>
            </w:r>
          </w:p>
        </w:tc>
        <w:tc>
          <w:tcPr>
            <w:tcW w:w="120" w:type="dxa"/>
            <w:vAlign w:val="bottom"/>
            <w:vMerge w:val="continue"/>
          </w:tcPr>
          <w:p>
            <w:pPr>
              <w:spacing w:after="0"/>
              <w:rPr>
                <w:sz w:val="14"/>
                <w:szCs w:val="14"/>
                <w:color w:val="auto"/>
              </w:rPr>
            </w:pPr>
          </w:p>
        </w:tc>
        <w:tc>
          <w:tcPr>
            <w:tcW w:w="220" w:type="dxa"/>
            <w:vAlign w:val="bottom"/>
            <w:gridSpan w:val="3"/>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3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Borders>
              <w:left w:val="single" w:sz="8" w:color="0000EE"/>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0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Form of Restricted Stock Unit Award Agreement</w:t>
            </w: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Borders>
              <w:left w:val="single" w:sz="8" w:color="0000EE"/>
            </w:tcBorders>
            <w:shd w:val="clear" w:color="auto" w:fill="0000FF"/>
          </w:tcPr>
          <w:p>
            <w:pPr>
              <w:spacing w:after="0" w:line="20" w:lineRule="exact"/>
              <w:rPr>
                <w:sz w:val="1"/>
                <w:szCs w:val="1"/>
                <w:color w:val="auto"/>
              </w:rPr>
            </w:pPr>
          </w:p>
        </w:tc>
        <w:tc>
          <w:tcPr>
            <w:tcW w:w="178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EE"/>
            </w:tcBorders>
            <w:gridSpan w:val="3"/>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0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Offer Letter, dated May 26, 2022, by and between the</w:t>
            </w: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92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Company and Thomas Reilly</w:t>
            </w:r>
          </w:p>
        </w:tc>
        <w:tc>
          <w:tcPr>
            <w:tcW w:w="160" w:type="dxa"/>
            <w:vAlign w:val="bottom"/>
            <w:gridSpan w:val="2"/>
          </w:tcPr>
          <w:p>
            <w:pPr>
              <w:spacing w:after="0"/>
              <w:rPr>
                <w:sz w:val="14"/>
                <w:szCs w:val="14"/>
                <w:color w:val="auto"/>
              </w:rPr>
            </w:pPr>
          </w:p>
        </w:tc>
        <w:tc>
          <w:tcPr>
            <w:tcW w:w="3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Borders>
              <w:left w:val="single" w:sz="8" w:color="0000EE"/>
            </w:tcBorders>
            <w:shd w:val="clear" w:color="auto" w:fill="0000FF"/>
          </w:tcPr>
          <w:p>
            <w:pPr>
              <w:spacing w:after="0" w:line="20" w:lineRule="exact"/>
              <w:rPr>
                <w:sz w:val="1"/>
                <w:szCs w:val="1"/>
                <w:color w:val="auto"/>
              </w:rPr>
            </w:pPr>
          </w:p>
        </w:tc>
        <w:tc>
          <w:tcPr>
            <w:tcW w:w="1780" w:type="dxa"/>
            <w:vAlign w:val="bottom"/>
            <w:tcBorders>
              <w:right w:val="single" w:sz="8" w:color="0000EE"/>
            </w:tcBorders>
            <w:gridSpan w:val="2"/>
            <w:shd w:val="clear" w:color="auto" w:fill="0000FF"/>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0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Transition and Separation Agreement, dated June 6,</w:t>
            </w: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780" w:type="dxa"/>
            <w:vAlign w:val="bottom"/>
            <w:tcBorders>
              <w:top w:val="single" w:sz="8" w:color="0000FF"/>
              <w:bottom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w w:val="99"/>
              </w:rPr>
              <w:t>2022, by and between the Company and Michael W.</w:t>
            </w:r>
          </w:p>
        </w:tc>
        <w:tc>
          <w:tcPr>
            <w:tcW w:w="40" w:type="dxa"/>
            <w:vAlign w:val="bottom"/>
            <w:tcBorders>
              <w:bottom w:val="single" w:sz="8" w:color="0000FF"/>
            </w:tcBorders>
          </w:tcPr>
          <w:p>
            <w:pPr>
              <w:spacing w:after="0"/>
              <w:rPr>
                <w:sz w:val="14"/>
                <w:szCs w:val="14"/>
                <w:color w:val="auto"/>
              </w:rPr>
            </w:pPr>
          </w:p>
        </w:tc>
        <w:tc>
          <w:tcPr>
            <w:tcW w:w="260" w:type="dxa"/>
            <w:vAlign w:val="bottom"/>
            <w:gridSpan w:val="3"/>
          </w:tcPr>
          <w:p>
            <w:pPr>
              <w:spacing w:after="0"/>
              <w:rPr>
                <w:sz w:val="14"/>
                <w:szCs w:val="14"/>
                <w:color w:val="auto"/>
              </w:rPr>
            </w:pPr>
          </w:p>
        </w:tc>
        <w:tc>
          <w:tcPr>
            <w:tcW w:w="3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7"/>
              </w:rPr>
              <w:t>Kalb</w:t>
            </w:r>
          </w:p>
        </w:tc>
        <w:tc>
          <w:tcPr>
            <w:tcW w:w="3460" w:type="dxa"/>
            <w:vAlign w:val="bottom"/>
            <w:gridSpan w:val="9"/>
          </w:tcPr>
          <w:p>
            <w:pPr>
              <w:spacing w:after="0"/>
              <w:rPr>
                <w:sz w:val="14"/>
                <w:szCs w:val="14"/>
                <w:color w:val="auto"/>
              </w:rPr>
            </w:pPr>
          </w:p>
        </w:tc>
        <w:tc>
          <w:tcPr>
            <w:tcW w:w="260" w:type="dxa"/>
            <w:vAlign w:val="bottom"/>
            <w:gridSpan w:val="3"/>
          </w:tcPr>
          <w:p>
            <w:pPr>
              <w:spacing w:after="0"/>
              <w:rPr>
                <w:sz w:val="14"/>
                <w:szCs w:val="14"/>
                <w:color w:val="auto"/>
              </w:rPr>
            </w:pPr>
          </w:p>
        </w:tc>
        <w:tc>
          <w:tcPr>
            <w:tcW w:w="3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sectPr>
          <w:pgSz w:w="11900" w:h="16838" w:orient="portrait"/>
          <w:cols w:equalWidth="0" w:num="2">
            <w:col w:w="420" w:space="620"/>
            <w:col w:w="10200"/>
          </w:cols>
          <w:pgMar w:left="320" w:top="644" w:right="339" w:bottom="1440" w:gutter="0" w:footer="0" w:header="0"/>
          <w:type w:val="continuous"/>
        </w:sectPr>
      </w:pP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u w:val="single" w:color="auto"/>
          <w:color w:val="0000FF"/>
        </w:rPr>
        <w:t>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wp:posOffset>
            </wp:positionV>
            <wp:extent cx="2000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u w:val="single" w:color="auto"/>
          <w:color w:val="0000FF"/>
        </w:rPr>
        <w:t>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wp:posOffset>
            </wp:positionV>
            <wp:extent cx="2000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u w:val="single" w:color="auto"/>
          <w:color w:val="0000FF"/>
        </w:rPr>
        <w:t>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wp:posOffset>
            </wp:positionV>
            <wp:extent cx="2000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7"/>
        </w:trPr>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r>
        <w:trPr>
          <w:trHeight w:val="20"/>
        </w:trPr>
        <w:tc>
          <w:tcPr>
            <w:tcW w:w="20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(Principal Executive Officer) pursuant to Section 302 of</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0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Senior Vice President and Chief</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r>
        <w:trPr>
          <w:trHeight w:val="20"/>
        </w:trPr>
        <w:tc>
          <w:tcPr>
            <w:tcW w:w="2580" w:type="dxa"/>
            <w:vAlign w:val="bottom"/>
            <w:tcBorders>
              <w:left w:val="single" w:sz="8" w:color="0000EE"/>
            </w:tcBorders>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7"/>
              </w:rPr>
              <w:t>Financial Officer (Principal Financial Officer and</w:t>
            </w:r>
          </w:p>
        </w:tc>
        <w:tc>
          <w:tcPr>
            <w:tcW w:w="120" w:type="dxa"/>
            <w:vAlign w:val="bottom"/>
            <w:vMerge w:val="continue"/>
          </w:tcPr>
          <w:p>
            <w:pPr>
              <w:spacing w:after="0"/>
              <w:rPr>
                <w:sz w:val="14"/>
                <w:szCs w:val="14"/>
                <w:color w:val="auto"/>
              </w:rPr>
            </w:pPr>
          </w:p>
        </w:tc>
        <w:tc>
          <w:tcPr>
            <w:tcW w:w="54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color w:val="0000FF"/>
              </w:rPr>
              <w:t>302 of</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2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Principal Accounting Officer) pursuant to Section</w:t>
            </w:r>
          </w:p>
        </w:tc>
        <w:tc>
          <w:tcPr>
            <w:tcW w:w="540" w:type="dxa"/>
            <w:vAlign w:val="bottom"/>
            <w:tcBorders>
              <w:bottom w:val="single" w:sz="8" w:color="0000FF"/>
            </w:tcBorders>
            <w:gridSpan w:val="6"/>
            <w:vMerge w:val="continue"/>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60" w:type="dxa"/>
            <w:vAlign w:val="bottom"/>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r>
        <w:trPr>
          <w:trHeight w:val="20"/>
        </w:trPr>
        <w:tc>
          <w:tcPr>
            <w:tcW w:w="2580" w:type="dxa"/>
            <w:vAlign w:val="bottom"/>
            <w:tcBorders>
              <w:left w:val="single" w:sz="8" w:color="0000EE"/>
            </w:tcBorders>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40" w:type="dxa"/>
            <w:vAlign w:val="bottom"/>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7"/>
              </w:rPr>
              <w:t>(Principal Executive Officer) and Senior Vice President</w:t>
            </w:r>
          </w:p>
        </w:tc>
        <w:tc>
          <w:tcPr>
            <w:tcW w:w="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60" w:type="dxa"/>
            <w:vAlign w:val="bottom"/>
            <w:tcBorders>
              <w:top w:val="single" w:sz="8" w:color="0000FF"/>
              <w:bottom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and Chief Financial Officer (Principal Financial Officer</w:t>
            </w:r>
          </w:p>
        </w:tc>
        <w:tc>
          <w:tcPr>
            <w:tcW w:w="20" w:type="dxa"/>
            <w:vAlign w:val="bottom"/>
            <w:tcBorders>
              <w:bottom w:val="single" w:sz="8" w:color="0000FF"/>
            </w:tcBorders>
          </w:tcPr>
          <w:p>
            <w:pPr>
              <w:spacing w:after="0"/>
              <w:rPr>
                <w:sz w:val="14"/>
                <w:szCs w:val="14"/>
                <w:color w:val="auto"/>
              </w:rPr>
            </w:pPr>
          </w:p>
        </w:tc>
        <w:tc>
          <w:tcPr>
            <w:tcW w:w="80" w:type="dxa"/>
            <w:vAlign w:val="bottom"/>
            <w:gridSpan w:val="2"/>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80" w:type="dxa"/>
            <w:vAlign w:val="bottom"/>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and Principal Accounting Officer) pursuant to Section</w:t>
            </w:r>
          </w:p>
        </w:tc>
        <w:tc>
          <w:tcPr>
            <w:tcW w:w="80" w:type="dxa"/>
            <w:vAlign w:val="bottom"/>
            <w:gridSpan w:val="2"/>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8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906 of Sarbanes-Oxley Act of 2002</w:t>
            </w:r>
          </w:p>
        </w:tc>
        <w:tc>
          <w:tcPr>
            <w:tcW w:w="1380" w:type="dxa"/>
            <w:vAlign w:val="bottom"/>
            <w:tcBorders>
              <w:top w:val="single" w:sz="8" w:color="0000FF"/>
            </w:tcBorders>
            <w:gridSpan w:val="4"/>
          </w:tcPr>
          <w:p>
            <w:pPr>
              <w:spacing w:after="0"/>
              <w:rPr>
                <w:sz w:val="14"/>
                <w:szCs w:val="14"/>
                <w:color w:val="auto"/>
              </w:rPr>
            </w:pPr>
          </w:p>
        </w:tc>
        <w:tc>
          <w:tcPr>
            <w:tcW w:w="200" w:type="dxa"/>
            <w:vAlign w:val="bottom"/>
            <w:gridSpan w:val="4"/>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ectPr>
          <w:pgSz w:w="11900" w:h="16838" w:orient="portrait"/>
          <w:cols w:equalWidth="0" w:num="2">
            <w:col w:w="420" w:space="620"/>
            <w:col w:w="10200"/>
          </w:cols>
          <w:pgMar w:left="320" w:top="644"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0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0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Calculation Linkbase Filed herewith</w:t>
            </w:r>
          </w:p>
        </w:tc>
      </w:tr>
      <w:tr>
        <w:trPr>
          <w:trHeight w:val="234"/>
        </w:trPr>
        <w:tc>
          <w:tcPr>
            <w:tcW w:w="88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Document</w:t>
            </w:r>
          </w:p>
        </w:tc>
        <w:tc>
          <w:tcPr>
            <w:tcW w:w="6100" w:type="dxa"/>
            <w:vAlign w:val="bottom"/>
          </w:tcPr>
          <w:p>
            <w:pPr>
              <w:spacing w:after="0"/>
              <w:rPr>
                <w:sz w:val="20"/>
                <w:szCs w:val="20"/>
                <w:color w:val="auto"/>
              </w:rPr>
            </w:pPr>
          </w:p>
        </w:tc>
      </w:tr>
      <w:tr>
        <w:trPr>
          <w:trHeight w:val="30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88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Document</w:t>
            </w:r>
          </w:p>
        </w:tc>
        <w:tc>
          <w:tcPr>
            <w:tcW w:w="6100" w:type="dxa"/>
            <w:vAlign w:val="bottom"/>
          </w:tcPr>
          <w:p>
            <w:pPr>
              <w:spacing w:after="0"/>
              <w:rPr>
                <w:sz w:val="20"/>
                <w:szCs w:val="20"/>
                <w:color w:val="auto"/>
              </w:rPr>
            </w:pPr>
          </w:p>
        </w:tc>
      </w:tr>
      <w:tr>
        <w:trPr>
          <w:trHeight w:val="30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88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Document</w:t>
            </w:r>
          </w:p>
        </w:tc>
        <w:tc>
          <w:tcPr>
            <w:tcW w:w="6100" w:type="dxa"/>
            <w:vAlign w:val="bottom"/>
          </w:tcPr>
          <w:p>
            <w:pPr>
              <w:spacing w:after="0"/>
              <w:rPr>
                <w:sz w:val="20"/>
                <w:szCs w:val="20"/>
                <w:color w:val="auto"/>
              </w:rPr>
            </w:pPr>
          </w:p>
        </w:tc>
      </w:tr>
      <w:tr>
        <w:trPr>
          <w:trHeight w:val="30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88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Linkbase Document</w:t>
            </w:r>
          </w:p>
        </w:tc>
        <w:tc>
          <w:tcPr>
            <w:tcW w:w="6100" w:type="dxa"/>
            <w:vAlign w:val="bottom"/>
          </w:tcPr>
          <w:p>
            <w:pPr>
              <w:spacing w:after="0"/>
              <w:rPr>
                <w:sz w:val="20"/>
                <w:szCs w:val="20"/>
                <w:color w:val="auto"/>
              </w:rPr>
            </w:pPr>
          </w:p>
        </w:tc>
      </w:tr>
      <w:tr>
        <w:trPr>
          <w:trHeight w:val="30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89"/>
        </w:trPr>
        <w:tc>
          <w:tcPr>
            <w:tcW w:w="880" w:type="dxa"/>
            <w:vAlign w:val="bottom"/>
          </w:tcPr>
          <w:p>
            <w:pPr>
              <w:spacing w:after="0"/>
              <w:rPr>
                <w:sz w:val="16"/>
                <w:szCs w:val="16"/>
                <w:color w:val="auto"/>
              </w:rPr>
            </w:pPr>
          </w:p>
        </w:tc>
        <w:tc>
          <w:tcPr>
            <w:tcW w:w="426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(formatted as inline XBRL with applicable taxonomy</w:t>
            </w:r>
          </w:p>
        </w:tc>
        <w:tc>
          <w:tcPr>
            <w:tcW w:w="6100" w:type="dxa"/>
            <w:vAlign w:val="bottom"/>
          </w:tcPr>
          <w:p>
            <w:pPr>
              <w:spacing w:after="0"/>
              <w:rPr>
                <w:sz w:val="16"/>
                <w:szCs w:val="16"/>
                <w:color w:val="auto"/>
              </w:rPr>
            </w:pPr>
          </w:p>
        </w:tc>
      </w:tr>
      <w:tr>
        <w:trPr>
          <w:trHeight w:val="234"/>
        </w:trPr>
        <w:tc>
          <w:tcPr>
            <w:tcW w:w="88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extension information contained in Exhibits 101.*)</w:t>
            </w:r>
          </w:p>
        </w:tc>
        <w:tc>
          <w:tcPr>
            <w:tcW w:w="6100" w:type="dxa"/>
            <w:vAlign w:val="bottom"/>
          </w:tcPr>
          <w:p>
            <w:pPr>
              <w:spacing w:after="0"/>
              <w:rPr>
                <w:sz w:val="20"/>
                <w:szCs w:val="20"/>
                <w:color w:val="auto"/>
              </w:rPr>
            </w:pPr>
          </w:p>
        </w:tc>
      </w:tr>
      <w:tr>
        <w:trPr>
          <w:trHeight w:val="837"/>
        </w:trPr>
        <w:tc>
          <w:tcPr>
            <w:tcW w:w="8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84</w:t>
            </w:r>
          </w:p>
        </w:tc>
      </w:tr>
      <w:tr>
        <w:trPr>
          <w:trHeight w:val="115"/>
        </w:trPr>
        <w:tc>
          <w:tcPr>
            <w:tcW w:w="88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6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type w:val="continuous"/>
        </w:sectPr>
      </w:pPr>
    </w:p>
    <w:bookmarkStart w:id="84" w:name="page85"/>
    <w:bookmarkEnd w:id="84"/>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266" w:lineRule="exact"/>
        <w:rPr>
          <w:sz w:val="20"/>
          <w:szCs w:val="20"/>
          <w:color w:val="auto"/>
        </w:rPr>
      </w:pPr>
    </w:p>
    <w:p>
      <w:pPr>
        <w:ind w:left="678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Karim Mikhail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Karim Mikhail</w:t>
      </w:r>
    </w:p>
    <w:p>
      <w:pPr>
        <w:spacing w:after="0" w:line="22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3, 2022</w:t>
      </w:r>
    </w:p>
    <w:p>
      <w:pPr>
        <w:spacing w:after="0" w:line="21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266" w:lineRule="exact"/>
        <w:rPr>
          <w:sz w:val="20"/>
          <w:szCs w:val="20"/>
          <w:color w:val="auto"/>
        </w:rPr>
      </w:pPr>
    </w:p>
    <w:p>
      <w:pPr>
        <w:ind w:left="678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Tom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Tom Reilly</w:t>
      </w:r>
    </w:p>
    <w:p>
      <w:pPr>
        <w:spacing w:after="0" w:line="22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3, 2022</w:t>
      </w:r>
    </w:p>
    <w:p>
      <w:pPr>
        <w:spacing w:after="0" w:line="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44" w:right="51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19685</wp:posOffset>
            </wp:positionV>
            <wp:extent cx="1843405" cy="3771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184340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 2020 STOCK INCENTIVE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DEFERRED RESTRICTED STOCK UNIT AWARD AGREEMENT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AWARD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and made effective as of [ ], 20[ ] by and between Amarin Corporation plc (the</w:t>
      </w:r>
    </w:p>
    <w:p>
      <w:pPr>
        <w:spacing w:after="0" w:line="20" w:lineRule="exact"/>
        <w:rPr>
          <w:sz w:val="20"/>
          <w:szCs w:val="20"/>
          <w:color w:val="auto"/>
        </w:rPr>
      </w:pPr>
    </w:p>
    <w:p>
      <w:pPr>
        <w:ind w:right="380"/>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 ]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The Company hereby grants to the Participant an award (the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of deferred restricted stock units (the “</w:t>
      </w:r>
      <w:r>
        <w:rPr>
          <w:rFonts w:ascii="Times New Roman" w:cs="Times New Roman" w:eastAsia="Times New Roman" w:hAnsi="Times New Roman"/>
          <w:sz w:val="18"/>
          <w:szCs w:val="18"/>
          <w:b w:val="1"/>
          <w:bCs w:val="1"/>
          <w:color w:val="auto"/>
        </w:rPr>
        <w:t>DSUs</w:t>
      </w:r>
      <w:r>
        <w:rPr>
          <w:rFonts w:ascii="Times New Roman" w:cs="Times New Roman" w:eastAsia="Times New Roman" w:hAnsi="Times New Roman"/>
          <w:sz w:val="18"/>
          <w:szCs w:val="18"/>
          <w:color w:val="auto"/>
        </w:rPr>
        <w:t>”) as set forth below. Capitalized terms used and not otherwise defined herein shall have the meanings ascribed to such terms in the Amarin Corporation plc 2020 Stock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which is incorporated by this reference in its entirety.</w:t>
      </w:r>
    </w:p>
    <w:p>
      <w:pPr>
        <w:spacing w:after="0" w:line="163" w:lineRule="exact"/>
        <w:rPr>
          <w:sz w:val="20"/>
          <w:szCs w:val="20"/>
          <w:color w:val="auto"/>
        </w:rPr>
      </w:pPr>
    </w:p>
    <w:p>
      <w:pPr>
        <w:ind w:left="780" w:hanging="764"/>
        <w:spacing w:after="0"/>
        <w:tabs>
          <w:tab w:leader="none" w:pos="78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Maximum Number of DSUs: </w:t>
      </w:r>
      <w:r>
        <w:rPr>
          <w:rFonts w:ascii="Times New Roman" w:cs="Times New Roman" w:eastAsia="Times New Roman" w:hAnsi="Times New Roman"/>
          <w:sz w:val="18"/>
          <w:szCs w:val="18"/>
          <w:color w:val="auto"/>
        </w:rPr>
        <w:t>[ ]</w:t>
      </w:r>
    </w:p>
    <w:p>
      <w:pPr>
        <w:spacing w:after="0" w:line="364" w:lineRule="exact"/>
        <w:rPr>
          <w:rFonts w:ascii="Times New Roman" w:cs="Times New Roman" w:eastAsia="Times New Roman" w:hAnsi="Times New Roman"/>
          <w:sz w:val="20"/>
          <w:szCs w:val="20"/>
          <w:b w:val="1"/>
          <w:bCs w:val="1"/>
          <w:color w:val="auto"/>
        </w:rPr>
      </w:pPr>
    </w:p>
    <w:p>
      <w:pPr>
        <w:ind w:left="780" w:hanging="764"/>
        <w:spacing w:after="0"/>
        <w:tabs>
          <w:tab w:leader="none" w:pos="78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Grant Date: </w:t>
      </w:r>
      <w:r>
        <w:rPr>
          <w:rFonts w:ascii="Times New Roman" w:cs="Times New Roman" w:eastAsia="Times New Roman" w:hAnsi="Times New Roman"/>
          <w:sz w:val="18"/>
          <w:szCs w:val="18"/>
          <w:color w:val="auto"/>
        </w:rPr>
        <w:t>[ ]</w:t>
      </w:r>
    </w:p>
    <w:p>
      <w:pPr>
        <w:spacing w:after="0" w:line="377" w:lineRule="exact"/>
        <w:rPr>
          <w:rFonts w:ascii="Times New Roman" w:cs="Times New Roman" w:eastAsia="Times New Roman" w:hAnsi="Times New Roman"/>
          <w:sz w:val="20"/>
          <w:szCs w:val="20"/>
          <w:b w:val="1"/>
          <w:bCs w:val="1"/>
          <w:color w:val="auto"/>
        </w:rPr>
      </w:pPr>
    </w:p>
    <w:p>
      <w:pPr>
        <w:ind w:left="780" w:right="200" w:hanging="764"/>
        <w:spacing w:after="0" w:line="234" w:lineRule="auto"/>
        <w:tabs>
          <w:tab w:leader="none" w:pos="78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DSUs shall vest pursuant to the following table, subject to the Participant’s continued service to the Company through each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date:\</w:t>
      </w:r>
    </w:p>
    <w:p>
      <w:pPr>
        <w:spacing w:after="0" w:line="200" w:lineRule="exact"/>
        <w:rPr>
          <w:sz w:val="20"/>
          <w:szCs w:val="20"/>
          <w:color w:val="auto"/>
        </w:rPr>
      </w:pPr>
    </w:p>
    <w:p>
      <w:pPr>
        <w:spacing w:after="0" w:line="377"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6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Number of DSUs</w:t>
            </w: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Date</w:t>
            </w:r>
          </w:p>
        </w:tc>
      </w:tr>
      <w:tr>
        <w:trPr>
          <w:trHeight w:val="20"/>
        </w:trPr>
        <w:tc>
          <w:tcPr>
            <w:tcW w:w="1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385"/>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 ]</w:t>
            </w:r>
          </w:p>
        </w:tc>
        <w:tc>
          <w:tcPr>
            <w:tcW w:w="40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Earlier of [ ], 20[ ] or the [ ] Annual General Meeting of Shareholders</w:t>
            </w:r>
          </w:p>
        </w:tc>
      </w:tr>
      <w:tr>
        <w:trPr>
          <w:trHeight w:val="365"/>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 ]</w:t>
            </w:r>
          </w:p>
        </w:tc>
        <w:tc>
          <w:tcPr>
            <w:tcW w:w="40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Earlier of [ ], 20[ ] or the [ ] Annual General Meeting of Shareholders</w:t>
            </w:r>
          </w:p>
        </w:tc>
      </w:tr>
      <w:tr>
        <w:trPr>
          <w:trHeight w:val="364"/>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 ]</w:t>
            </w:r>
          </w:p>
        </w:tc>
        <w:tc>
          <w:tcPr>
            <w:tcW w:w="40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Earlier of [ ], 20[ ] or the [ ] Annual General Meeting of Shareholders</w:t>
            </w:r>
          </w:p>
        </w:tc>
      </w:tr>
    </w:tbl>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Notwithstanding the above vesting schedule, the DSUs shall be fully vested in the event of a Change of Control (as defined in the Plan).</w:t>
      </w:r>
    </w:p>
    <w:p>
      <w:pPr>
        <w:spacing w:after="0" w:line="212" w:lineRule="exact"/>
        <w:rPr>
          <w:sz w:val="20"/>
          <w:szCs w:val="20"/>
          <w:color w:val="auto"/>
        </w:rPr>
      </w:pPr>
    </w:p>
    <w:p>
      <w:pPr>
        <w:ind w:left="760" w:right="20"/>
        <w:spacing w:after="0" w:line="244" w:lineRule="auto"/>
        <w:rPr>
          <w:sz w:val="20"/>
          <w:szCs w:val="20"/>
          <w:color w:val="auto"/>
        </w:rPr>
      </w:pPr>
      <w:r>
        <w:rPr>
          <w:rFonts w:ascii="Times New Roman" w:cs="Times New Roman" w:eastAsia="Times New Roman" w:hAnsi="Times New Roman"/>
          <w:sz w:val="18"/>
          <w:szCs w:val="18"/>
          <w:color w:val="auto"/>
        </w:rPr>
        <w:t>Upon vesting of each DSU, the Participant shall be entitled to a payment equal to the Fair Market Value of one Share. The payment shall be paid to the Participant in Shares, or at the sole discretion of the Committee in cash or any combination of cash or Shares, such that the requirements of Section 580 of the Companies Act 2006 are satisfied (being that no Shares are issued for a consideration of less than their nominal value). Any such Shares may be subject to restrictions concerning their transferability and/or forfeiture as the Committee may determine. Settlement of vested DSUs pursuant to this Section 3 shall be made upon the earlier of thirty (30) days after the Participant’s Separation from Service (within the meaning of U.S. Treasury Regulation Section 1.409A-1(h)) or upon a Change of Control that qualifies as a “change in control event” within</w:t>
      </w:r>
    </w:p>
    <w:p>
      <w:pPr>
        <w:spacing w:after="0" w:line="2" w:lineRule="exact"/>
        <w:rPr>
          <w:sz w:val="20"/>
          <w:szCs w:val="20"/>
          <w:color w:val="auto"/>
        </w:rPr>
      </w:pPr>
    </w:p>
    <w:p>
      <w:pPr>
        <w:ind w:left="760"/>
        <w:spacing w:after="0" w:line="251" w:lineRule="auto"/>
        <w:rPr>
          <w:sz w:val="20"/>
          <w:szCs w:val="20"/>
          <w:color w:val="auto"/>
        </w:rPr>
      </w:pPr>
      <w:r>
        <w:rPr>
          <w:rFonts w:ascii="Times New Roman" w:cs="Times New Roman" w:eastAsia="Times New Roman" w:hAnsi="Times New Roman"/>
          <w:sz w:val="18"/>
          <w:szCs w:val="18"/>
          <w:color w:val="auto"/>
        </w:rPr>
        <w:t>the meaning of Section 409A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This Agreement is intended to be a compliant deferred compensation plan under Section 409A and shall be administered in accordance with the requirements of Section 409A. If the Participant is a “specified employee” (as defined in Section 409A of the Code) at the time of his or her separation from service and the DSUs are settled on account of such separation from service, then the settlement shall be delayed for six months or until the Participant’s death, if earlier, to the extent required to avoid adverse taxation under Section 409A of the Code.</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ACTIVE/116954364.2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4" w:lineRule="exact"/>
        <w:rPr>
          <w:sz w:val="20"/>
          <w:szCs w:val="20"/>
          <w:color w:val="auto"/>
        </w:rPr>
      </w:pPr>
    </w:p>
    <w:p>
      <w:pPr>
        <w:ind w:left="780" w:right="180" w:hanging="764"/>
        <w:spacing w:after="0" w:line="221" w:lineRule="auto"/>
        <w:tabs>
          <w:tab w:leader="none" w:pos="78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Termination: </w:t>
      </w:r>
      <w:r>
        <w:rPr>
          <w:rFonts w:ascii="Times New Roman" w:cs="Times New Roman" w:eastAsia="Times New Roman" w:hAnsi="Times New Roman"/>
          <w:sz w:val="18"/>
          <w:szCs w:val="18"/>
          <w:color w:val="auto"/>
        </w:rPr>
        <w:t>Notwithstanding anything in Section 8 of the Plan to the contrary, in the event of termination of the Participant's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to the Company, any DSUs that have not vested will lapse immediately; provided, however, in the event that such termination is due to the Participant’s death, 100% of the unvested DSUs shall vest in full upon the Participant’s death. Vested DSUs shall be settled at such time and in such form as provided in Section 3 above.</w:t>
      </w:r>
    </w:p>
    <w:p>
      <w:pPr>
        <w:spacing w:after="0" w:line="200" w:lineRule="exact"/>
        <w:rPr>
          <w:rFonts w:ascii="Times New Roman" w:cs="Times New Roman" w:eastAsia="Times New Roman" w:hAnsi="Times New Roman"/>
          <w:sz w:val="20"/>
          <w:szCs w:val="20"/>
          <w:b w:val="1"/>
          <w:bCs w:val="1"/>
          <w:color w:val="auto"/>
        </w:rPr>
      </w:pPr>
    </w:p>
    <w:p>
      <w:pPr>
        <w:spacing w:after="0" w:line="358" w:lineRule="exact"/>
        <w:rPr>
          <w:rFonts w:ascii="Times New Roman" w:cs="Times New Roman" w:eastAsia="Times New Roman" w:hAnsi="Times New Roman"/>
          <w:sz w:val="20"/>
          <w:szCs w:val="20"/>
          <w:b w:val="1"/>
          <w:bCs w:val="1"/>
          <w:color w:val="auto"/>
        </w:rPr>
      </w:pPr>
    </w:p>
    <w:p>
      <w:pPr>
        <w:ind w:left="780" w:right="140" w:hanging="764"/>
        <w:spacing w:after="0" w:line="234" w:lineRule="auto"/>
        <w:tabs>
          <w:tab w:leader="none" w:pos="78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Dilution Protection: </w:t>
      </w:r>
      <w:r>
        <w:rPr>
          <w:rFonts w:ascii="Times New Roman" w:cs="Times New Roman" w:eastAsia="Times New Roman" w:hAnsi="Times New Roman"/>
          <w:sz w:val="18"/>
          <w:szCs w:val="18"/>
          <w:color w:val="auto"/>
        </w:rPr>
        <w:t>The Plan contains detailed provisions for adjustments in the number and price of Shares for various corporate events,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as a change in capitalization, or a corporate transaction.</w:t>
      </w:r>
    </w:p>
    <w:p>
      <w:pPr>
        <w:spacing w:after="0" w:line="200" w:lineRule="exact"/>
        <w:rPr>
          <w:rFonts w:ascii="Times New Roman" w:cs="Times New Roman" w:eastAsia="Times New Roman" w:hAnsi="Times New Roman"/>
          <w:sz w:val="20"/>
          <w:szCs w:val="20"/>
          <w:b w:val="1"/>
          <w:bCs w:val="1"/>
          <w:color w:val="auto"/>
        </w:rPr>
      </w:pPr>
    </w:p>
    <w:p>
      <w:pPr>
        <w:spacing w:after="0" w:line="345" w:lineRule="exact"/>
        <w:rPr>
          <w:rFonts w:ascii="Times New Roman" w:cs="Times New Roman" w:eastAsia="Times New Roman" w:hAnsi="Times New Roman"/>
          <w:sz w:val="20"/>
          <w:szCs w:val="20"/>
          <w:b w:val="1"/>
          <w:bCs w:val="1"/>
          <w:color w:val="auto"/>
        </w:rPr>
      </w:pPr>
    </w:p>
    <w:p>
      <w:pPr>
        <w:ind w:left="780" w:right="140" w:hanging="764"/>
        <w:spacing w:after="0" w:line="234" w:lineRule="auto"/>
        <w:tabs>
          <w:tab w:leader="none" w:pos="78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The Award itself does not confer the rights of the underlying Shares, which are the subject of the Award. Shareholder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derive only from Share ownership, which occurs upon settlement pursuant to Section 3 above.</w:t>
      </w:r>
    </w:p>
    <w:p>
      <w:pPr>
        <w:spacing w:after="0" w:line="154" w:lineRule="exact"/>
        <w:rPr>
          <w:rFonts w:ascii="Times New Roman" w:cs="Times New Roman" w:eastAsia="Times New Roman" w:hAnsi="Times New Roman"/>
          <w:sz w:val="20"/>
          <w:szCs w:val="20"/>
          <w:b w:val="1"/>
          <w:bCs w:val="1"/>
          <w:color w:val="auto"/>
        </w:rPr>
      </w:pPr>
    </w:p>
    <w:p>
      <w:pPr>
        <w:jc w:val="both"/>
        <w:ind w:left="780" w:right="120" w:hanging="764"/>
        <w:spacing w:after="0" w:line="229" w:lineRule="auto"/>
        <w:tabs>
          <w:tab w:leader="none" w:pos="78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Contract: </w:t>
      </w:r>
      <w:r>
        <w:rPr>
          <w:rFonts w:ascii="Times New Roman" w:cs="Times New Roman" w:eastAsia="Times New Roman" w:hAnsi="Times New Roman"/>
          <w:sz w:val="18"/>
          <w:szCs w:val="18"/>
          <w:color w:val="auto"/>
        </w:rPr>
        <w:t>This Agreement and the Plan constitute the entire agreement between the Participant and the Company with regard to the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herein, and may not be modified or amended except in a writing duly executed by the Participant and an executive officer of the Company.</w:t>
      </w:r>
    </w:p>
    <w:p>
      <w:pPr>
        <w:spacing w:after="0" w:line="200" w:lineRule="exact"/>
        <w:rPr>
          <w:rFonts w:ascii="Times New Roman" w:cs="Times New Roman" w:eastAsia="Times New Roman" w:hAnsi="Times New Roman"/>
          <w:sz w:val="20"/>
          <w:szCs w:val="20"/>
          <w:b w:val="1"/>
          <w:bCs w:val="1"/>
          <w:color w:val="auto"/>
        </w:rPr>
      </w:pPr>
    </w:p>
    <w:p>
      <w:pPr>
        <w:spacing w:after="0" w:line="360" w:lineRule="exact"/>
        <w:rPr>
          <w:rFonts w:ascii="Times New Roman" w:cs="Times New Roman" w:eastAsia="Times New Roman" w:hAnsi="Times New Roman"/>
          <w:sz w:val="20"/>
          <w:szCs w:val="20"/>
          <w:b w:val="1"/>
          <w:bCs w:val="1"/>
          <w:color w:val="auto"/>
        </w:rPr>
      </w:pPr>
    </w:p>
    <w:p>
      <w:pPr>
        <w:jc w:val="both"/>
        <w:ind w:left="780" w:right="120" w:hanging="764"/>
        <w:spacing w:after="0" w:line="229" w:lineRule="auto"/>
        <w:tabs>
          <w:tab w:leader="none" w:pos="78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Applicable Law: </w:t>
      </w:r>
      <w:r>
        <w:rPr>
          <w:rFonts w:ascii="Times New Roman" w:cs="Times New Roman" w:eastAsia="Times New Roman" w:hAnsi="Times New Roman"/>
          <w:sz w:val="18"/>
          <w:szCs w:val="18"/>
          <w:color w:val="auto"/>
        </w:rPr>
        <w:t>The Plan is not subject to the Employee Retirement Income Security Act of 1974, as amended, and is not qualified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401(a) of the Code. The laws of the State of New York govern the terms and conditions of the DSUs, the Plan, and any construction or interpretation of the same.</w:t>
      </w:r>
    </w:p>
    <w:p>
      <w:pPr>
        <w:spacing w:after="0" w:line="200" w:lineRule="exact"/>
        <w:rPr>
          <w:rFonts w:ascii="Times New Roman" w:cs="Times New Roman" w:eastAsia="Times New Roman" w:hAnsi="Times New Roman"/>
          <w:sz w:val="20"/>
          <w:szCs w:val="20"/>
          <w:b w:val="1"/>
          <w:bCs w:val="1"/>
          <w:color w:val="auto"/>
        </w:rPr>
      </w:pPr>
    </w:p>
    <w:p>
      <w:pPr>
        <w:spacing w:after="0" w:line="346" w:lineRule="exact"/>
        <w:rPr>
          <w:rFonts w:ascii="Times New Roman" w:cs="Times New Roman" w:eastAsia="Times New Roman" w:hAnsi="Times New Roman"/>
          <w:sz w:val="20"/>
          <w:szCs w:val="20"/>
          <w:b w:val="1"/>
          <w:bCs w:val="1"/>
          <w:color w:val="auto"/>
        </w:rPr>
      </w:pPr>
    </w:p>
    <w:p>
      <w:pPr>
        <w:ind w:left="780" w:right="140" w:hanging="764"/>
        <w:spacing w:after="0" w:line="234" w:lineRule="auto"/>
        <w:tabs>
          <w:tab w:leader="none" w:pos="78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Conflict: </w:t>
      </w:r>
      <w:r>
        <w:rPr>
          <w:rFonts w:ascii="Times New Roman" w:cs="Times New Roman" w:eastAsia="Times New Roman" w:hAnsi="Times New Roman"/>
          <w:sz w:val="18"/>
          <w:szCs w:val="18"/>
          <w:color w:val="auto"/>
        </w:rPr>
        <w:t>In the event of a conflict between the provisions of this Agreement and the Plan, the Plan shall control. A copy of the Plan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from the Company Secretary at the Company’s U.S. headquarters.</w:t>
      </w:r>
    </w:p>
    <w:p>
      <w:pPr>
        <w:spacing w:after="0" w:line="356" w:lineRule="exact"/>
        <w:rPr>
          <w:rFonts w:ascii="Times New Roman" w:cs="Times New Roman" w:eastAsia="Times New Roman" w:hAnsi="Times New Roman"/>
          <w:sz w:val="20"/>
          <w:szCs w:val="20"/>
          <w:b w:val="1"/>
          <w:bCs w:val="1"/>
          <w:color w:val="auto"/>
        </w:rPr>
      </w:pPr>
    </w:p>
    <w:p>
      <w:pPr>
        <w:ind w:left="780" w:hanging="764"/>
        <w:spacing w:after="0"/>
        <w:tabs>
          <w:tab w:leader="none" w:pos="78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Administration: </w:t>
      </w:r>
      <w:r>
        <w:rPr>
          <w:rFonts w:ascii="Times New Roman" w:cs="Times New Roman" w:eastAsia="Times New Roman" w:hAnsi="Times New Roman"/>
          <w:sz w:val="18"/>
          <w:szCs w:val="18"/>
          <w:color w:val="auto"/>
        </w:rPr>
        <w:t>The Committee will administer the Plan.</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Company and the Participant have executed this Agreement as of the day and year first written above.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AMARIN CORPORATION plc</w:t>
            </w:r>
          </w:p>
        </w:tc>
        <w:tc>
          <w:tcPr>
            <w:tcW w:w="80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PARTICIPANT</w:t>
            </w:r>
          </w:p>
        </w:tc>
      </w:tr>
      <w:tr>
        <w:trPr>
          <w:trHeight w:val="27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By: ____________________________</w:t>
            </w:r>
          </w:p>
        </w:tc>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Signature: ______________________________</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Name: [ ]Name:[ ]</w:t>
            </w:r>
          </w:p>
        </w:tc>
        <w:tc>
          <w:tcPr>
            <w:tcW w:w="8020" w:type="dxa"/>
            <w:vAlign w:val="bottom"/>
          </w:tcPr>
          <w:p>
            <w:pPr>
              <w:spacing w:after="0"/>
              <w:rPr>
                <w:sz w:val="18"/>
                <w:szCs w:val="18"/>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Title: [ ]</w:t>
            </w:r>
          </w:p>
        </w:tc>
        <w:tc>
          <w:tcPr>
            <w:tcW w:w="8020" w:type="dxa"/>
            <w:vAlign w:val="bottom"/>
          </w:tcPr>
          <w:p>
            <w:pPr>
              <w:spacing w:after="0"/>
              <w:rPr>
                <w:sz w:val="20"/>
                <w:szCs w:val="20"/>
                <w:color w:val="auto"/>
              </w:rPr>
            </w:pPr>
          </w:p>
        </w:tc>
      </w:tr>
      <w:tr>
        <w:trPr>
          <w:trHeight w:val="355"/>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ACTIVE/116954364.2</w:t>
            </w:r>
          </w:p>
        </w:tc>
        <w:tc>
          <w:tcPr>
            <w:tcW w:w="8020" w:type="dxa"/>
            <w:vAlign w:val="bottom"/>
          </w:tcPr>
          <w:p>
            <w:pPr>
              <w:spacing w:after="0"/>
              <w:rPr>
                <w:sz w:val="24"/>
                <w:szCs w:val="24"/>
                <w:color w:val="auto"/>
              </w:rPr>
            </w:pPr>
          </w:p>
        </w:tc>
      </w:tr>
      <w:tr>
        <w:trPr>
          <w:trHeight w:val="327"/>
        </w:trPr>
        <w:tc>
          <w:tcPr>
            <w:tcW w:w="3220" w:type="dxa"/>
            <w:vAlign w:val="bottom"/>
            <w:tcBorders>
              <w:bottom w:val="single" w:sz="8" w:color="9A9A9A"/>
            </w:tcBorders>
          </w:tcPr>
          <w:p>
            <w:pPr>
              <w:spacing w:after="0"/>
              <w:rPr>
                <w:sz w:val="24"/>
                <w:szCs w:val="24"/>
                <w:color w:val="auto"/>
              </w:rPr>
            </w:pPr>
          </w:p>
        </w:tc>
        <w:tc>
          <w:tcPr>
            <w:tcW w:w="8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AMARIN CORPORATION PLC 2020 STOCK INCENTIVE PLAN</w:t>
      </w:r>
    </w:p>
    <w:p>
      <w:pPr>
        <w:jc w:val="center"/>
        <w:spacing w:after="0"/>
        <w:rPr>
          <w:sz w:val="20"/>
          <w:szCs w:val="20"/>
          <w:color w:val="auto"/>
        </w:rPr>
      </w:pPr>
      <w:r>
        <w:rPr>
          <w:rFonts w:ascii="Times New Roman" w:cs="Times New Roman" w:eastAsia="Times New Roman" w:hAnsi="Times New Roman"/>
          <w:sz w:val="27"/>
          <w:szCs w:val="27"/>
          <w:b w:val="1"/>
          <w:bCs w:val="1"/>
          <w:color w:val="auto"/>
        </w:rPr>
        <w:t>RESTRICTED STOCK UNIT AWARD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AWARD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and made effective as of [ ], 20[ ], by and between Amarin Corporation plc (the</w:t>
      </w:r>
    </w:p>
    <w:p>
      <w:pPr>
        <w:spacing w:after="0" w:line="20"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 ]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Capitalized terms used and not otherwise defined herein shall have the meanings ascribed to such terms in the Amarin Corporation plc 2020 Stock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which is incorporated by this reference in its entirety. The Company hereby grants to the Participant an award (this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of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as set forth below. This Agreement shall be interpreted in such a manner that all provisions relating to the settlement of the Award are exempt from the requirements of Section 409A of the Code as “short-term deferrals” as described in Section 409A of the Code. Further, the Company may modify this Agreement and this Award to the extent necessary to fulfill this intent.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RSUs</w:t>
      </w:r>
      <w:r>
        <w:rPr>
          <w:rFonts w:ascii="Times New Roman" w:cs="Times New Roman" w:eastAsia="Times New Roman" w:hAnsi="Times New Roman"/>
          <w:sz w:val="18"/>
          <w:szCs w:val="18"/>
          <w:color w:val="auto"/>
        </w:rPr>
        <w:t>: [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 ]</w:t>
      </w:r>
    </w:p>
    <w:p>
      <w:pPr>
        <w:spacing w:after="0" w:line="171" w:lineRule="exact"/>
        <w:rPr>
          <w:sz w:val="20"/>
          <w:szCs w:val="20"/>
          <w:color w:val="auto"/>
        </w:rPr>
      </w:pPr>
    </w:p>
    <w:p>
      <w:pPr>
        <w:ind w:left="20"/>
        <w:spacing w:after="0"/>
        <w:tabs>
          <w:tab w:leader="none" w:pos="2560" w:val="left"/>
        </w:tabs>
        <w:rPr>
          <w:sz w:val="20"/>
          <w:szCs w:val="20"/>
          <w:color w:val="auto"/>
        </w:rPr>
      </w:pPr>
      <w:r>
        <w:rPr>
          <w:rFonts w:ascii="Times New Roman" w:cs="Times New Roman" w:eastAsia="Times New Roman" w:hAnsi="Times New Roman"/>
          <w:sz w:val="18"/>
          <w:szCs w:val="18"/>
          <w:b w:val="1"/>
          <w:bCs w:val="1"/>
          <w:color w:val="auto"/>
        </w:rPr>
        <w:t>Date Award Vests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RSUs shall vest pursuant to the following table, subject to the Participant’s Continuous Status as an Employee or</w:t>
      </w:r>
    </w:p>
    <w:p>
      <w:pPr>
        <w:spacing w:after="0" w:line="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Consultant through each such date: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RSUs</w:t>
            </w:r>
          </w:p>
        </w:tc>
        <w:tc>
          <w:tcPr>
            <w:tcW w:w="198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w w:val="97"/>
              </w:rPr>
              <w:t>Vesting Date</w:t>
            </w:r>
          </w:p>
        </w:tc>
      </w:tr>
      <w:tr>
        <w:trPr>
          <w:trHeight w:val="164"/>
        </w:trPr>
        <w:tc>
          <w:tcPr>
            <w:tcW w:w="1240" w:type="dxa"/>
            <w:vAlign w:val="bottom"/>
            <w:tcBorders>
              <w:top w:val="single" w:sz="8" w:color="auto"/>
            </w:tcBorders>
          </w:tcPr>
          <w:p>
            <w:pPr>
              <w:spacing w:after="0" w:line="164" w:lineRule="exact"/>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Borders>
              <w:top w:val="single" w:sz="8" w:color="auto"/>
            </w:tcBorders>
          </w:tcPr>
          <w:p>
            <w:pPr>
              <w:spacing w:after="0" w:line="164"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4"/>
                <w:szCs w:val="14"/>
                <w:color w:val="auto"/>
              </w:rPr>
            </w:pPr>
          </w:p>
        </w:tc>
      </w:tr>
      <w:tr>
        <w:trPr>
          <w:trHeight w:val="189"/>
        </w:trPr>
        <w:tc>
          <w:tcPr>
            <w:tcW w:w="1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spacing w:after="0"/>
              <w:rPr>
                <w:sz w:val="16"/>
                <w:szCs w:val="16"/>
                <w:color w:val="auto"/>
              </w:rPr>
            </w:pPr>
          </w:p>
        </w:tc>
        <w:tc>
          <w:tcPr>
            <w:tcW w:w="1960" w:type="dxa"/>
            <w:vAlign w:val="bottom"/>
            <w:gridSpan w:val="2"/>
          </w:tcPr>
          <w:p>
            <w:pPr>
              <w:ind w:left="10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6"/>
                <w:szCs w:val="16"/>
                <w:color w:val="auto"/>
              </w:rPr>
            </w:pP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spacing w:after="0"/>
              <w:rPr>
                <w:sz w:val="20"/>
                <w:szCs w:val="20"/>
                <w:color w:val="auto"/>
              </w:rPr>
            </w:pPr>
          </w:p>
        </w:tc>
        <w:tc>
          <w:tcPr>
            <w:tcW w:w="19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0"/>
                <w:szCs w:val="20"/>
                <w:color w:val="auto"/>
              </w:rPr>
            </w:pPr>
          </w:p>
        </w:tc>
      </w:tr>
    </w:tbl>
    <w:p>
      <w:pPr>
        <w:spacing w:after="0" w:line="342"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Upon vesting of each RSU, the Participant shall be entitled to a payment equal to the Fair Market Value of one Share. The payment shall be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Participant in Shares, such that the requirements of Section 580 of the Companies Act 2006 are satisfied (being that no Shares are issued for a consideration of less than their nominal value).</w:t>
      </w:r>
    </w:p>
    <w:p>
      <w:pPr>
        <w:spacing w:after="0" w:line="102"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Notwithstanding anything in Section 8 of the Plan to the contrary, in the event of termination of the Participant’s Continuous Status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or Consultant, any RSUs that have not vested will lapse immediately; provided, however, in the event that such termination is due to the Participant’s death, 100% of the unvested RSUs shall vest in full upon the Participant’s death.</w:t>
      </w:r>
    </w:p>
    <w:p>
      <w:pPr>
        <w:spacing w:after="0" w:line="12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Dilution Protection</w:t>
      </w:r>
      <w:r>
        <w:rPr>
          <w:rFonts w:ascii="Times New Roman" w:cs="Times New Roman" w:eastAsia="Times New Roman" w:hAnsi="Times New Roman"/>
          <w:sz w:val="18"/>
          <w:szCs w:val="18"/>
          <w:color w:val="auto"/>
        </w:rPr>
        <w:t>: The Plan contains detailed provisions for adjustments in the number and price of Shares for various corporate events, such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in capitalization, or a corporate transaction.</w:t>
      </w:r>
    </w:p>
    <w:p>
      <w:pPr>
        <w:spacing w:after="0" w:line="10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Withholding</w:t>
      </w:r>
      <w:r>
        <w:rPr>
          <w:rFonts w:ascii="Times New Roman" w:cs="Times New Roman" w:eastAsia="Times New Roman" w:hAnsi="Times New Roman"/>
          <w:sz w:val="18"/>
          <w:szCs w:val="18"/>
          <w:color w:val="auto"/>
        </w:rPr>
        <w:t>: The Company has the right to reduce the amount of Shares to be delivered to the Participant upon vesting by the number of Shares with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fair market value equal to the up to the maximum amount of withholding taxes that the Company is required to withhold.</w:t>
      </w:r>
    </w:p>
    <w:p>
      <w:pPr>
        <w:spacing w:after="0" w:line="10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Stockholder Rights</w:t>
      </w:r>
      <w:r>
        <w:rPr>
          <w:rFonts w:ascii="Times New Roman" w:cs="Times New Roman" w:eastAsia="Times New Roman" w:hAnsi="Times New Roman"/>
          <w:sz w:val="18"/>
          <w:szCs w:val="18"/>
          <w:color w:val="auto"/>
        </w:rPr>
        <w:t>: The Award itself does not confer the rights of the underlying Shares which are the subject of the Award. Shareholder rights derive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from Share ownership.</w:t>
      </w:r>
    </w:p>
    <w:p>
      <w:pPr>
        <w:spacing w:after="0" w:line="10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This Agreement and the Plan constitute the entire agreement between you and the Company with regard to the Award described herein, and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modified or amended except in a writing duly executed by the Participant and an executive officer of the Company.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ACTIVE/116953981.2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The Plan is not subject to the Employee Retirement Income Security Act of 1974, as amended, and is not qualified under Section 401(a)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Code. The laws of the State of New York govern the terms and conditions of the RSUs, the Plan, and any construction or interpretation of the same.</w:t>
      </w:r>
    </w:p>
    <w:p>
      <w:pPr>
        <w:spacing w:after="0" w:line="127"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color w:val="auto"/>
        </w:rPr>
        <w:t>Conflict</w:t>
      </w:r>
      <w:r>
        <w:rPr>
          <w:rFonts w:ascii="Times New Roman" w:cs="Times New Roman" w:eastAsia="Times New Roman" w:hAnsi="Times New Roman"/>
          <w:sz w:val="18"/>
          <w:szCs w:val="18"/>
          <w:color w:val="auto"/>
        </w:rPr>
        <w:t>: In the event of a conflict between the provisions of this Agreement and the Plan, the Plan shall control. A copy of the Plan is available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Secretary at the Company’s U.S. headquarters.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The Committee will administer the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Company and the Participant have executed this Agreement as of the day and year first written above.</w:t>
      </w:r>
    </w:p>
    <w:p>
      <w:pPr>
        <w:sectPr>
          <w:pgSz w:w="11900" w:h="16838" w:orient="portrait"/>
          <w:cols w:equalWidth="0" w:num="1">
            <w:col w:w="11120"/>
          </w:cols>
          <w:pgMar w:left="320" w:top="117" w:right="459" w:bottom="1440" w:gutter="0" w:footer="0" w:header="0"/>
        </w:sectPr>
      </w:pP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AMARIN CORPORATION plc</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w:t>
      </w:r>
    </w:p>
    <w:p>
      <w:pPr>
        <w:spacing w:after="0" w:line="200" w:lineRule="exact"/>
        <w:rPr>
          <w:sz w:val="20"/>
          <w:szCs w:val="20"/>
          <w:color w:val="auto"/>
        </w:rPr>
      </w:pPr>
    </w:p>
    <w:p>
      <w:pPr>
        <w:sectPr>
          <w:pgSz w:w="11900" w:h="16838" w:orient="portrait"/>
          <w:cols w:equalWidth="0" w:num="2">
            <w:col w:w="2880" w:space="720"/>
            <w:col w:w="7520"/>
          </w:cols>
          <w:pgMar w:left="320" w:top="117"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By: _________________________________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 ]Name: [ ]</w:t>
      </w:r>
    </w:p>
    <w:p>
      <w:pPr>
        <w:spacing w:after="0"/>
        <w:rPr>
          <w:sz w:val="20"/>
          <w:szCs w:val="20"/>
          <w:color w:val="auto"/>
        </w:rPr>
      </w:pPr>
      <w:r>
        <w:rPr>
          <w:rFonts w:ascii="Times New Roman" w:cs="Times New Roman" w:eastAsia="Times New Roman" w:hAnsi="Times New Roman"/>
          <w:sz w:val="18"/>
          <w:szCs w:val="18"/>
          <w:color w:val="auto"/>
        </w:rPr>
        <w:t>Title: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Signature: _______________________________</w:t>
      </w:r>
    </w:p>
    <w:p>
      <w:pPr>
        <w:spacing w:after="0" w:line="625" w:lineRule="exact"/>
        <w:rPr>
          <w:sz w:val="20"/>
          <w:szCs w:val="20"/>
          <w:color w:val="auto"/>
        </w:rPr>
      </w:pPr>
    </w:p>
    <w:p>
      <w:pPr>
        <w:sectPr>
          <w:pgSz w:w="11900" w:h="16838" w:orient="portrait"/>
          <w:cols w:equalWidth="0" w:num="2">
            <w:col w:w="3280" w:space="680"/>
            <w:col w:w="7160"/>
          </w:cols>
          <w:pgMar w:left="320" w:top="117" w:right="459" w:bottom="1440" w:gutter="0" w:footer="0" w:header="0"/>
          <w:type w:val="continuous"/>
        </w:sect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ACTIVE/116953981.2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type w:val="continuous"/>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2342515</wp:posOffset>
            </wp:positionH>
            <wp:positionV relativeFrom="page">
              <wp:posOffset>88900</wp:posOffset>
            </wp:positionV>
            <wp:extent cx="2837180" cy="5568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2837180" cy="55689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Calibri" w:cs="Calibri" w:eastAsia="Calibri" w:hAnsi="Calibri"/>
          <w:sz w:val="18"/>
          <w:szCs w:val="18"/>
          <w:b w:val="1"/>
          <w:bCs w:val="1"/>
          <w:color w:val="auto"/>
        </w:rPr>
        <w:t>Exhibit 10.4</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26, 2022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 Thomas Reilly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Tom:</w:t>
      </w:r>
    </w:p>
    <w:p>
      <w:pPr>
        <w:spacing w:after="0" w:line="193" w:lineRule="exact"/>
        <w:rPr>
          <w:sz w:val="20"/>
          <w:szCs w:val="20"/>
          <w:color w:val="auto"/>
        </w:rPr>
      </w:pPr>
    </w:p>
    <w:p>
      <w:pPr>
        <w:ind w:right="140" w:firstLine="749"/>
        <w:spacing w:after="0" w:line="244" w:lineRule="auto"/>
        <w:rPr>
          <w:sz w:val="20"/>
          <w:szCs w:val="20"/>
          <w:color w:val="auto"/>
        </w:rPr>
      </w:pPr>
      <w:r>
        <w:rPr>
          <w:rFonts w:ascii="Times New Roman" w:cs="Times New Roman" w:eastAsia="Times New Roman" w:hAnsi="Times New Roman"/>
          <w:sz w:val="22"/>
          <w:szCs w:val="22"/>
          <w:color w:val="auto"/>
        </w:rPr>
        <w:t>On behalf of Amarin Corporation plc (the “Company”), I am pleased to confirm our offer to employ you as Senior Vice President, Chief Financial Officer. The initial terms and conditions of your employment, should you accept this offer, are set forth below in this letter agreement (the “Agreement”),</w:t>
      </w:r>
    </w:p>
    <w:p>
      <w:pPr>
        <w:spacing w:after="0" w:line="183" w:lineRule="exact"/>
        <w:rPr>
          <w:sz w:val="20"/>
          <w:szCs w:val="20"/>
          <w:color w:val="auto"/>
        </w:rPr>
      </w:pPr>
    </w:p>
    <w:p>
      <w:pPr>
        <w:ind w:right="60" w:firstLine="757"/>
        <w:spacing w:after="0" w:line="250" w:lineRule="auto"/>
        <w:tabs>
          <w:tab w:leader="none" w:pos="1498" w:val="left"/>
        </w:tabs>
        <w:numPr>
          <w:ilvl w:val="0"/>
          <w:numId w:val="4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 xml:space="preserve">Position: </w:t>
      </w:r>
      <w:r>
        <w:rPr>
          <w:rFonts w:ascii="Times New Roman" w:cs="Times New Roman" w:eastAsia="Times New Roman" w:hAnsi="Times New Roman"/>
          <w:sz w:val="21"/>
          <w:szCs w:val="21"/>
          <w:color w:val="auto"/>
        </w:rPr>
        <w:t>Senior Vice President, Chief Financial Officer is a full-time position as an officer of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 will report to the Company’s Chief Executive Officer (the “CEO”) and to the Company’s Board of Directors (the “Board”), having such powers and duties as may from time to time be prescribed by the CEO and/or the Board. It is understood and agreed that, while you render services to the Company, you will not engage in any other full or part-time employment activities, devoting your business time (except for permitted vacation and reasonable periods of illness or other incapacity) and best efforts, business judgment, skill, and knowledge to the advancement of the Company and interests of the Company. Notwithstanding the foregoing sentence to the contrary, you shall be permitted to (i) serve on corporate, civic, or charitable boards or committees of non-profit organizations, (to the extent there are no conflicts) (ii) lecture, speak, or attend industry-related or academic conferences or events, and (iii) manage personal investments (including, without limitation, passive real estate investments, unrelated business investments, and investments in publicly traded companies; provided, such investments are that of a passive investor of less than 5% (five percent) of any class of securities of a publicly traded entity), so long as such activities do not materially interfere with the Employee’s duties as set forth in this Agreement (herein, “Permitted Activities”).</w:t>
      </w:r>
    </w:p>
    <w:p>
      <w:pPr>
        <w:spacing w:after="0" w:line="184" w:lineRule="exact"/>
        <w:rPr>
          <w:rFonts w:ascii="Times New Roman" w:cs="Times New Roman" w:eastAsia="Times New Roman" w:hAnsi="Times New Roman"/>
          <w:sz w:val="21"/>
          <w:szCs w:val="21"/>
          <w:color w:val="010000"/>
        </w:rPr>
      </w:pPr>
    </w:p>
    <w:p>
      <w:pPr>
        <w:jc w:val="both"/>
        <w:ind w:right="20" w:firstLine="757"/>
        <w:spacing w:after="0"/>
        <w:tabs>
          <w:tab w:leader="none" w:pos="1498"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addition to your role as Senior Vice President, Chief Financial Officer of the Company, you acknowledge and agree that you may be required, without additional compensation, to perform duties for certain affiliated entities of the Company, including without limitation Amarin Pharma, Inc., the Company’s wholly owned subsidiary, and to accept any reasonable office or position with any such affiliate as the Company’s Board of Directors may require, including, but not limited to, service as an officer or director of any such affiliate.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alibri" w:cs="Calibri" w:eastAsia="Calibri" w:hAnsi="Calibri"/>
          <w:sz w:val="14"/>
          <w:szCs w:val="14"/>
          <w:color w:val="auto"/>
        </w:rPr>
        <w:t>ACTIVE/118287602.1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394335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2342515</wp:posOffset>
            </wp:positionH>
            <wp:positionV relativeFrom="page">
              <wp:posOffset>88900</wp:posOffset>
            </wp:positionV>
            <wp:extent cx="2837180" cy="5568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2837180" cy="556895"/>
                    </a:xfrm>
                    <a:prstGeom prst="rect">
                      <a:avLst/>
                    </a:prstGeom>
                    <a:noFill/>
                  </pic:spPr>
                </pic:pic>
              </a:graphicData>
            </a:graphic>
          </wp:anchor>
        </w:drawing>
      </w:r>
    </w:p>
    <w:p>
      <w:pPr>
        <w:ind w:right="160"/>
        <w:spacing w:after="0" w:line="258" w:lineRule="auto"/>
        <w:rPr>
          <w:sz w:val="20"/>
          <w:szCs w:val="20"/>
          <w:color w:val="auto"/>
        </w:rPr>
      </w:pPr>
      <w:r>
        <w:rPr>
          <w:rFonts w:ascii="Times New Roman" w:cs="Times New Roman" w:eastAsia="Times New Roman" w:hAnsi="Times New Roman"/>
          <w:sz w:val="22"/>
          <w:szCs w:val="22"/>
          <w:color w:val="auto"/>
        </w:rPr>
        <w:t>Amarin Pharma, Inc. will maintain and distribute employment-related records. The duties of the Company set forth herein may be discharged by Amarin Corporation plc or Amarin Pharma, Inc.</w:t>
      </w:r>
    </w:p>
    <w:p>
      <w:pPr>
        <w:spacing w:after="0" w:line="168" w:lineRule="exact"/>
        <w:rPr>
          <w:sz w:val="20"/>
          <w:szCs w:val="20"/>
          <w:color w:val="auto"/>
        </w:rPr>
      </w:pPr>
    </w:p>
    <w:p>
      <w:pPr>
        <w:jc w:val="both"/>
        <w:ind w:right="120" w:firstLine="757"/>
        <w:spacing w:after="0" w:line="260" w:lineRule="auto"/>
        <w:tabs>
          <w:tab w:leader="none" w:pos="1498" w:val="left"/>
        </w:tabs>
        <w:numPr>
          <w:ilvl w:val="0"/>
          <w:numId w:val="4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 xml:space="preserve">Work Location: </w:t>
      </w:r>
      <w:r>
        <w:rPr>
          <w:rFonts w:ascii="Times New Roman" w:cs="Times New Roman" w:eastAsia="Times New Roman" w:hAnsi="Times New Roman"/>
          <w:sz w:val="21"/>
          <w:szCs w:val="21"/>
          <w:color w:val="auto"/>
        </w:rPr>
        <w:t>Your principal place of employment will be the Company’s U.S. offices, which are currently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located in Bridgewater, New Jersey, subject to business travel requirements. Notwithstanding the foregoing to the contrary, you may provide services from other locations as mutually agreed to by the CEO and you; provided that, the performance of your duties from any remote location does not interfere with the diligent exercise of your duties as set forth in this Agreement.</w:t>
      </w:r>
    </w:p>
    <w:p>
      <w:pPr>
        <w:spacing w:after="0" w:line="155" w:lineRule="exact"/>
        <w:rPr>
          <w:rFonts w:ascii="Times New Roman" w:cs="Times New Roman" w:eastAsia="Times New Roman" w:hAnsi="Times New Roman"/>
          <w:sz w:val="21"/>
          <w:szCs w:val="21"/>
          <w:color w:val="010000"/>
        </w:rPr>
      </w:pPr>
    </w:p>
    <w:p>
      <w:pPr>
        <w:ind w:right="160" w:firstLine="757"/>
        <w:spacing w:after="0" w:line="275" w:lineRule="auto"/>
        <w:tabs>
          <w:tab w:leader="none" w:pos="1498" w:val="left"/>
        </w:tabs>
        <w:numPr>
          <w:ilvl w:val="0"/>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Start Date</w:t>
      </w:r>
      <w:r>
        <w:rPr>
          <w:rFonts w:ascii="Times New Roman" w:cs="Times New Roman" w:eastAsia="Times New Roman" w:hAnsi="Times New Roman"/>
          <w:sz w:val="22"/>
          <w:szCs w:val="22"/>
          <w:color w:val="auto"/>
        </w:rPr>
        <w:t>: Unless otherwise agreed, your first day of employment will be June 20, 2022, or such earlier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may be mutually determined. The actual first day of your employment will be referred to herein as the “Start Date.”</w:t>
      </w:r>
    </w:p>
    <w:p>
      <w:pPr>
        <w:spacing w:after="0" w:line="135" w:lineRule="exact"/>
        <w:rPr>
          <w:rFonts w:ascii="Times New Roman" w:cs="Times New Roman" w:eastAsia="Times New Roman" w:hAnsi="Times New Roman"/>
          <w:sz w:val="22"/>
          <w:szCs w:val="22"/>
          <w:color w:val="010000"/>
        </w:rPr>
      </w:pPr>
    </w:p>
    <w:p>
      <w:pPr>
        <w:jc w:val="both"/>
        <w:ind w:right="140" w:firstLine="757"/>
        <w:spacing w:after="0" w:line="245" w:lineRule="auto"/>
        <w:tabs>
          <w:tab w:leader="none" w:pos="1498" w:val="left"/>
        </w:tabs>
        <w:numPr>
          <w:ilvl w:val="0"/>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Salary: </w:t>
      </w:r>
      <w:r>
        <w:rPr>
          <w:rFonts w:ascii="Times New Roman" w:cs="Times New Roman" w:eastAsia="Times New Roman" w:hAnsi="Times New Roman"/>
          <w:sz w:val="22"/>
          <w:szCs w:val="22"/>
          <w:color w:val="auto"/>
        </w:rPr>
        <w:t>The Company will pay you an initial base salary at the annual rate of $525,000, subject to periodic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review and adjustment at the discretion of the Company and shall be eligible for adjustment during the next review period for 2023. Currently our policy is to make salary payments semi-monthly. Your base salary in effect at any given time is referred to herein as the “Base Salary.”</w:t>
      </w:r>
    </w:p>
    <w:p>
      <w:pPr>
        <w:spacing w:after="0" w:line="182" w:lineRule="exact"/>
        <w:rPr>
          <w:rFonts w:ascii="Times New Roman" w:cs="Times New Roman" w:eastAsia="Times New Roman" w:hAnsi="Times New Roman"/>
          <w:sz w:val="22"/>
          <w:szCs w:val="22"/>
          <w:color w:val="010000"/>
        </w:rPr>
      </w:pPr>
    </w:p>
    <w:p>
      <w:pPr>
        <w:ind w:firstLine="757"/>
        <w:spacing w:after="0" w:line="238" w:lineRule="auto"/>
        <w:tabs>
          <w:tab w:leader="none" w:pos="1498" w:val="left"/>
        </w:tabs>
        <w:numPr>
          <w:ilvl w:val="0"/>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Annual Bonus/Special Sign on Bonus: </w:t>
      </w:r>
      <w:r>
        <w:rPr>
          <w:rFonts w:ascii="Times New Roman" w:cs="Times New Roman" w:eastAsia="Times New Roman" w:hAnsi="Times New Roman"/>
          <w:sz w:val="22"/>
          <w:szCs w:val="22"/>
          <w:color w:val="auto"/>
        </w:rPr>
        <w:t>You will be eligible to receive an annual performance bonus.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will target the bonus at up to 50% of your Base Salary for the applicable year. Any bonus for 2022 will not be prorated based on the Start Date in consideration for you forgoing significant amounts of short- and long-term incentives in connection with your previous employment. The actual bonus is discretionary and will be subject to the Company’s assessment of your performance, as well as business conditions at the Company. Except for the year in which your employment commences, the bonus also will be subject to your employment for the full period covered by the bonus, approval by and adjustment at the discretion of the Company’s Board of Directors or an authorized committee thereof, and the terms of any applicable bonus plan. The Company may also make adjustments in the targeted amount of your annual performance bonus. Any bonus awarded to you will be paid by March 15 of the year following the bonus year to which such bonus relates. A special Sign on Bonus of $100,000 (less appropriate taxes) will be paid on July 31, 2022.</w:t>
      </w:r>
    </w:p>
    <w:p>
      <w:pPr>
        <w:spacing w:after="0" w:line="191" w:lineRule="exact"/>
        <w:rPr>
          <w:rFonts w:ascii="Times New Roman" w:cs="Times New Roman" w:eastAsia="Times New Roman" w:hAnsi="Times New Roman"/>
          <w:sz w:val="22"/>
          <w:szCs w:val="22"/>
          <w:color w:val="010000"/>
        </w:rPr>
      </w:pPr>
    </w:p>
    <w:p>
      <w:pPr>
        <w:jc w:val="both"/>
        <w:ind w:right="100" w:firstLine="757"/>
        <w:spacing w:after="0" w:line="239" w:lineRule="auto"/>
        <w:tabs>
          <w:tab w:leader="none" w:pos="1498" w:val="left"/>
        </w:tabs>
        <w:numPr>
          <w:ilvl w:val="0"/>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Benefits: </w:t>
      </w:r>
      <w:r>
        <w:rPr>
          <w:rFonts w:ascii="Times New Roman" w:cs="Times New Roman" w:eastAsia="Times New Roman" w:hAnsi="Times New Roman"/>
          <w:sz w:val="22"/>
          <w:szCs w:val="22"/>
          <w:color w:val="auto"/>
        </w:rPr>
        <w:t>You and your dependents will be eligible to participate in the employee benefits and insurance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programs generally made available to the Company’s full-time U.S. employees, including health, life, disability and dental insurance. You will be eligible for up to 18 days of paid time off or such other amount determined by the Company, which shall accrue and in other respects be administered in accordance with the Company’s U.S. paid time off policy, as in effect from time to time. You will be reimbursed for all necessary and reasonable business expenses you incur while carrying out your duties on behalf of the Company; provided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alibri" w:cs="Calibri" w:eastAsia="Calibri" w:hAnsi="Calibri"/>
          <w:sz w:val="14"/>
          <w:szCs w:val="14"/>
          <w:color w:val="auto"/>
        </w:rPr>
        <w:t>ACTIVE/118287602.1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1" w:name="page92"/>
    <w:bookmarkEnd w:id="91"/>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2342515</wp:posOffset>
            </wp:positionH>
            <wp:positionV relativeFrom="page">
              <wp:posOffset>88900</wp:posOffset>
            </wp:positionV>
            <wp:extent cx="2837180" cy="5568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2837180" cy="556895"/>
                    </a:xfrm>
                    <a:prstGeom prst="rect">
                      <a:avLst/>
                    </a:prstGeom>
                    <a:noFill/>
                  </pic:spPr>
                </pic:pic>
              </a:graphicData>
            </a:graphic>
          </wp:anchor>
        </w:drawing>
      </w:r>
    </w:p>
    <w:p>
      <w:pPr>
        <w:ind w:right="320"/>
        <w:spacing w:after="0" w:line="258" w:lineRule="auto"/>
        <w:rPr>
          <w:sz w:val="20"/>
          <w:szCs w:val="20"/>
          <w:color w:val="auto"/>
        </w:rPr>
      </w:pPr>
      <w:r>
        <w:rPr>
          <w:rFonts w:ascii="Times New Roman" w:cs="Times New Roman" w:eastAsia="Times New Roman" w:hAnsi="Times New Roman"/>
          <w:sz w:val="22"/>
          <w:szCs w:val="22"/>
          <w:color w:val="auto"/>
        </w:rPr>
        <w:t>such reimbursement shall be conditioned on you following the Company’s U.S. reimbursement policies and claims procedure, including by providing reasonable documentation of such expenses.</w:t>
      </w:r>
    </w:p>
    <w:p>
      <w:pPr>
        <w:spacing w:after="0" w:line="168" w:lineRule="exact"/>
        <w:rPr>
          <w:sz w:val="20"/>
          <w:szCs w:val="20"/>
          <w:color w:val="auto"/>
        </w:rPr>
      </w:pPr>
    </w:p>
    <w:p>
      <w:pPr>
        <w:ind w:firstLine="757"/>
        <w:spacing w:after="0"/>
        <w:tabs>
          <w:tab w:leader="none" w:pos="1498"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Equity Participation: </w:t>
      </w:r>
      <w:r>
        <w:rPr>
          <w:rFonts w:ascii="Times New Roman" w:cs="Times New Roman" w:eastAsia="Times New Roman" w:hAnsi="Times New Roman"/>
          <w:sz w:val="22"/>
          <w:szCs w:val="22"/>
          <w:color w:val="auto"/>
        </w:rPr>
        <w:t>Subject to the approval of the Company’s Board of Directors, and subject to the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conditions set forth in Amarin Corporation plc’s 2020 Stock Incentive Plan and the applicable equity award agreements (collectively, the “Equity Documents”), including, without limitation, with respect to vesting, following the Start Date you will be awarded (i) an option to purchase </w:t>
      </w:r>
      <w:r>
        <w:rPr>
          <w:rFonts w:ascii="Times New Roman" w:cs="Times New Roman" w:eastAsia="Times New Roman" w:hAnsi="Times New Roman"/>
          <w:sz w:val="22"/>
          <w:szCs w:val="22"/>
          <w:b w:val="1"/>
          <w:bCs w:val="1"/>
          <w:color w:val="auto"/>
        </w:rPr>
        <w:t>100,000</w:t>
      </w:r>
      <w:r>
        <w:rPr>
          <w:rFonts w:ascii="Times New Roman" w:cs="Times New Roman" w:eastAsia="Times New Roman" w:hAnsi="Times New Roman"/>
          <w:sz w:val="22"/>
          <w:szCs w:val="22"/>
          <w:color w:val="auto"/>
        </w:rPr>
        <w:t xml:space="preserve"> of the Company’s ordinary shares, which will have an exercise price equal to the closing market price on date of grant (the “Option”) and be subject to time-based vesting, (ii) </w:t>
      </w:r>
      <w:r>
        <w:rPr>
          <w:rFonts w:ascii="Times New Roman" w:cs="Times New Roman" w:eastAsia="Times New Roman" w:hAnsi="Times New Roman"/>
          <w:sz w:val="22"/>
          <w:szCs w:val="22"/>
          <w:b w:val="1"/>
          <w:bCs w:val="1"/>
          <w:color w:val="auto"/>
        </w:rPr>
        <w:t>100,000</w:t>
      </w:r>
      <w:r>
        <w:rPr>
          <w:rFonts w:ascii="Times New Roman" w:cs="Times New Roman" w:eastAsia="Times New Roman" w:hAnsi="Times New Roman"/>
          <w:sz w:val="22"/>
          <w:szCs w:val="22"/>
          <w:color w:val="auto"/>
        </w:rPr>
        <w:t xml:space="preserve"> restricted stock units (“RSUs”) subject to time-based vesting, and (iii) </w:t>
      </w:r>
      <w:r>
        <w:rPr>
          <w:rFonts w:ascii="Times New Roman" w:cs="Times New Roman" w:eastAsia="Times New Roman" w:hAnsi="Times New Roman"/>
          <w:sz w:val="22"/>
          <w:szCs w:val="22"/>
          <w:b w:val="1"/>
          <w:bCs w:val="1"/>
          <w:color w:val="auto"/>
        </w:rPr>
        <w:t>100,000</w:t>
      </w:r>
      <w:r>
        <w:rPr>
          <w:rFonts w:ascii="Times New Roman" w:cs="Times New Roman" w:eastAsia="Times New Roman" w:hAnsi="Times New Roman"/>
          <w:sz w:val="22"/>
          <w:szCs w:val="22"/>
          <w:color w:val="auto"/>
        </w:rPr>
        <w:t xml:space="preserve"> RSUs subject to performance-based milestones which will be sent to you separately.</w:t>
      </w:r>
    </w:p>
    <w:p>
      <w:pPr>
        <w:spacing w:after="0" w:line="173" w:lineRule="exact"/>
        <w:rPr>
          <w:rFonts w:ascii="Times New Roman" w:cs="Times New Roman" w:eastAsia="Times New Roman" w:hAnsi="Times New Roman"/>
          <w:sz w:val="22"/>
          <w:szCs w:val="22"/>
          <w:color w:val="010000"/>
        </w:rPr>
      </w:pPr>
    </w:p>
    <w:p>
      <w:pPr>
        <w:ind w:right="80" w:firstLine="757"/>
        <w:spacing w:after="0" w:line="242" w:lineRule="auto"/>
        <w:tabs>
          <w:tab w:leader="none" w:pos="1498"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At-will Employment, Accrued Obligations: </w:t>
      </w:r>
      <w:r>
        <w:rPr>
          <w:rFonts w:ascii="Times New Roman" w:cs="Times New Roman" w:eastAsia="Times New Roman" w:hAnsi="Times New Roman"/>
          <w:sz w:val="22"/>
          <w:szCs w:val="22"/>
          <w:color w:val="auto"/>
        </w:rPr>
        <w:t>Your employment is “at will” meaning you or the Company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 it at any time for any or no reason. Similarly, the terms of employment outlined in this Agreement are subject to change at any time. The last date of your employment with the Company is referred to herein as the “Date of Termination.” In the event of the termination of your employment for any reason, the Company shall pay you the “Accrued Obligations,” defined as (i) your Base Salary through the Date of Termination, (ii) an amount equal to the value of your accrued unused paid time off days, if any, and (iii) the amount of any business expenses properly incurred by you on behalf of the Company prior to any such termination and not yet reimbursed, if any.</w:t>
      </w:r>
    </w:p>
    <w:p>
      <w:pPr>
        <w:spacing w:after="0" w:line="171" w:lineRule="exact"/>
        <w:rPr>
          <w:rFonts w:ascii="Times New Roman" w:cs="Times New Roman" w:eastAsia="Times New Roman" w:hAnsi="Times New Roman"/>
          <w:sz w:val="22"/>
          <w:szCs w:val="22"/>
          <w:color w:val="010000"/>
        </w:rPr>
      </w:pPr>
    </w:p>
    <w:p>
      <w:pPr>
        <w:ind w:right="820" w:firstLine="757"/>
        <w:spacing w:after="0" w:line="299" w:lineRule="auto"/>
        <w:tabs>
          <w:tab w:leader="none" w:pos="1498" w:val="left"/>
        </w:tabs>
        <w:numPr>
          <w:ilvl w:val="0"/>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Severance Benefits</w:t>
      </w:r>
      <w:r>
        <w:rPr>
          <w:rFonts w:ascii="Times New Roman" w:cs="Times New Roman" w:eastAsia="Times New Roman" w:hAnsi="Times New Roman"/>
          <w:sz w:val="21"/>
          <w:szCs w:val="21"/>
          <w:color w:val="auto"/>
        </w:rPr>
        <w:t>: As a Senior Vice President, you are an “Eligible Executive” under the Company’s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Severance and Change in Control Plan, effective as of January 28, 2021 (the “Severance Plan”).</w:t>
      </w:r>
    </w:p>
    <w:p>
      <w:pPr>
        <w:spacing w:after="0" w:line="113" w:lineRule="exact"/>
        <w:rPr>
          <w:rFonts w:ascii="Times New Roman" w:cs="Times New Roman" w:eastAsia="Times New Roman" w:hAnsi="Times New Roman"/>
          <w:sz w:val="21"/>
          <w:szCs w:val="21"/>
          <w:color w:val="010000"/>
        </w:rPr>
      </w:pPr>
    </w:p>
    <w:p>
      <w:pPr>
        <w:ind w:right="20" w:firstLine="757"/>
        <w:spacing w:after="0" w:line="250" w:lineRule="auto"/>
        <w:tabs>
          <w:tab w:leader="none" w:pos="1498" w:val="left"/>
        </w:tabs>
        <w:numPr>
          <w:ilvl w:val="0"/>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 xml:space="preserve">Taxes; Section 409A: </w:t>
      </w:r>
      <w:r>
        <w:rPr>
          <w:rFonts w:ascii="Times New Roman" w:cs="Times New Roman" w:eastAsia="Times New Roman" w:hAnsi="Times New Roman"/>
          <w:sz w:val="21"/>
          <w:szCs w:val="21"/>
          <w:color w:val="auto"/>
        </w:rPr>
        <w:t>All forms of compensation referred to in this Agreement are subject to reduction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reflect applicable withholdings and payroll taxes and other deductions required by law. You hereby acknowledge that the Company does not have a duty to design its compensation policies in a manner that minimizes tax liabilities. 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 The parties intend that this Agreement will be administered to comply with or satisfy an exemption from Section 409A of</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alibri" w:cs="Calibri" w:eastAsia="Calibri" w:hAnsi="Calibri"/>
          <w:sz w:val="14"/>
          <w:szCs w:val="14"/>
          <w:color w:val="auto"/>
        </w:rPr>
        <w:t>ACTIVE/118287602.1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2342515</wp:posOffset>
            </wp:positionH>
            <wp:positionV relativeFrom="page">
              <wp:posOffset>88900</wp:posOffset>
            </wp:positionV>
            <wp:extent cx="2837180" cy="5568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2837180" cy="556895"/>
                    </a:xfrm>
                    <a:prstGeom prst="rect">
                      <a:avLst/>
                    </a:prstGeom>
                    <a:noFill/>
                  </pic:spPr>
                </pic:pic>
              </a:graphicData>
            </a:graphic>
          </wp:anchor>
        </w:drawing>
      </w:r>
    </w:p>
    <w:p>
      <w:pPr>
        <w:ind w:right="160"/>
        <w:spacing w:after="0" w:line="258" w:lineRule="auto"/>
        <w:rPr>
          <w:sz w:val="20"/>
          <w:szCs w:val="20"/>
          <w:color w:val="auto"/>
        </w:rPr>
      </w:pPr>
      <w:r>
        <w:rPr>
          <w:rFonts w:ascii="Times New Roman" w:cs="Times New Roman" w:eastAsia="Times New Roman" w:hAnsi="Times New Roman"/>
          <w:sz w:val="22"/>
          <w:szCs w:val="22"/>
          <w:color w:val="auto"/>
        </w:rPr>
        <w:t>the Code. To the extent that any provision of this Agreement is ambiguous as to its compliance with Section 409A of the Code, the provision shall be read in such a manner so that all payments hereunder comply with Section 409A of the Code.</w:t>
      </w:r>
    </w:p>
    <w:p>
      <w:pPr>
        <w:spacing w:after="0" w:line="168" w:lineRule="exact"/>
        <w:rPr>
          <w:sz w:val="20"/>
          <w:szCs w:val="20"/>
          <w:color w:val="auto"/>
        </w:rPr>
      </w:pPr>
    </w:p>
    <w:p>
      <w:pPr>
        <w:ind w:right="20" w:firstLine="757"/>
        <w:spacing w:after="0" w:line="241" w:lineRule="auto"/>
        <w:tabs>
          <w:tab w:leader="none" w:pos="1498"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Nondisclosure, Developments and Noncompetition Agreement</w:t>
      </w:r>
      <w:r>
        <w:rPr>
          <w:rFonts w:ascii="Times New Roman" w:cs="Times New Roman" w:eastAsia="Times New Roman" w:hAnsi="Times New Roman"/>
          <w:sz w:val="22"/>
          <w:szCs w:val="22"/>
          <w:color w:val="auto"/>
        </w:rPr>
        <w:t>. As a condition of your employment, you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enter into the enclosed Nondisclosure, Developments and Noncompetition Agreement, the terms of which are incorporated by reference into this Agreement; provided, however, and notwithstanding anything to the contrary in the Nondisclosure, Developments and Noncompetition Agreement, it will not be enforced in a way that would prevent you from practicing law.</w:t>
      </w:r>
    </w:p>
    <w:p>
      <w:pPr>
        <w:spacing w:after="0" w:line="187" w:lineRule="exact"/>
        <w:rPr>
          <w:rFonts w:ascii="Times New Roman" w:cs="Times New Roman" w:eastAsia="Times New Roman" w:hAnsi="Times New Roman"/>
          <w:sz w:val="22"/>
          <w:szCs w:val="22"/>
          <w:color w:val="010000"/>
        </w:rPr>
      </w:pPr>
    </w:p>
    <w:p>
      <w:pPr>
        <w:ind w:firstLine="757"/>
        <w:spacing w:after="0"/>
        <w:tabs>
          <w:tab w:leader="none" w:pos="1498"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Representation Regarding Other Obligations: </w:t>
      </w:r>
      <w:r>
        <w:rPr>
          <w:rFonts w:ascii="Times New Roman" w:cs="Times New Roman" w:eastAsia="Times New Roman" w:hAnsi="Times New Roman"/>
          <w:sz w:val="22"/>
          <w:szCs w:val="22"/>
          <w:color w:val="auto"/>
        </w:rPr>
        <w:t>This offer is conditioned on your representation that you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subject to any confidentiality, noncompetition agreement or any other similar type of restriction that may affect your ability to devote full time and attention to your work at the Company. If you have entered into any agreement that may restrict your activities on behalf of the Company, please provide me with a copy of the agreement as soon as possible. You agree that in your work for the Company, you will not disclose or make use of any information in violation of any agreements with or rights of any such previous employer or other party, and you will not bring to the premises of the Company any copies or other tangible embodiments of non-public information belonging to or obtained from any such previous employment or other party.</w:t>
      </w:r>
    </w:p>
    <w:p>
      <w:pPr>
        <w:spacing w:after="0" w:line="173" w:lineRule="exact"/>
        <w:rPr>
          <w:rFonts w:ascii="Times New Roman" w:cs="Times New Roman" w:eastAsia="Times New Roman" w:hAnsi="Times New Roman"/>
          <w:sz w:val="22"/>
          <w:szCs w:val="22"/>
          <w:color w:val="010000"/>
        </w:rPr>
      </w:pPr>
    </w:p>
    <w:p>
      <w:pPr>
        <w:ind w:right="120" w:firstLine="757"/>
        <w:spacing w:after="0" w:line="249" w:lineRule="auto"/>
        <w:tabs>
          <w:tab w:leader="none" w:pos="1498"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Other Conditions: </w:t>
      </w:r>
      <w:r>
        <w:rPr>
          <w:rFonts w:ascii="Times New Roman" w:cs="Times New Roman" w:eastAsia="Times New Roman" w:hAnsi="Times New Roman"/>
          <w:sz w:val="22"/>
          <w:szCs w:val="22"/>
          <w:color w:val="auto"/>
        </w:rPr>
        <w:t>The Company’s offer of employment is contingent on the completion of references checks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 background investigation that are satisfactory to the Company (as determined by the Company), your submission of satisfactory proof of your identity and your legal authorization to work in the United States, and a satisfactory Company-paid initial-employment drug screen, in each case to the extent not already completed.</w:t>
      </w:r>
    </w:p>
    <w:p>
      <w:pPr>
        <w:spacing w:after="0" w:line="165" w:lineRule="exact"/>
        <w:rPr>
          <w:rFonts w:ascii="Times New Roman" w:cs="Times New Roman" w:eastAsia="Times New Roman" w:hAnsi="Times New Roman"/>
          <w:sz w:val="22"/>
          <w:szCs w:val="22"/>
          <w:color w:val="010000"/>
        </w:rPr>
      </w:pPr>
    </w:p>
    <w:p>
      <w:pPr>
        <w:ind w:firstLine="757"/>
        <w:spacing w:after="0" w:line="239" w:lineRule="auto"/>
        <w:tabs>
          <w:tab w:leader="none" w:pos="1498"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Entire Agreement, Amendment and Enforcement: </w:t>
      </w:r>
      <w:r>
        <w:rPr>
          <w:rFonts w:ascii="Times New Roman" w:cs="Times New Roman" w:eastAsia="Times New Roman" w:hAnsi="Times New Roman"/>
          <w:sz w:val="22"/>
          <w:szCs w:val="22"/>
          <w:color w:val="auto"/>
        </w:rPr>
        <w:t>This Agreement, together with the Nondisclosure,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Developments and Noncompetition Agreement and the Equity Documents, constitutes the complete agreement between you and the Company, contains all of the terms of your employment with the Company and supersedes any prior agreements, representations or understandings (whether written, oral or implied) between you and the Company. This Agreement may be amended or modified only by a written instrument signed by you and by a duly authorized representative of the Company. The terms of this Agreement and the resolution of any disputes as to the meaning, effect, performance or validity of this Agreement or arising out of, related to, or in any way connected with, this Agreement, your employment with the Company or any other relationship between you and the Company (the “Disputes”) will be governed by the laws of the State of New Jersey, excluding laws relating to conflicts or choice of law. You and the Company submit to the exclusive personal jurisdiction of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alibri" w:cs="Calibri" w:eastAsia="Calibri" w:hAnsi="Calibri"/>
          <w:sz w:val="14"/>
          <w:szCs w:val="14"/>
          <w:color w:val="auto"/>
        </w:rPr>
        <w:t>ACTIVE/118287602.1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394335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3" w:name="page94"/>
    <w:bookmarkEnd w:id="93"/>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2342515</wp:posOffset>
            </wp:positionH>
            <wp:positionV relativeFrom="page">
              <wp:posOffset>88900</wp:posOffset>
            </wp:positionV>
            <wp:extent cx="2837180" cy="5568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2837180" cy="5568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the federal and state courts located in the State of New Jersey in connection with any Dispute or any claim related to any Dispute.</w:t>
      </w:r>
    </w:p>
    <w:p>
      <w:pPr>
        <w:spacing w:after="0" w:line="214" w:lineRule="exact"/>
        <w:rPr>
          <w:sz w:val="20"/>
          <w:szCs w:val="20"/>
          <w:color w:val="auto"/>
        </w:rPr>
      </w:pPr>
    </w:p>
    <w:p>
      <w:pPr>
        <w:ind w:right="20" w:firstLine="757"/>
        <w:spacing w:after="0" w:line="242" w:lineRule="auto"/>
        <w:tabs>
          <w:tab w:leader="none" w:pos="1498"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Assignment: </w:t>
      </w:r>
      <w:r>
        <w:rPr>
          <w:rFonts w:ascii="Times New Roman" w:cs="Times New Roman" w:eastAsia="Times New Roman" w:hAnsi="Times New Roman"/>
          <w:sz w:val="22"/>
          <w:szCs w:val="22"/>
          <w:color w:val="auto"/>
        </w:rPr>
        <w:t>Neither you nor the Company may make any assignment of this Agreement or any interest in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operation of law or otherwise, without the prior written consent of the other; provided, however, that the Company may assign its rights and obligations under this Agreement without your consent to one of its affiliates or to any person with whom the Company shall hereafter effect a reorganization, consolidate with, or merge into or to whom it transfers all or substantially all of its properties or assets. This Agreement shall inure to the benefit of and be binding upon you and the Company, and each of our respective successors, executors, administrators, heirs and permitted assigns.</w:t>
      </w:r>
    </w:p>
    <w:p>
      <w:pPr>
        <w:spacing w:after="0" w:line="183" w:lineRule="exact"/>
        <w:rPr>
          <w:rFonts w:ascii="Times New Roman" w:cs="Times New Roman" w:eastAsia="Times New Roman" w:hAnsi="Times New Roman"/>
          <w:sz w:val="22"/>
          <w:szCs w:val="22"/>
          <w:color w:val="010000"/>
        </w:rPr>
      </w:pPr>
    </w:p>
    <w:p>
      <w:pPr>
        <w:ind w:right="280" w:firstLine="757"/>
        <w:spacing w:after="0" w:line="260" w:lineRule="auto"/>
        <w:tabs>
          <w:tab w:leader="none" w:pos="1498" w:val="left"/>
        </w:tabs>
        <w:numPr>
          <w:ilvl w:val="0"/>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 xml:space="preserve">Severability. </w:t>
      </w:r>
      <w:r>
        <w:rPr>
          <w:rFonts w:ascii="Times New Roman" w:cs="Times New Roman" w:eastAsia="Times New Roman" w:hAnsi="Times New Roman"/>
          <w:sz w:val="21"/>
          <w:szCs w:val="21"/>
          <w:color w:val="auto"/>
        </w:rPr>
        <w:t>If any portion or provision of this Agreement shall to any extent be declared illegal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55" w:lineRule="exact"/>
        <w:rPr>
          <w:rFonts w:ascii="Times New Roman" w:cs="Times New Roman" w:eastAsia="Times New Roman" w:hAnsi="Times New Roman"/>
          <w:sz w:val="21"/>
          <w:szCs w:val="21"/>
          <w:color w:val="010000"/>
        </w:rPr>
      </w:pPr>
    </w:p>
    <w:p>
      <w:pPr>
        <w:ind w:right="120" w:firstLine="757"/>
        <w:spacing w:after="0" w:line="252" w:lineRule="auto"/>
        <w:tabs>
          <w:tab w:leader="none" w:pos="1498"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separate counterparts. When both counterparts are signed,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they shall be treated together as one and the same document. PDF copies of signed counterparts shall be equally effective as originals.</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alibri" w:cs="Calibri" w:eastAsia="Calibri" w:hAnsi="Calibri"/>
          <w:sz w:val="14"/>
          <w:szCs w:val="14"/>
          <w:color w:val="auto"/>
        </w:rPr>
        <w:t>ACTIVE/118287602.1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4" w:name="page95"/>
    <w:bookmarkEnd w:id="94"/>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2342515</wp:posOffset>
            </wp:positionH>
            <wp:positionV relativeFrom="page">
              <wp:posOffset>88900</wp:posOffset>
            </wp:positionV>
            <wp:extent cx="2837180" cy="5568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2837180" cy="556895"/>
                    </a:xfrm>
                    <a:prstGeom prst="rect">
                      <a:avLst/>
                    </a:prstGeom>
                    <a:noFill/>
                  </pic:spPr>
                </pic:pic>
              </a:graphicData>
            </a:graphic>
          </wp:anchor>
        </w:drawing>
      </w:r>
    </w:p>
    <w:p>
      <w:pPr>
        <w:ind w:firstLine="749"/>
        <w:spacing w:after="0" w:line="268" w:lineRule="auto"/>
        <w:rPr>
          <w:sz w:val="20"/>
          <w:szCs w:val="20"/>
          <w:color w:val="auto"/>
        </w:rPr>
      </w:pPr>
      <w:r>
        <w:rPr>
          <w:rFonts w:ascii="Times New Roman" w:cs="Times New Roman" w:eastAsia="Times New Roman" w:hAnsi="Times New Roman"/>
          <w:sz w:val="21"/>
          <w:szCs w:val="21"/>
          <w:color w:val="auto"/>
        </w:rPr>
        <w:t>We are excited about the opportunity to work with you at Amarin. If you have any questions about this information, please do not hesitate to call. Otherwise, please confirm your acceptance of this offer of employment by signing this Agreement and the Nondisclosure, Developments and Noncompetition Agreement and returning both to me no later than May 27,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Signed for and on behalf 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AMARIN CORPORATION PLC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Signed: </w:t>
      </w:r>
      <w:r>
        <w:rPr>
          <w:rFonts w:ascii="Times New Roman" w:cs="Times New Roman" w:eastAsia="Times New Roman" w:hAnsi="Times New Roman"/>
          <w:sz w:val="22"/>
          <w:szCs w:val="22"/>
          <w:i w:val="1"/>
          <w:iCs w:val="1"/>
          <w:color w:val="auto"/>
        </w:rPr>
        <w:t>/s/ Karim Mikhail</w:t>
      </w:r>
    </w:p>
    <w:p>
      <w:pPr>
        <w:spacing w:after="0" w:line="1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i w:val="1"/>
          <w:iCs w:val="1"/>
          <w:color w:val="auto"/>
        </w:rPr>
        <w:t>Name:</w:t>
      </w:r>
      <w:r>
        <w:rPr>
          <w:sz w:val="20"/>
          <w:szCs w:val="20"/>
          <w:color w:val="auto"/>
        </w:rPr>
        <w:tab/>
      </w:r>
      <w:r>
        <w:rPr>
          <w:rFonts w:ascii="Times New Roman" w:cs="Times New Roman" w:eastAsia="Times New Roman" w:hAnsi="Times New Roman"/>
          <w:sz w:val="22"/>
          <w:szCs w:val="22"/>
          <w:color w:val="auto"/>
        </w:rPr>
        <w:t>Karim Mikhail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Title: </w:t>
      </w: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Dated: </w:t>
      </w:r>
      <w:r>
        <w:rPr>
          <w:rFonts w:ascii="Times New Roman" w:cs="Times New Roman" w:eastAsia="Times New Roman" w:hAnsi="Times New Roman"/>
          <w:sz w:val="22"/>
          <w:szCs w:val="22"/>
          <w:color w:val="auto"/>
        </w:rPr>
        <w:t>May 27, 2022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Signed: </w:t>
      </w:r>
      <w:r>
        <w:rPr>
          <w:rFonts w:ascii="Times New Roman" w:cs="Times New Roman" w:eastAsia="Times New Roman" w:hAnsi="Times New Roman"/>
          <w:sz w:val="22"/>
          <w:szCs w:val="22"/>
          <w:i w:val="1"/>
          <w:iCs w:val="1"/>
          <w:color w:val="auto"/>
        </w:rPr>
        <w:t>/s/ Thomas Reilly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Name: </w:t>
      </w:r>
      <w:r>
        <w:rPr>
          <w:rFonts w:ascii="Times New Roman" w:cs="Times New Roman" w:eastAsia="Times New Roman" w:hAnsi="Times New Roman"/>
          <w:sz w:val="22"/>
          <w:szCs w:val="22"/>
          <w:color w:val="auto"/>
        </w:rPr>
        <w:t>Thomas Reilly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Dated: </w:t>
      </w:r>
      <w:r>
        <w:rPr>
          <w:rFonts w:ascii="Times New Roman" w:cs="Times New Roman" w:eastAsia="Times New Roman" w:hAnsi="Times New Roman"/>
          <w:sz w:val="22"/>
          <w:szCs w:val="22"/>
          <w:color w:val="auto"/>
        </w:rPr>
        <w:t>May 27, 2022</w:t>
      </w:r>
    </w:p>
    <w:p>
      <w:pPr>
        <w:spacing w:after="0" w:line="39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Enclosures:</w:t>
        <w:tab/>
        <w:t>Attachment A</w:t>
      </w:r>
    </w:p>
    <w:p>
      <w:pPr>
        <w:spacing w:after="0" w:line="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Nondisclosure, Developments and Noncompetition Agreement</w:t>
      </w:r>
    </w:p>
    <w:p>
      <w:pPr>
        <w:spacing w:after="0" w:line="397" w:lineRule="exact"/>
        <w:rPr>
          <w:sz w:val="20"/>
          <w:szCs w:val="20"/>
          <w:color w:val="auto"/>
        </w:rPr>
      </w:pPr>
    </w:p>
    <w:p>
      <w:pPr>
        <w:spacing w:after="0"/>
        <w:rPr>
          <w:sz w:val="20"/>
          <w:szCs w:val="20"/>
          <w:color w:val="auto"/>
        </w:rPr>
      </w:pPr>
      <w:r>
        <w:rPr>
          <w:rFonts w:ascii="Calibri" w:cs="Calibri" w:eastAsia="Calibri" w:hAnsi="Calibri"/>
          <w:sz w:val="14"/>
          <w:szCs w:val="14"/>
          <w:color w:val="auto"/>
        </w:rPr>
        <w:t>ACTIVE/118287602.1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394335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95" w:name="page96"/>
    <w:bookmarkEnd w:id="95"/>
    <w:p>
      <w:pPr>
        <w:spacing w:after="0"/>
        <w:rPr>
          <w:sz w:val="20"/>
          <w:szCs w:val="20"/>
          <w:color w:val="auto"/>
        </w:rPr>
      </w:pPr>
      <w:r>
        <w:rPr>
          <w:rFonts w:ascii="Calibri" w:cs="Calibri" w:eastAsia="Calibri" w:hAnsi="Calibri"/>
          <w:sz w:val="20"/>
          <w:szCs w:val="20"/>
          <w:b w:val="1"/>
          <w:bCs w:val="1"/>
          <w:color w:val="1C355E"/>
        </w:rPr>
        <w:drawing>
          <wp:anchor simplePos="0" relativeHeight="251657728" behindDoc="1" locked="0" layoutInCell="0" allowOverlap="1">
            <wp:simplePos x="0" y="0"/>
            <wp:positionH relativeFrom="page">
              <wp:posOffset>208280</wp:posOffset>
            </wp:positionH>
            <wp:positionV relativeFrom="page">
              <wp:posOffset>88900</wp:posOffset>
            </wp:positionV>
            <wp:extent cx="342900" cy="3429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342900" cy="342900"/>
                    </a:xfrm>
                    <a:prstGeom prst="rect">
                      <a:avLst/>
                    </a:prstGeom>
                    <a:noFill/>
                  </pic:spPr>
                </pic:pic>
              </a:graphicData>
            </a:graphic>
          </wp:anchor>
        </w:drawing>
        <w:t>Amarin Pharma, Inc.</w:t>
      </w:r>
    </w:p>
    <w:p>
      <w:pPr>
        <w:spacing w:after="0" w:line="222" w:lineRule="auto"/>
        <w:rPr>
          <w:sz w:val="20"/>
          <w:szCs w:val="20"/>
          <w:color w:val="auto"/>
        </w:rPr>
      </w:pPr>
      <w:r>
        <w:rPr>
          <w:rFonts w:ascii="Calibri" w:cs="Calibri" w:eastAsia="Calibri" w:hAnsi="Calibri"/>
          <w:sz w:val="16"/>
          <w:szCs w:val="16"/>
          <w:color w:val="1C355E"/>
        </w:rPr>
        <w:t>440 Route 22, Suite 300</w:t>
      </w:r>
    </w:p>
    <w:p>
      <w:pPr>
        <w:spacing w:after="0" w:line="216" w:lineRule="auto"/>
        <w:rPr>
          <w:sz w:val="20"/>
          <w:szCs w:val="20"/>
          <w:color w:val="auto"/>
        </w:rPr>
      </w:pPr>
      <w:r>
        <w:rPr>
          <w:rFonts w:ascii="Calibri" w:cs="Calibri" w:eastAsia="Calibri" w:hAnsi="Calibri"/>
          <w:sz w:val="16"/>
          <w:szCs w:val="16"/>
          <w:color w:val="1C355E"/>
        </w:rPr>
        <w:t>Bridgewater, NJ 08807</w:t>
      </w:r>
    </w:p>
    <w:p>
      <w:pPr>
        <w:spacing w:after="0" w:line="21" w:lineRule="exact"/>
        <w:rPr>
          <w:sz w:val="20"/>
          <w:szCs w:val="20"/>
          <w:color w:val="auto"/>
        </w:rPr>
      </w:pPr>
    </w:p>
    <w:p>
      <w:pPr>
        <w:spacing w:after="0"/>
        <w:rPr>
          <w:sz w:val="20"/>
          <w:szCs w:val="20"/>
          <w:color w:val="auto"/>
        </w:rPr>
      </w:pPr>
      <w:r>
        <w:rPr>
          <w:rFonts w:ascii="Calibri" w:cs="Calibri" w:eastAsia="Calibri" w:hAnsi="Calibri"/>
          <w:sz w:val="16"/>
          <w:szCs w:val="16"/>
          <w:color w:val="1C355E"/>
        </w:rPr>
        <w:t>(908)719-1315</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Calibri" w:cs="Calibri" w:eastAsia="Calibri" w:hAnsi="Calibri"/>
          <w:sz w:val="18"/>
          <w:szCs w:val="18"/>
          <w:b w:val="1"/>
          <w:bCs w:val="1"/>
          <w:color w:val="auto"/>
        </w:rPr>
        <w:t>Exhibit 10.5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6, 2022 (Revised)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Mr. Michael W. Kalb</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24 Lucille Lane</w:t>
      </w:r>
    </w:p>
    <w:p>
      <w:pPr>
        <w:spacing w:after="0"/>
        <w:rPr>
          <w:sz w:val="20"/>
          <w:szCs w:val="20"/>
          <w:color w:val="auto"/>
        </w:rPr>
      </w:pPr>
      <w:r>
        <w:rPr>
          <w:rFonts w:ascii="Times New Roman" w:cs="Times New Roman" w:eastAsia="Times New Roman" w:hAnsi="Times New Roman"/>
          <w:sz w:val="20"/>
          <w:szCs w:val="20"/>
          <w:color w:val="auto"/>
        </w:rPr>
        <w:t>Dix Hills, NY 11746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 </w:t>
      </w:r>
      <w:r>
        <w:rPr>
          <w:rFonts w:ascii="Times New Roman" w:cs="Times New Roman" w:eastAsia="Times New Roman" w:hAnsi="Times New Roman"/>
          <w:sz w:val="20"/>
          <w:szCs w:val="20"/>
          <w:b w:val="1"/>
          <w:bCs w:val="1"/>
          <w:color w:val="auto"/>
        </w:rPr>
        <w:t>Transition and Separation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Mike:</w:t>
      </w:r>
    </w:p>
    <w:p>
      <w:pPr>
        <w:spacing w:after="0" w:line="20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This follows up on our recent discussions regarding your employment at Amarin Corporation, plc. (the "Company"). Per those discussions, you and the Company have agreed that your employment with the Company will end after a transition period, unless sooner terminated in accordance with the terms set forth below. We appreciate your service and contributions and wish to make this transition as smooth as possible. This letter sets forth the terms of a Transition and Separation Agreement (the "Agreement") that the Company is offering to you to assist in your employment transition. As you know, you are an “Eligible Executive” under the Amarin Corporation plc Executive Severance and Change of Control Plan effective as of January 28, 2021 (the “Plan”). If you enter into, do not revoke and comply with this Agreement (including, without limitation, the Conditions set forth below), then the Company will treat the ending of your employment as a termination by the Company without Cause outside of the Change of Control Period (as such terms are defined in the Plan) under Section 3 of the Plan. This Agreement is the “separation agreement and release” described in Section 3 of the Plan. The terms and conditions under this Agreement shall be in lieu of, and not in addition to, the payments and benefits set forth in any other plan or agreement and shall be subject to approval by the Board of Directors.</w:t>
      </w:r>
    </w:p>
    <w:p>
      <w:pPr>
        <w:spacing w:after="0" w:line="190" w:lineRule="exact"/>
        <w:rPr>
          <w:sz w:val="20"/>
          <w:szCs w:val="20"/>
          <w:color w:val="auto"/>
        </w:rPr>
      </w:pPr>
    </w:p>
    <w:p>
      <w:pPr>
        <w:ind w:left="760" w:hanging="752"/>
        <w:spacing w:after="0"/>
        <w:tabs>
          <w:tab w:leader="none" w:pos="76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Date of Termination</w:t>
      </w:r>
    </w:p>
    <w:p>
      <w:pPr>
        <w:spacing w:after="0" w:line="219" w:lineRule="exact"/>
        <w:rPr>
          <w:rFonts w:ascii="Times New Roman" w:cs="Times New Roman" w:eastAsia="Times New Roman" w:hAnsi="Times New Roman"/>
          <w:sz w:val="20"/>
          <w:szCs w:val="20"/>
          <w:b w:val="1"/>
          <w:bCs w:val="1"/>
          <w:color w:val="auto"/>
        </w:rPr>
      </w:pPr>
    </w:p>
    <w:p>
      <w:pPr>
        <w:ind w:left="760" w:right="20" w:firstLine="745"/>
        <w:spacing w:after="0" w:line="242" w:lineRule="auto"/>
        <w:tabs>
          <w:tab w:leader="none" w:pos="1904"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and the Company have agreed that pursuant to this Agreement your employment with the Company will end on August 1, 2022 unless it is terminated on an earlier date by you (because you resign) or by the Company with Cause (as Cause is defined in the Plan). For purposes of this Agreement, the last actual day of your employment, whether it is August 1, 2022 or an earlier date, shall be referred to in this document as the “Date of Termination.” The time period between June 2, 2022 and the Date of Termination shall be referred to herein as the “Transition Period.” If you secure alternative employment or you begin performing consulting services for another person or entity prior to August 1, 2022, you must notify the Company of such arrangement and you must resign from your employment effective immediately.</w:t>
      </w:r>
    </w:p>
    <w:p>
      <w:pPr>
        <w:spacing w:after="0" w:line="185" w:lineRule="exact"/>
        <w:rPr>
          <w:rFonts w:ascii="Times New Roman" w:cs="Times New Roman" w:eastAsia="Times New Roman" w:hAnsi="Times New Roman"/>
          <w:sz w:val="20"/>
          <w:szCs w:val="20"/>
          <w:color w:val="auto"/>
        </w:rPr>
      </w:pPr>
    </w:p>
    <w:p>
      <w:pPr>
        <w:ind w:left="760" w:right="260" w:firstLine="745"/>
        <w:spacing w:after="0" w:line="244" w:lineRule="auto"/>
        <w:tabs>
          <w:tab w:leader="none" w:pos="1904"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Regardless of whether you enter into this Agreement, the Company will provide you with the following “Accrued Obligations” in connection with the ending of your employment: (i) your base salary through the Date of Termination, (ii) an amount equal to the value of your 17 accrued unused paid time off days through the date of this letter, and (iii) the amount of any business expenses properly incurred by you on behalf of the Company prior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822960"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8229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60"/>
        <w:spacing w:after="0" w:line="222" w:lineRule="auto"/>
        <w:rPr>
          <w:sz w:val="20"/>
          <w:szCs w:val="20"/>
          <w:color w:val="auto"/>
        </w:rPr>
      </w:pPr>
      <w:r>
        <w:rPr>
          <w:rFonts w:ascii="Calibri" w:cs="Calibri" w:eastAsia="Calibri" w:hAnsi="Calibri"/>
          <w:sz w:val="11"/>
          <w:szCs w:val="11"/>
          <w:color w:val="auto"/>
        </w:rPr>
        <w:t>This communicaton and the informaton it contains are intended for the person(s) or organizaton(s) named above and for no other person or organizaton and may be confdental and protected by law. Unauthorized use, copying or disclosure of any part is strictly prohibited and may be unlawful.</w:t>
      </w:r>
    </w:p>
    <w:p>
      <w:pPr>
        <w:spacing w:after="0" w:line="190" w:lineRule="exact"/>
        <w:rPr>
          <w:sz w:val="20"/>
          <w:szCs w:val="20"/>
          <w:color w:val="auto"/>
        </w:rPr>
      </w:pPr>
    </w:p>
    <w:p>
      <w:pPr>
        <w:spacing w:after="0"/>
        <w:rPr>
          <w:sz w:val="20"/>
          <w:szCs w:val="20"/>
          <w:color w:val="auto"/>
        </w:rPr>
      </w:pPr>
      <w:r>
        <w:rPr>
          <w:rFonts w:ascii="Calibri" w:cs="Calibri" w:eastAsia="Calibri" w:hAnsi="Calibri"/>
          <w:sz w:val="11"/>
          <w:szCs w:val="11"/>
          <w:color w:val="auto"/>
        </w:rPr>
        <w:t>Amarin 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2" w:right="339" w:bottom="1440" w:gutter="0" w:footer="0" w:header="0"/>
        </w:sectPr>
      </w:pPr>
    </w:p>
    <w:bookmarkStart w:id="96" w:name="page97"/>
    <w:bookmarkEnd w:id="96"/>
    <w:p>
      <w:pPr>
        <w:spacing w:after="0"/>
        <w:rPr>
          <w:sz w:val="20"/>
          <w:szCs w:val="20"/>
          <w:color w:val="auto"/>
        </w:rPr>
      </w:pPr>
      <w:r>
        <w:rPr>
          <w:rFonts w:ascii="Calibri" w:cs="Calibri" w:eastAsia="Calibri" w:hAnsi="Calibri"/>
          <w:sz w:val="20"/>
          <w:szCs w:val="20"/>
          <w:b w:val="1"/>
          <w:bCs w:val="1"/>
          <w:color w:val="1C355E"/>
        </w:rPr>
        <w:drawing>
          <wp:anchor simplePos="0" relativeHeight="251657728" behindDoc="1" locked="0" layoutInCell="0" allowOverlap="1">
            <wp:simplePos x="0" y="0"/>
            <wp:positionH relativeFrom="page">
              <wp:posOffset>208280</wp:posOffset>
            </wp:positionH>
            <wp:positionV relativeFrom="page">
              <wp:posOffset>88900</wp:posOffset>
            </wp:positionV>
            <wp:extent cx="342900" cy="3429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342900" cy="342900"/>
                    </a:xfrm>
                    <a:prstGeom prst="rect">
                      <a:avLst/>
                    </a:prstGeom>
                    <a:noFill/>
                  </pic:spPr>
                </pic:pic>
              </a:graphicData>
            </a:graphic>
          </wp:anchor>
        </w:drawing>
        <w:t>Amarin Pharma, Inc.</w:t>
      </w:r>
    </w:p>
    <w:p>
      <w:pPr>
        <w:spacing w:after="0" w:line="222" w:lineRule="auto"/>
        <w:rPr>
          <w:sz w:val="20"/>
          <w:szCs w:val="20"/>
          <w:color w:val="auto"/>
        </w:rPr>
      </w:pPr>
      <w:r>
        <w:rPr>
          <w:rFonts w:ascii="Calibri" w:cs="Calibri" w:eastAsia="Calibri" w:hAnsi="Calibri"/>
          <w:sz w:val="16"/>
          <w:szCs w:val="16"/>
          <w:color w:val="1C355E"/>
        </w:rPr>
        <w:t>440 Route 22, Suite 300</w:t>
      </w:r>
    </w:p>
    <w:p>
      <w:pPr>
        <w:spacing w:after="0" w:line="216" w:lineRule="auto"/>
        <w:rPr>
          <w:sz w:val="20"/>
          <w:szCs w:val="20"/>
          <w:color w:val="auto"/>
        </w:rPr>
      </w:pPr>
      <w:r>
        <w:rPr>
          <w:rFonts w:ascii="Calibri" w:cs="Calibri" w:eastAsia="Calibri" w:hAnsi="Calibri"/>
          <w:sz w:val="16"/>
          <w:szCs w:val="16"/>
          <w:color w:val="1C355E"/>
        </w:rPr>
        <w:t>Bridgewater, NJ 08807</w:t>
      </w:r>
    </w:p>
    <w:p>
      <w:pPr>
        <w:spacing w:after="0" w:line="21" w:lineRule="exact"/>
        <w:rPr>
          <w:sz w:val="20"/>
          <w:szCs w:val="20"/>
          <w:color w:val="auto"/>
        </w:rPr>
      </w:pPr>
    </w:p>
    <w:p>
      <w:pPr>
        <w:spacing w:after="0"/>
        <w:rPr>
          <w:sz w:val="20"/>
          <w:szCs w:val="20"/>
          <w:color w:val="auto"/>
        </w:rPr>
      </w:pPr>
      <w:r>
        <w:rPr>
          <w:rFonts w:ascii="Calibri" w:cs="Calibri" w:eastAsia="Calibri" w:hAnsi="Calibri"/>
          <w:sz w:val="16"/>
          <w:szCs w:val="16"/>
          <w:color w:val="1C355E"/>
        </w:rPr>
        <w:t>(908)719-1315</w:t>
      </w:r>
    </w:p>
    <w:p>
      <w:pPr>
        <w:spacing w:after="0" w:line="200" w:lineRule="exact"/>
        <w:rPr>
          <w:sz w:val="20"/>
          <w:szCs w:val="20"/>
          <w:color w:val="auto"/>
        </w:rPr>
      </w:pPr>
    </w:p>
    <w:p>
      <w:pPr>
        <w:spacing w:after="0" w:line="210" w:lineRule="exact"/>
        <w:rPr>
          <w:sz w:val="20"/>
          <w:szCs w:val="20"/>
          <w:color w:val="auto"/>
        </w:rPr>
      </w:pPr>
    </w:p>
    <w:p>
      <w:pPr>
        <w:ind w:left="760"/>
        <w:spacing w:after="0" w:line="244" w:lineRule="auto"/>
        <w:rPr>
          <w:sz w:val="20"/>
          <w:szCs w:val="20"/>
          <w:color w:val="auto"/>
        </w:rPr>
      </w:pPr>
      <w:r>
        <w:rPr>
          <w:rFonts w:ascii="Times New Roman" w:cs="Times New Roman" w:eastAsia="Times New Roman" w:hAnsi="Times New Roman"/>
          <w:sz w:val="20"/>
          <w:szCs w:val="20"/>
          <w:color w:val="auto"/>
        </w:rPr>
        <w:t>Date of Termination and not yet reimbursed, if any. You agree that, on or before the Date of Termination, you will submit your final documented expense reimbursement statement reflecting all unreimbursed business expenses. Your eligibility to participate in the Company’s group health plans ceases on the last day of the month in which the Date of Termination occurs in accordance with the terms and conditions of those plans.</w:t>
      </w:r>
    </w:p>
    <w:p>
      <w:pPr>
        <w:spacing w:after="0" w:line="185" w:lineRule="exact"/>
        <w:rPr>
          <w:sz w:val="20"/>
          <w:szCs w:val="20"/>
          <w:color w:val="auto"/>
        </w:rPr>
      </w:pPr>
    </w:p>
    <w:p>
      <w:pPr>
        <w:ind w:left="760" w:right="100" w:firstLine="745"/>
        <w:spacing w:after="0" w:line="243" w:lineRule="auto"/>
        <w:tabs>
          <w:tab w:leader="none" w:pos="1904"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senior member reporting to the CEO for greater than 5 years, you may elect to continue your existing medical benefits under such plans in accordance with Amarin’s “retiree class”. Dental, vision and FSA benefits are available and subject to the law known as COBRA. You will be provided with information regarding COBRA under separate cover. Your eligibility to participate in the Company’s other employee benefit plans and programs ceases on the Date of Termination in accordance with the terms and conditions of each of those benefit plans and programs.</w:t>
      </w:r>
    </w:p>
    <w:p>
      <w:pPr>
        <w:spacing w:after="0" w:line="181" w:lineRule="exact"/>
        <w:rPr>
          <w:rFonts w:ascii="Times New Roman" w:cs="Times New Roman" w:eastAsia="Times New Roman" w:hAnsi="Times New Roman"/>
          <w:sz w:val="20"/>
          <w:szCs w:val="20"/>
          <w:color w:val="auto"/>
        </w:rPr>
      </w:pPr>
    </w:p>
    <w:p>
      <w:pPr>
        <w:ind w:left="760" w:hanging="752"/>
        <w:spacing w:after="0" w:line="256" w:lineRule="auto"/>
        <w:tabs>
          <w:tab w:leader="none" w:pos="760" w:val="left"/>
        </w:tabs>
        <w:numPr>
          <w:ilvl w:val="0"/>
          <w:numId w:val="5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Transition Period. </w:t>
      </w:r>
      <w:r>
        <w:rPr>
          <w:rFonts w:ascii="Times New Roman" w:cs="Times New Roman" w:eastAsia="Times New Roman" w:hAnsi="Times New Roman"/>
          <w:sz w:val="19"/>
          <w:szCs w:val="19"/>
          <w:color w:val="auto"/>
        </w:rPr>
        <w:t>During the Transition Period, you will no longer serve as the Company’s Chief Financial l Officer, but rather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will serve as a Senior Advisor to the Company. Effective on June 2, 2022, you will be deemed to have resigned as an officer of the Company, as well as from any other officer or director positions that you hold with any of the Company’s subsidiaries or any affiliate of the Company. You agree to execute any documents requested by the Company or any controlled entities necessary to effectuate such resignations, including but not limited to executing a substitute power of attorney for any relevant Section 16 filings. The Company may require you to assist with projects or tasks that you are able to perform remotely (the “Transitional Services”) but you will not be required to travel or work in the office unless otherwise requested by the Company’s Chief Executive Officer. During the Transition Period, you shall not enter into any agreement on behalf of the Company or otherwise obligate the Company to any financial commitment without the express written authority of the Company’s Chief Executive Officer.</w:t>
      </w:r>
    </w:p>
    <w:p>
      <w:pPr>
        <w:spacing w:after="0" w:line="170" w:lineRule="exact"/>
        <w:rPr>
          <w:rFonts w:ascii="Times New Roman" w:cs="Times New Roman" w:eastAsia="Times New Roman" w:hAnsi="Times New Roman"/>
          <w:sz w:val="19"/>
          <w:szCs w:val="19"/>
          <w:b w:val="1"/>
          <w:bCs w:val="1"/>
          <w:color w:val="auto"/>
        </w:rPr>
      </w:pPr>
    </w:p>
    <w:p>
      <w:pPr>
        <w:ind w:left="760" w:right="20" w:hanging="752"/>
        <w:spacing w:after="0" w:line="253" w:lineRule="auto"/>
        <w:tabs>
          <w:tab w:leader="none" w:pos="760" w:val="left"/>
        </w:tabs>
        <w:numPr>
          <w:ilvl w:val="0"/>
          <w:numId w:val="5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Compensation; Vesting During the Transition Period. </w:t>
      </w:r>
      <w:r>
        <w:rPr>
          <w:rFonts w:ascii="Times New Roman" w:cs="Times New Roman" w:eastAsia="Times New Roman" w:hAnsi="Times New Roman"/>
          <w:sz w:val="19"/>
          <w:szCs w:val="19"/>
          <w:color w:val="auto"/>
        </w:rPr>
        <w:t>You will continue to receive your current base salary, subject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applicable payments and deductions, be eligible for employee benefits, and continue your service relationship for purposes of vesting in your outstanding stock options, restricted stock units and other equity incentive awards through the Date of Termination. Consistent with the applicable stock option agreement or award agreement and the applicable equity incentive plan(s) as may be amended from time to time (collectively, the “Equity Documents”), you will cease vesting on the Date of Termination, subject to Section 4(c) below. You shall be eligible for bonus compensation for the first seven months of 2022. Such bonus shall be made at the discretion of the Board of Directors, based on the accomplishment of the Corporate Goals and assessment of the appropriate amount based on your contribution during the first seven months of 2022. Any such bonus shall be within the range for bonuses granted to similarly situated executives. You will not be eligible for any compensation or benefits after the Date of Termination except as set forth in this Agreement. You acknowledge and agree that you will not accrue any additional paid time off after June 2, 2022. It is not expected that you will incur business expenses during the Transition Period and you must receive prior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822960"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8229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60"/>
        <w:spacing w:after="0" w:line="222" w:lineRule="auto"/>
        <w:rPr>
          <w:sz w:val="20"/>
          <w:szCs w:val="20"/>
          <w:color w:val="auto"/>
        </w:rPr>
      </w:pPr>
      <w:r>
        <w:rPr>
          <w:rFonts w:ascii="Calibri" w:cs="Calibri" w:eastAsia="Calibri" w:hAnsi="Calibri"/>
          <w:sz w:val="11"/>
          <w:szCs w:val="11"/>
          <w:color w:val="auto"/>
        </w:rPr>
        <w:t>This communicaton and the informaton it contains are intended for the person(s) or organizaton(s) named above and for no other person or organizaton and may be confdental and protected by law. Unauthorized use, copying or disclosure of any part is strictly prohibited and may be unlawful.</w:t>
      </w:r>
    </w:p>
    <w:p>
      <w:pPr>
        <w:spacing w:after="0" w:line="190" w:lineRule="exact"/>
        <w:rPr>
          <w:sz w:val="20"/>
          <w:szCs w:val="20"/>
          <w:color w:val="auto"/>
        </w:rPr>
      </w:pPr>
    </w:p>
    <w:p>
      <w:pPr>
        <w:spacing w:after="0"/>
        <w:rPr>
          <w:sz w:val="20"/>
          <w:szCs w:val="20"/>
          <w:color w:val="auto"/>
        </w:rPr>
      </w:pPr>
      <w:r>
        <w:rPr>
          <w:rFonts w:ascii="Calibri" w:cs="Calibri" w:eastAsia="Calibri" w:hAnsi="Calibri"/>
          <w:sz w:val="11"/>
          <w:szCs w:val="11"/>
          <w:color w:val="auto"/>
        </w:rPr>
        <w:t>Amarin 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2" w:right="339" w:bottom="1440" w:gutter="0" w:footer="0" w:header="0"/>
        </w:sectPr>
      </w:pPr>
    </w:p>
    <w:bookmarkStart w:id="97" w:name="page98"/>
    <w:bookmarkEnd w:id="97"/>
    <w:p>
      <w:pPr>
        <w:spacing w:after="0"/>
        <w:rPr>
          <w:sz w:val="20"/>
          <w:szCs w:val="20"/>
          <w:color w:val="auto"/>
        </w:rPr>
      </w:pPr>
      <w:r>
        <w:rPr>
          <w:rFonts w:ascii="Calibri" w:cs="Calibri" w:eastAsia="Calibri" w:hAnsi="Calibri"/>
          <w:sz w:val="20"/>
          <w:szCs w:val="20"/>
          <w:b w:val="1"/>
          <w:bCs w:val="1"/>
          <w:color w:val="1C355E"/>
        </w:rPr>
        <w:drawing>
          <wp:anchor simplePos="0" relativeHeight="251657728" behindDoc="1" locked="0" layoutInCell="0" allowOverlap="1">
            <wp:simplePos x="0" y="0"/>
            <wp:positionH relativeFrom="page">
              <wp:posOffset>208280</wp:posOffset>
            </wp:positionH>
            <wp:positionV relativeFrom="page">
              <wp:posOffset>88900</wp:posOffset>
            </wp:positionV>
            <wp:extent cx="342900" cy="3429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342900" cy="342900"/>
                    </a:xfrm>
                    <a:prstGeom prst="rect">
                      <a:avLst/>
                    </a:prstGeom>
                    <a:noFill/>
                  </pic:spPr>
                </pic:pic>
              </a:graphicData>
            </a:graphic>
          </wp:anchor>
        </w:drawing>
        <w:t>Amarin Pharma, Inc.</w:t>
      </w:r>
    </w:p>
    <w:p>
      <w:pPr>
        <w:spacing w:after="0" w:line="222" w:lineRule="auto"/>
        <w:rPr>
          <w:sz w:val="20"/>
          <w:szCs w:val="20"/>
          <w:color w:val="auto"/>
        </w:rPr>
      </w:pPr>
      <w:r>
        <w:rPr>
          <w:rFonts w:ascii="Calibri" w:cs="Calibri" w:eastAsia="Calibri" w:hAnsi="Calibri"/>
          <w:sz w:val="16"/>
          <w:szCs w:val="16"/>
          <w:color w:val="1C355E"/>
        </w:rPr>
        <w:t>440 Route 22, Suite 300</w:t>
      </w:r>
    </w:p>
    <w:p>
      <w:pPr>
        <w:spacing w:after="0" w:line="216" w:lineRule="auto"/>
        <w:rPr>
          <w:sz w:val="20"/>
          <w:szCs w:val="20"/>
          <w:color w:val="auto"/>
        </w:rPr>
      </w:pPr>
      <w:r>
        <w:rPr>
          <w:rFonts w:ascii="Calibri" w:cs="Calibri" w:eastAsia="Calibri" w:hAnsi="Calibri"/>
          <w:sz w:val="16"/>
          <w:szCs w:val="16"/>
          <w:color w:val="1C355E"/>
        </w:rPr>
        <w:t>Bridgewater, NJ 08807</w:t>
      </w:r>
    </w:p>
    <w:p>
      <w:pPr>
        <w:spacing w:after="0" w:line="21" w:lineRule="exact"/>
        <w:rPr>
          <w:sz w:val="20"/>
          <w:szCs w:val="20"/>
          <w:color w:val="auto"/>
        </w:rPr>
      </w:pPr>
    </w:p>
    <w:p>
      <w:pPr>
        <w:spacing w:after="0"/>
        <w:rPr>
          <w:sz w:val="20"/>
          <w:szCs w:val="20"/>
          <w:color w:val="auto"/>
        </w:rPr>
      </w:pPr>
      <w:r>
        <w:rPr>
          <w:rFonts w:ascii="Calibri" w:cs="Calibri" w:eastAsia="Calibri" w:hAnsi="Calibri"/>
          <w:sz w:val="16"/>
          <w:szCs w:val="16"/>
          <w:color w:val="1C355E"/>
        </w:rPr>
        <w:t>(908)719-1315</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before incurring business-related costs. Any agreed upon expenses will be reimbursed in the same manner as they are now.</w:t>
      </w:r>
    </w:p>
    <w:p>
      <w:pPr>
        <w:spacing w:after="0" w:line="212" w:lineRule="exact"/>
        <w:rPr>
          <w:sz w:val="20"/>
          <w:szCs w:val="20"/>
          <w:color w:val="auto"/>
        </w:rPr>
      </w:pPr>
    </w:p>
    <w:p>
      <w:pPr>
        <w:ind w:left="760" w:right="200" w:hanging="752"/>
        <w:spacing w:after="0" w:line="249" w:lineRule="auto"/>
        <w:tabs>
          <w:tab w:leader="none" w:pos="76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Severance Benefits</w:t>
      </w:r>
      <w:r>
        <w:rPr>
          <w:rFonts w:ascii="Times New Roman" w:cs="Times New Roman" w:eastAsia="Times New Roman" w:hAnsi="Times New Roman"/>
          <w:sz w:val="20"/>
          <w:szCs w:val="20"/>
          <w:color w:val="auto"/>
        </w:rPr>
        <w:t>. If (i) you enter into, do not revoke and comply with this Agreement, (ii) your employment is not terminated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Company for Cause prior to August 1, 2022, and (iii) you cooperate with the Company and provide any requested Transitional Services during the Transition Period (together, the “Conditions”), then:</w:t>
      </w:r>
    </w:p>
    <w:p>
      <w:pPr>
        <w:spacing w:after="0" w:line="179" w:lineRule="exact"/>
        <w:rPr>
          <w:rFonts w:ascii="Times New Roman" w:cs="Times New Roman" w:eastAsia="Times New Roman" w:hAnsi="Times New Roman"/>
          <w:sz w:val="20"/>
          <w:szCs w:val="20"/>
          <w:b w:val="1"/>
          <w:bCs w:val="1"/>
          <w:color w:val="auto"/>
        </w:rPr>
      </w:pPr>
    </w:p>
    <w:p>
      <w:pPr>
        <w:ind w:left="760" w:right="600" w:firstLine="745"/>
        <w:spacing w:after="0" w:line="269" w:lineRule="auto"/>
        <w:tabs>
          <w:tab w:leader="none" w:pos="1904"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continue to pay you your current base salary for the 12 month period following the Date of Termination (the “Salary Continuation Period”); and</w:t>
      </w:r>
    </w:p>
    <w:p>
      <w:pPr>
        <w:spacing w:after="0" w:line="159" w:lineRule="exact"/>
        <w:rPr>
          <w:rFonts w:ascii="Times New Roman" w:cs="Times New Roman" w:eastAsia="Times New Roman" w:hAnsi="Times New Roman"/>
          <w:sz w:val="20"/>
          <w:szCs w:val="20"/>
          <w:color w:val="auto"/>
        </w:rPr>
      </w:pPr>
    </w:p>
    <w:p>
      <w:pPr>
        <w:ind w:left="760" w:firstLine="745"/>
        <w:spacing w:after="0" w:line="243" w:lineRule="auto"/>
        <w:tabs>
          <w:tab w:leader="none" w:pos="1904"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elect and remain eligible for COBRA continuation coverage, the Company shall continue your group health plan benefits to the extent authorized by and consistent with COBRA, with the cost of the regular premium for such benefits shared in the same relative proportion by the Company and you as in effect on the Date of Termination until the earlier of: (i) the end of the Salary Continuation Period, and (ii) the date that you become eligible for health benefits through another employer or otherwise become ineligible for COBRA; and</w:t>
      </w:r>
    </w:p>
    <w:p>
      <w:pPr>
        <w:spacing w:after="0" w:line="185" w:lineRule="exact"/>
        <w:rPr>
          <w:rFonts w:ascii="Times New Roman" w:cs="Times New Roman" w:eastAsia="Times New Roman" w:hAnsi="Times New Roman"/>
          <w:sz w:val="20"/>
          <w:szCs w:val="20"/>
          <w:color w:val="auto"/>
        </w:rPr>
      </w:pPr>
    </w:p>
    <w:p>
      <w:pPr>
        <w:ind w:left="760" w:firstLine="745"/>
        <w:spacing w:after="0" w:line="243" w:lineRule="auto"/>
        <w:tabs>
          <w:tab w:leader="none" w:pos="1904"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portion of your outstanding stock options, restricted stock units or other equity incentive awards (in each case, only to the extent subject to time-based vesting) that would have vested in the six (6) months following the Date of Termination will immediately accelerate and become fully exercisable or nonforfeitable as of the later of the Date of Termination and the effective date of this Agreement. The forfeiture of any unvested equity that is subject to acceleration will be delayed to the extent necessary to effectuate this provision and will not occur if the acceleration pursuant to this provision occurs.</w:t>
      </w:r>
    </w:p>
    <w:p>
      <w:pPr>
        <w:spacing w:after="0" w:line="186" w:lineRule="exact"/>
        <w:rPr>
          <w:sz w:val="20"/>
          <w:szCs w:val="20"/>
          <w:color w:val="auto"/>
        </w:rPr>
      </w:pPr>
    </w:p>
    <w:p>
      <w:pPr>
        <w:ind w:left="760" w:right="280"/>
        <w:spacing w:after="0" w:line="249" w:lineRule="auto"/>
        <w:rPr>
          <w:sz w:val="20"/>
          <w:szCs w:val="20"/>
          <w:color w:val="auto"/>
        </w:rPr>
      </w:pPr>
      <w:r>
        <w:rPr>
          <w:rFonts w:ascii="Times New Roman" w:cs="Times New Roman" w:eastAsia="Times New Roman" w:hAnsi="Times New Roman"/>
          <w:sz w:val="20"/>
          <w:szCs w:val="20"/>
          <w:color w:val="auto"/>
        </w:rPr>
        <w:t>The amounts payable under this Section 4 shall be paid out in substantially equal installments in accordance with the Company’s payroll practice over the Salary Continuation Period commencing on the Company’s first practicable payroll date following the Date of Termination; provided that the initial payment shall include a catch-up payment to cover amounts retroactive to the day immediately following the Date of Termination.</w:t>
      </w:r>
    </w:p>
    <w:p>
      <w:pPr>
        <w:spacing w:after="0" w:line="180" w:lineRule="exact"/>
        <w:rPr>
          <w:sz w:val="20"/>
          <w:szCs w:val="20"/>
          <w:color w:val="auto"/>
        </w:rPr>
      </w:pPr>
    </w:p>
    <w:p>
      <w:pPr>
        <w:ind w:left="760" w:right="60" w:firstLine="745"/>
        <w:spacing w:after="0" w:line="244" w:lineRule="auto"/>
        <w:tabs>
          <w:tab w:leader="none" w:pos="223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pay you a 2022 pro-rated performance bonus for the period January through July 2022 under the same terms and conditions as other AXT members. Meaning, 75% of this bonus will be paid based on the company’s 2022 goal achievement which may be less than 100% of target; and 25% of this bonus will be paid at 100% of individual achievement. This bonus is expected to be paid on or about March 2023.</w:t>
      </w:r>
    </w:p>
    <w:p>
      <w:pPr>
        <w:spacing w:after="0" w:line="185" w:lineRule="exact"/>
        <w:rPr>
          <w:sz w:val="20"/>
          <w:szCs w:val="20"/>
          <w:color w:val="auto"/>
        </w:rPr>
      </w:pPr>
    </w:p>
    <w:p>
      <w:pPr>
        <w:ind w:left="760"/>
        <w:spacing w:after="0" w:line="254" w:lineRule="auto"/>
        <w:rPr>
          <w:sz w:val="20"/>
          <w:szCs w:val="20"/>
          <w:color w:val="auto"/>
        </w:rPr>
      </w:pPr>
      <w:r>
        <w:rPr>
          <w:rFonts w:ascii="Times New Roman" w:cs="Times New Roman" w:eastAsia="Times New Roman" w:hAnsi="Times New Roman"/>
          <w:sz w:val="20"/>
          <w:szCs w:val="20"/>
          <w:color w:val="auto"/>
        </w:rPr>
        <w:t>For the avoidance of doubt, in the event that the Company terminates your employment for Cause prior to August 1, 2022 or you do not satisfy the Conditions, the Company will provide you with the Accrued Obligations, you will cease vesting as of the Date of Termination and you will have no right to any further compensation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822960" cy="1543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8229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22" w:lineRule="auto"/>
        <w:rPr>
          <w:sz w:val="20"/>
          <w:szCs w:val="20"/>
          <w:color w:val="auto"/>
        </w:rPr>
      </w:pPr>
      <w:r>
        <w:rPr>
          <w:rFonts w:ascii="Calibri" w:cs="Calibri" w:eastAsia="Calibri" w:hAnsi="Calibri"/>
          <w:sz w:val="11"/>
          <w:szCs w:val="11"/>
          <w:color w:val="auto"/>
        </w:rPr>
        <w:t>This communicaton and the informaton it contains are intended for the person(s) or organizaton(s) named above and for no other person or organizaton and may be confdental and protected by law. Unauthorized use, copying or disclosure of any part is strictly prohibited and may be unlawful.</w:t>
      </w:r>
    </w:p>
    <w:p>
      <w:pPr>
        <w:spacing w:after="0" w:line="203" w:lineRule="exact"/>
        <w:rPr>
          <w:sz w:val="20"/>
          <w:szCs w:val="20"/>
          <w:color w:val="auto"/>
        </w:rPr>
      </w:pPr>
    </w:p>
    <w:p>
      <w:pPr>
        <w:spacing w:after="0"/>
        <w:rPr>
          <w:sz w:val="20"/>
          <w:szCs w:val="20"/>
          <w:color w:val="auto"/>
        </w:rPr>
      </w:pPr>
      <w:r>
        <w:rPr>
          <w:rFonts w:ascii="Calibri" w:cs="Calibri" w:eastAsia="Calibri" w:hAnsi="Calibri"/>
          <w:sz w:val="11"/>
          <w:szCs w:val="11"/>
          <w:color w:val="auto"/>
        </w:rPr>
        <w:t>Amarin 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2" w:right="359" w:bottom="1440" w:gutter="0" w:footer="0" w:header="0"/>
        </w:sectPr>
      </w:pPr>
    </w:p>
    <w:bookmarkStart w:id="98" w:name="page99"/>
    <w:bookmarkEnd w:id="98"/>
    <w:p>
      <w:pPr>
        <w:spacing w:after="0"/>
        <w:rPr>
          <w:sz w:val="20"/>
          <w:szCs w:val="20"/>
          <w:color w:val="auto"/>
        </w:rPr>
      </w:pPr>
      <w:r>
        <w:rPr>
          <w:rFonts w:ascii="Calibri" w:cs="Calibri" w:eastAsia="Calibri" w:hAnsi="Calibri"/>
          <w:sz w:val="20"/>
          <w:szCs w:val="20"/>
          <w:b w:val="1"/>
          <w:bCs w:val="1"/>
          <w:color w:val="1C355E"/>
        </w:rPr>
        <w:drawing>
          <wp:anchor simplePos="0" relativeHeight="251657728" behindDoc="1" locked="0" layoutInCell="0" allowOverlap="1">
            <wp:simplePos x="0" y="0"/>
            <wp:positionH relativeFrom="page">
              <wp:posOffset>208280</wp:posOffset>
            </wp:positionH>
            <wp:positionV relativeFrom="page">
              <wp:posOffset>88900</wp:posOffset>
            </wp:positionV>
            <wp:extent cx="342900" cy="3429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342900" cy="342900"/>
                    </a:xfrm>
                    <a:prstGeom prst="rect">
                      <a:avLst/>
                    </a:prstGeom>
                    <a:noFill/>
                  </pic:spPr>
                </pic:pic>
              </a:graphicData>
            </a:graphic>
          </wp:anchor>
        </w:drawing>
        <w:t>Amarin Pharma, Inc.</w:t>
      </w:r>
    </w:p>
    <w:p>
      <w:pPr>
        <w:spacing w:after="0" w:line="222" w:lineRule="auto"/>
        <w:rPr>
          <w:sz w:val="20"/>
          <w:szCs w:val="20"/>
          <w:color w:val="auto"/>
        </w:rPr>
      </w:pPr>
      <w:r>
        <w:rPr>
          <w:rFonts w:ascii="Calibri" w:cs="Calibri" w:eastAsia="Calibri" w:hAnsi="Calibri"/>
          <w:sz w:val="16"/>
          <w:szCs w:val="16"/>
          <w:color w:val="1C355E"/>
        </w:rPr>
        <w:t>440 Route 22, Suite 300</w:t>
      </w:r>
    </w:p>
    <w:p>
      <w:pPr>
        <w:spacing w:after="0" w:line="216" w:lineRule="auto"/>
        <w:rPr>
          <w:sz w:val="20"/>
          <w:szCs w:val="20"/>
          <w:color w:val="auto"/>
        </w:rPr>
      </w:pPr>
      <w:r>
        <w:rPr>
          <w:rFonts w:ascii="Calibri" w:cs="Calibri" w:eastAsia="Calibri" w:hAnsi="Calibri"/>
          <w:sz w:val="16"/>
          <w:szCs w:val="16"/>
          <w:color w:val="1C355E"/>
        </w:rPr>
        <w:t>Bridgewater, NJ 08807</w:t>
      </w:r>
    </w:p>
    <w:p>
      <w:pPr>
        <w:spacing w:after="0" w:line="21" w:lineRule="exact"/>
        <w:rPr>
          <w:sz w:val="20"/>
          <w:szCs w:val="20"/>
          <w:color w:val="auto"/>
        </w:rPr>
      </w:pPr>
    </w:p>
    <w:p>
      <w:pPr>
        <w:spacing w:after="0"/>
        <w:rPr>
          <w:sz w:val="20"/>
          <w:szCs w:val="20"/>
          <w:color w:val="auto"/>
        </w:rPr>
      </w:pPr>
      <w:r>
        <w:rPr>
          <w:rFonts w:ascii="Calibri" w:cs="Calibri" w:eastAsia="Calibri" w:hAnsi="Calibri"/>
          <w:sz w:val="16"/>
          <w:szCs w:val="16"/>
          <w:color w:val="1C355E"/>
        </w:rPr>
        <w:t>(908)719-1315</w:t>
      </w:r>
    </w:p>
    <w:p>
      <w:pPr>
        <w:spacing w:after="0" w:line="200" w:lineRule="exact"/>
        <w:rPr>
          <w:sz w:val="20"/>
          <w:szCs w:val="20"/>
          <w:color w:val="auto"/>
        </w:rPr>
      </w:pPr>
    </w:p>
    <w:p>
      <w:pPr>
        <w:spacing w:after="0" w:line="206" w:lineRule="exact"/>
        <w:rPr>
          <w:sz w:val="20"/>
          <w:szCs w:val="20"/>
          <w:color w:val="auto"/>
        </w:rPr>
      </w:pPr>
    </w:p>
    <w:p>
      <w:pPr>
        <w:ind w:left="760" w:hanging="752"/>
        <w:spacing w:after="0" w:line="239" w:lineRule="auto"/>
        <w:tabs>
          <w:tab w:leader="none" w:pos="76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Release of All Claims. </w:t>
      </w:r>
      <w:r>
        <w:rPr>
          <w:rFonts w:ascii="Times New Roman" w:cs="Times New Roman" w:eastAsia="Times New Roman" w:hAnsi="Times New Roman"/>
          <w:sz w:val="20"/>
          <w:szCs w:val="20"/>
          <w:color w:val="auto"/>
        </w:rPr>
        <w:t>You, on your own behalf and on behalf of your heirs, executors, administrators, attorneys and assigns,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hereby unconditionally and irrevocably release, waive and forever discharge the Company and each of its affiliates, parents, successors, predecessors, and the subsidiaries, directors, owners, members, shareholders, officers, agents, and employees of the Company and its affiliates, parents, successors, predecessors, and subsidiaries (collectively, all of the foregoing are referred to as the “Releasees”), from any and all causes of action, claims and damages, including attorneys’ fees, whether known or unknown, foreseen or unforeseen, presently asserted or otherwise arising through the date of your execution of this Agreement. This release includes, but is not limited to, any claim or entitlement to salary, bonuses, any other payments, benefits or damages arising under any federal law (including, but not limited to, Title VII of the Civil Rights Act of 1964, the Age Discrimination in Employment Act, the Employee Retirement Income Security Act of 1974, the Americans with Disabilities Act, Executive Order 11246, the Family and Medical Leave Act (“FMLA”), and the Worker Adjustment and Retraining Notification Act, each as amended and any other federal, state, local or foreign law relating to notice of employment termination or to severance pay); any claim arising under any state or local laws, ordinances or regulations (including, but not limited to, the New Jersey Law Against Discrimination, the New Jersey Family Leave Act and any state or local laws, ordinances or regulations requiring that advance notice be given of certain workforce reductions); and any claim arising under any common law principle or public policy, including, but not limited to, all suits in tort or contract, such as wrongful termination, defamation, emotional distress, invasion of privacy or loss of consortium; provided, however, that this release shall not apply to (a) claims to enforce your rights under this Agreement; (b) claims for vested benefits pursuant to ERISA; (c) claims with respect to your vested equity rights as of the Date of Termination; (d) claims to enforce the Company’s obligation to indemnify you to the extent such indemnification obligations exist; and (e) claims or administrative charges which legally may not be waived.</w:t>
      </w:r>
    </w:p>
    <w:p>
      <w:pPr>
        <w:spacing w:after="0" w:line="188" w:lineRule="exact"/>
        <w:rPr>
          <w:rFonts w:ascii="Times New Roman" w:cs="Times New Roman" w:eastAsia="Times New Roman" w:hAnsi="Times New Roman"/>
          <w:sz w:val="20"/>
          <w:szCs w:val="20"/>
          <w:b w:val="1"/>
          <w:bCs w:val="1"/>
          <w:color w:val="auto"/>
        </w:rPr>
      </w:pPr>
    </w:p>
    <w:p>
      <w:pPr>
        <w:ind w:left="760" w:right="40"/>
        <w:spacing w:after="0" w:line="24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are waiving, however, any right to monetary recovery or individual relief should any federal, state or local agency (including the Equal Employment Opportunity Commission) pursue any claim on your behalf arising out of or related to your employment with and/or separation from employment with the Company; provided that nothing in this Agreement limits any right you may have to receive a whistleblower award or bounty for information provided to the Securities and Exchange Commission. You represent that you have not assigned any claim to any third party.</w:t>
      </w:r>
    </w:p>
    <w:p>
      <w:pPr>
        <w:spacing w:after="0" w:line="168" w:lineRule="exact"/>
        <w:rPr>
          <w:rFonts w:ascii="Times New Roman" w:cs="Times New Roman" w:eastAsia="Times New Roman" w:hAnsi="Times New Roman"/>
          <w:sz w:val="20"/>
          <w:szCs w:val="20"/>
          <w:b w:val="1"/>
          <w:bCs w:val="1"/>
          <w:color w:val="auto"/>
        </w:rPr>
      </w:pPr>
    </w:p>
    <w:p>
      <w:pPr>
        <w:ind w:left="760" w:right="80" w:hanging="752"/>
        <w:spacing w:after="0" w:line="241" w:lineRule="auto"/>
        <w:tabs>
          <w:tab w:leader="none" w:pos="76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Return of Company Property. </w:t>
      </w:r>
      <w:r>
        <w:rPr>
          <w:rFonts w:ascii="Times New Roman" w:cs="Times New Roman" w:eastAsia="Times New Roman" w:hAnsi="Times New Roman"/>
          <w:sz w:val="20"/>
          <w:szCs w:val="20"/>
          <w:color w:val="auto"/>
        </w:rPr>
        <w:t>On or prior to the Date of Termination, or earlier if requested by the Company, you agree to return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Company all hard copy and electronic documents (and all copies thereof) and other Company property that you have had in your possession at any time, including, but not limited to, files, notes, drawings, records, business plans and forecasts, financial information, specifications, computer-recorded information (including email), tangible property (laptop computer, iPad, cell phone, PDA, etc.), credit cards, entry cards, identification badges and keys; and, any materials of any kind that contain or embody any proprietary or confidential information of the Company (and all reproductions thereof). After returning all such Company property to the Company, you must delete and finally purge any duplicates of files or documents that may contain Company information from any non-Company computer or other device that remains your property after the Date of Termination. If you discover after the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822960" cy="1543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8229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60"/>
        <w:spacing w:after="0" w:line="234" w:lineRule="auto"/>
        <w:rPr>
          <w:sz w:val="20"/>
          <w:szCs w:val="20"/>
          <w:color w:val="auto"/>
        </w:rPr>
      </w:pPr>
      <w:r>
        <w:rPr>
          <w:rFonts w:ascii="Calibri" w:cs="Calibri" w:eastAsia="Calibri" w:hAnsi="Calibri"/>
          <w:sz w:val="11"/>
          <w:szCs w:val="11"/>
          <w:color w:val="auto"/>
        </w:rPr>
        <w:t>This communicaton and the informaton it contains are intended for the person(s) or organizaton(s) named above and for no other person or organizaton and may be confdental and protected by law. Unauthorized use, copying or disclosure of any part is strictly prohibited and may be unlawful.</w:t>
      </w:r>
    </w:p>
    <w:p>
      <w:pPr>
        <w:spacing w:after="0" w:line="190" w:lineRule="exact"/>
        <w:rPr>
          <w:sz w:val="20"/>
          <w:szCs w:val="20"/>
          <w:color w:val="auto"/>
        </w:rPr>
      </w:pPr>
    </w:p>
    <w:p>
      <w:pPr>
        <w:spacing w:after="0"/>
        <w:rPr>
          <w:sz w:val="20"/>
          <w:szCs w:val="20"/>
          <w:color w:val="auto"/>
        </w:rPr>
      </w:pPr>
      <w:r>
        <w:rPr>
          <w:rFonts w:ascii="Calibri" w:cs="Calibri" w:eastAsia="Calibri" w:hAnsi="Calibri"/>
          <w:sz w:val="11"/>
          <w:szCs w:val="11"/>
          <w:color w:val="auto"/>
        </w:rPr>
        <w:t>Amarin 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2" w:right="339" w:bottom="1440" w:gutter="0" w:footer="0" w:header="0"/>
        </w:sectPr>
      </w:pPr>
    </w:p>
    <w:bookmarkStart w:id="99" w:name="page100"/>
    <w:bookmarkEnd w:id="99"/>
    <w:p>
      <w:pPr>
        <w:spacing w:after="0"/>
        <w:rPr>
          <w:sz w:val="20"/>
          <w:szCs w:val="20"/>
          <w:color w:val="auto"/>
        </w:rPr>
      </w:pPr>
      <w:r>
        <w:rPr>
          <w:rFonts w:ascii="Calibri" w:cs="Calibri" w:eastAsia="Calibri" w:hAnsi="Calibri"/>
          <w:sz w:val="20"/>
          <w:szCs w:val="20"/>
          <w:b w:val="1"/>
          <w:bCs w:val="1"/>
          <w:color w:val="1C355E"/>
        </w:rPr>
        <w:drawing>
          <wp:anchor simplePos="0" relativeHeight="251657728" behindDoc="1" locked="0" layoutInCell="0" allowOverlap="1">
            <wp:simplePos x="0" y="0"/>
            <wp:positionH relativeFrom="page">
              <wp:posOffset>208280</wp:posOffset>
            </wp:positionH>
            <wp:positionV relativeFrom="page">
              <wp:posOffset>88900</wp:posOffset>
            </wp:positionV>
            <wp:extent cx="342900" cy="3429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clrChange>
                        <a:clrFrom>
                          <a:srgbClr val="FFFFFF"/>
                        </a:clrFrom>
                        <a:clrTo>
                          <a:srgbClr val="FFFFFF">
                            <a:alpha val="0"/>
                          </a:srgbClr>
                        </a:clrTo>
                      </a:clrChange>
                      <a:extLst>
                        <a:ext uri="{28A0092B-C50C-407E-A947-70E740481C1C}"/>
                      </a:extLst>
                    </a:blip>
                    <a:srcRect/>
                    <a:stretch>
                      <a:fillRect/>
                    </a:stretch>
                  </pic:blipFill>
                  <pic:spPr bwMode="auto">
                    <a:xfrm>
                      <a:off x="0" y="0"/>
                      <a:ext cx="342900" cy="342900"/>
                    </a:xfrm>
                    <a:prstGeom prst="rect">
                      <a:avLst/>
                    </a:prstGeom>
                    <a:noFill/>
                  </pic:spPr>
                </pic:pic>
              </a:graphicData>
            </a:graphic>
          </wp:anchor>
        </w:drawing>
        <w:t>Amarin Pharma, Inc.</w:t>
      </w:r>
    </w:p>
    <w:p>
      <w:pPr>
        <w:spacing w:after="0" w:line="222" w:lineRule="auto"/>
        <w:rPr>
          <w:sz w:val="20"/>
          <w:szCs w:val="20"/>
          <w:color w:val="auto"/>
        </w:rPr>
      </w:pPr>
      <w:r>
        <w:rPr>
          <w:rFonts w:ascii="Calibri" w:cs="Calibri" w:eastAsia="Calibri" w:hAnsi="Calibri"/>
          <w:sz w:val="16"/>
          <w:szCs w:val="16"/>
          <w:color w:val="1C355E"/>
        </w:rPr>
        <w:t>440 Route 22, Suite 300</w:t>
      </w:r>
    </w:p>
    <w:p>
      <w:pPr>
        <w:spacing w:after="0" w:line="216" w:lineRule="auto"/>
        <w:rPr>
          <w:sz w:val="20"/>
          <w:szCs w:val="20"/>
          <w:color w:val="auto"/>
        </w:rPr>
      </w:pPr>
      <w:r>
        <w:rPr>
          <w:rFonts w:ascii="Calibri" w:cs="Calibri" w:eastAsia="Calibri" w:hAnsi="Calibri"/>
          <w:sz w:val="16"/>
          <w:szCs w:val="16"/>
          <w:color w:val="1C355E"/>
        </w:rPr>
        <w:t>Bridgewater, NJ 08807</w:t>
      </w:r>
    </w:p>
    <w:p>
      <w:pPr>
        <w:spacing w:after="0" w:line="21" w:lineRule="exact"/>
        <w:rPr>
          <w:sz w:val="20"/>
          <w:szCs w:val="20"/>
          <w:color w:val="auto"/>
        </w:rPr>
      </w:pPr>
    </w:p>
    <w:p>
      <w:pPr>
        <w:spacing w:after="0"/>
        <w:rPr>
          <w:sz w:val="20"/>
          <w:szCs w:val="20"/>
          <w:color w:val="auto"/>
        </w:rPr>
      </w:pPr>
      <w:r>
        <w:rPr>
          <w:rFonts w:ascii="Calibri" w:cs="Calibri" w:eastAsia="Calibri" w:hAnsi="Calibri"/>
          <w:sz w:val="16"/>
          <w:szCs w:val="16"/>
          <w:color w:val="1C355E"/>
        </w:rPr>
        <w:t>(908)719-1315</w:t>
      </w:r>
    </w:p>
    <w:p>
      <w:pPr>
        <w:spacing w:after="0" w:line="200" w:lineRule="exact"/>
        <w:rPr>
          <w:sz w:val="20"/>
          <w:szCs w:val="20"/>
          <w:color w:val="auto"/>
        </w:rPr>
      </w:pPr>
    </w:p>
    <w:p>
      <w:pPr>
        <w:spacing w:after="0" w:line="210" w:lineRule="exact"/>
        <w:rPr>
          <w:sz w:val="20"/>
          <w:szCs w:val="20"/>
          <w:color w:val="auto"/>
        </w:rPr>
      </w:pPr>
    </w:p>
    <w:p>
      <w:pPr>
        <w:ind w:left="760"/>
        <w:spacing w:after="0" w:line="243" w:lineRule="auto"/>
        <w:rPr>
          <w:sz w:val="20"/>
          <w:szCs w:val="20"/>
          <w:color w:val="auto"/>
        </w:rPr>
      </w:pPr>
      <w:r>
        <w:rPr>
          <w:rFonts w:ascii="Times New Roman" w:cs="Times New Roman" w:eastAsia="Times New Roman" w:hAnsi="Times New Roman"/>
          <w:sz w:val="20"/>
          <w:szCs w:val="20"/>
          <w:color w:val="auto"/>
        </w:rPr>
        <w:t>Termination that you have retained any Company proprietary or confidential information, you agree, immediately upon discovery, to contact the Company and make arrangements for returning the information. Failure to comply with this section of the Agreement will constitute a material breach, particularly due to your access to highly sensitive and confidential Company information. Notwithstanding the above requirements regarding the return of property, you shall be permitted to receive one laptop computer and one iPad, however, these devices may not be the identical devices that you utilized during your employment.</w:t>
      </w:r>
    </w:p>
    <w:p>
      <w:pPr>
        <w:spacing w:after="0" w:line="182" w:lineRule="exact"/>
        <w:rPr>
          <w:sz w:val="20"/>
          <w:szCs w:val="20"/>
          <w:color w:val="auto"/>
        </w:rPr>
      </w:pPr>
    </w:p>
    <w:p>
      <w:pPr>
        <w:ind w:left="760" w:hanging="752"/>
        <w:spacing w:after="0"/>
        <w:tabs>
          <w:tab w:leader="none" w:pos="760"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Restrictive Covenants and Continuing Obligations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ind w:left="760" w:firstLine="745"/>
        <w:spacing w:after="0" w:line="260" w:lineRule="auto"/>
        <w:tabs>
          <w:tab w:leader="none" w:pos="1904"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Restrictive Covenants Agreement</w:t>
      </w:r>
      <w:r>
        <w:rPr>
          <w:rFonts w:ascii="Times New Roman" w:cs="Times New Roman" w:eastAsia="Times New Roman" w:hAnsi="Times New Roman"/>
          <w:sz w:val="19"/>
          <w:szCs w:val="19"/>
          <w:color w:val="auto"/>
        </w:rPr>
        <w:t>. You acknowledge your continuing obligations under your Nondisclosure,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Developments and Noncompetition Agreement dated December 30, 2015 (the “Restrictive Covenants Agreement”), which, among other things prohibits disclosure of any confidential or proprietary information of the Company. A copy of the Restrictive Covenants Agreement is attached hereto as Exhibit A and the terms are incorporated by reference as material terms of this Agreement (Exhibit A along with Sections 6, 7 and 8 of this Agreement shall be referred to herein as the “Continuing Obligations”).</w:t>
      </w:r>
    </w:p>
    <w:p>
      <w:pPr>
        <w:spacing w:after="0" w:line="166" w:lineRule="exact"/>
        <w:rPr>
          <w:rFonts w:ascii="Times New Roman" w:cs="Times New Roman" w:eastAsia="Times New Roman" w:hAnsi="Times New Roman"/>
          <w:sz w:val="19"/>
          <w:szCs w:val="19"/>
          <w:color w:val="auto"/>
        </w:rPr>
      </w:pPr>
    </w:p>
    <w:p>
      <w:pPr>
        <w:ind w:left="760" w:firstLine="745"/>
        <w:spacing w:after="0" w:line="239" w:lineRule="auto"/>
        <w:tabs>
          <w:tab w:leader="none" w:pos="190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Cooperation</w:t>
      </w:r>
      <w:r>
        <w:rPr>
          <w:rFonts w:ascii="Times New Roman" w:cs="Times New Roman" w:eastAsia="Times New Roman" w:hAnsi="Times New Roman"/>
          <w:sz w:val="20"/>
          <w:szCs w:val="20"/>
          <w:color w:val="auto"/>
        </w:rPr>
        <w:t>. You agree to cooperate with the Company (including its outside counsel) in connection with (i)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contemplation, prosecution and defense of all phases of existing, past and future litigation about which the Company reasonably believes you may have knowledge or information; (ii) internal or external investigations related to matters that occurred during your employment and about which the Company determines that you have relevant information (inclusive of the ongoing FTC matter and any issues related to said matter) and (iii) transitioning your duties (collectively “Cooperation Services”). You further agree to make yourself available to provide Cooperation Services at mutually convenient times. The Company shall not utilize this section to require you to make yourself available to an extent that would unreasonably interfere with full-time employment or other business or personal responsibilities that you may have. For the sake of clarity, the Company shall pay you a reasonable rate of hourly compensation for any Cooperation Services provided by you on or after August 1, 2023 (no hourly compensation prior to that date) and shall reimburse you for any reasonable travel expenses that you incur at any point in time due to your performance of Cooperation Services (in compliance with all applicable policies relating to travel and expenses), after receipt of appropriate documentation consistent also with the Company’s business expense reimbursement policy. To the extent applicable, your rights to indemnification as of the Date of Termination, shall extend to Cooperation Services or consulting under the terms of this Agreement.</w:t>
      </w:r>
    </w:p>
    <w:p>
      <w:pPr>
        <w:spacing w:after="0" w:line="195" w:lineRule="exact"/>
        <w:rPr>
          <w:rFonts w:ascii="Times New Roman" w:cs="Times New Roman" w:eastAsia="Times New Roman" w:hAnsi="Times New Roman"/>
          <w:sz w:val="20"/>
          <w:szCs w:val="20"/>
          <w:color w:val="auto"/>
        </w:rPr>
      </w:pPr>
    </w:p>
    <w:p>
      <w:pPr>
        <w:ind w:left="760" w:right="20" w:firstLine="745"/>
        <w:spacing w:after="0" w:line="244" w:lineRule="auto"/>
        <w:tabs>
          <w:tab w:leader="none" w:pos="190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 Disparagement. </w:t>
      </w:r>
      <w:r>
        <w:rPr>
          <w:rFonts w:ascii="Times New Roman" w:cs="Times New Roman" w:eastAsia="Times New Roman" w:hAnsi="Times New Roman"/>
          <w:sz w:val="20"/>
          <w:szCs w:val="20"/>
          <w:color w:val="auto"/>
        </w:rPr>
        <w:t>You agree not to make, publish or communicate to any person or entity or in any public forum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disparaging or defamatory statements (whether written, oral, through social or electronic media or otherwise) concerning any of the Releasees, any of their respective products or services or any of their respective current or former officers, directors, shareholders, employees or agents. For the avoidance of doubt, nothing in this Agreement prohibits truthful testimony in a legal proceeding or prohibits you from communicating with a government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822960" cy="1543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8229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60"/>
        <w:spacing w:after="0" w:line="222" w:lineRule="auto"/>
        <w:rPr>
          <w:sz w:val="20"/>
          <w:szCs w:val="20"/>
          <w:color w:val="auto"/>
        </w:rPr>
      </w:pPr>
      <w:r>
        <w:rPr>
          <w:rFonts w:ascii="Calibri" w:cs="Calibri" w:eastAsia="Calibri" w:hAnsi="Calibri"/>
          <w:sz w:val="11"/>
          <w:szCs w:val="11"/>
          <w:color w:val="auto"/>
        </w:rPr>
        <w:t>This communicaton and the informaton it contains are intended for the person(s) or organizaton(s) named above and for no other person or organizaton and may be confdental and protected by law. Unauthorized use, copying or disclosure of any part is strictly prohibited and may be unlawful.</w:t>
      </w:r>
    </w:p>
    <w:p>
      <w:pPr>
        <w:spacing w:after="0" w:line="190" w:lineRule="exact"/>
        <w:rPr>
          <w:sz w:val="20"/>
          <w:szCs w:val="20"/>
          <w:color w:val="auto"/>
        </w:rPr>
      </w:pPr>
    </w:p>
    <w:p>
      <w:pPr>
        <w:spacing w:after="0"/>
        <w:rPr>
          <w:sz w:val="20"/>
          <w:szCs w:val="20"/>
          <w:color w:val="auto"/>
        </w:rPr>
      </w:pPr>
      <w:r>
        <w:rPr>
          <w:rFonts w:ascii="Calibri" w:cs="Calibri" w:eastAsia="Calibri" w:hAnsi="Calibri"/>
          <w:sz w:val="11"/>
          <w:szCs w:val="11"/>
          <w:color w:val="auto"/>
        </w:rPr>
        <w:t>Amarin 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2" w:right="339" w:bottom="1440" w:gutter="0" w:footer="0" w:header="0"/>
        </w:sectPr>
      </w:pPr>
    </w:p>
    <w:bookmarkStart w:id="100" w:name="page101"/>
    <w:bookmarkEnd w:id="100"/>
    <w:p>
      <w:pPr>
        <w:spacing w:after="0"/>
        <w:rPr>
          <w:sz w:val="20"/>
          <w:szCs w:val="20"/>
          <w:color w:val="auto"/>
        </w:rPr>
      </w:pPr>
      <w:r>
        <w:rPr>
          <w:rFonts w:ascii="Calibri" w:cs="Calibri" w:eastAsia="Calibri" w:hAnsi="Calibri"/>
          <w:sz w:val="20"/>
          <w:szCs w:val="20"/>
          <w:b w:val="1"/>
          <w:bCs w:val="1"/>
          <w:color w:val="1C355E"/>
        </w:rPr>
        <w:drawing>
          <wp:anchor simplePos="0" relativeHeight="251657728" behindDoc="1" locked="0" layoutInCell="0" allowOverlap="1">
            <wp:simplePos x="0" y="0"/>
            <wp:positionH relativeFrom="page">
              <wp:posOffset>208280</wp:posOffset>
            </wp:positionH>
            <wp:positionV relativeFrom="page">
              <wp:posOffset>88900</wp:posOffset>
            </wp:positionV>
            <wp:extent cx="342900" cy="3429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342900" cy="342900"/>
                    </a:xfrm>
                    <a:prstGeom prst="rect">
                      <a:avLst/>
                    </a:prstGeom>
                    <a:noFill/>
                  </pic:spPr>
                </pic:pic>
              </a:graphicData>
            </a:graphic>
          </wp:anchor>
        </w:drawing>
        <w:t>Amarin Pharma, Inc.</w:t>
      </w:r>
    </w:p>
    <w:p>
      <w:pPr>
        <w:spacing w:after="0" w:line="222" w:lineRule="auto"/>
        <w:rPr>
          <w:sz w:val="20"/>
          <w:szCs w:val="20"/>
          <w:color w:val="auto"/>
        </w:rPr>
      </w:pPr>
      <w:r>
        <w:rPr>
          <w:rFonts w:ascii="Calibri" w:cs="Calibri" w:eastAsia="Calibri" w:hAnsi="Calibri"/>
          <w:sz w:val="16"/>
          <w:szCs w:val="16"/>
          <w:color w:val="1C355E"/>
        </w:rPr>
        <w:t>440 Route 22, Suite 300</w:t>
      </w:r>
    </w:p>
    <w:p>
      <w:pPr>
        <w:spacing w:after="0" w:line="216" w:lineRule="auto"/>
        <w:rPr>
          <w:sz w:val="20"/>
          <w:szCs w:val="20"/>
          <w:color w:val="auto"/>
        </w:rPr>
      </w:pPr>
      <w:r>
        <w:rPr>
          <w:rFonts w:ascii="Calibri" w:cs="Calibri" w:eastAsia="Calibri" w:hAnsi="Calibri"/>
          <w:sz w:val="16"/>
          <w:szCs w:val="16"/>
          <w:color w:val="1C355E"/>
        </w:rPr>
        <w:t>Bridgewater, NJ 08807</w:t>
      </w:r>
    </w:p>
    <w:p>
      <w:pPr>
        <w:spacing w:after="0" w:line="21" w:lineRule="exact"/>
        <w:rPr>
          <w:sz w:val="20"/>
          <w:szCs w:val="20"/>
          <w:color w:val="auto"/>
        </w:rPr>
      </w:pPr>
    </w:p>
    <w:p>
      <w:pPr>
        <w:spacing w:after="0"/>
        <w:rPr>
          <w:sz w:val="20"/>
          <w:szCs w:val="20"/>
          <w:color w:val="auto"/>
        </w:rPr>
      </w:pPr>
      <w:r>
        <w:rPr>
          <w:rFonts w:ascii="Calibri" w:cs="Calibri" w:eastAsia="Calibri" w:hAnsi="Calibri"/>
          <w:sz w:val="16"/>
          <w:szCs w:val="16"/>
          <w:color w:val="1C355E"/>
        </w:rPr>
        <w:t>(908)719-1315</w:t>
      </w:r>
    </w:p>
    <w:p>
      <w:pPr>
        <w:spacing w:after="0" w:line="200" w:lineRule="exact"/>
        <w:rPr>
          <w:sz w:val="20"/>
          <w:szCs w:val="20"/>
          <w:color w:val="auto"/>
        </w:rPr>
      </w:pPr>
    </w:p>
    <w:p>
      <w:pPr>
        <w:spacing w:after="0" w:line="206" w:lineRule="exact"/>
        <w:rPr>
          <w:sz w:val="20"/>
          <w:szCs w:val="20"/>
          <w:color w:val="auto"/>
        </w:rPr>
      </w:pPr>
    </w:p>
    <w:p>
      <w:pPr>
        <w:ind w:left="760" w:right="100" w:hanging="752"/>
        <w:spacing w:after="0" w:line="249" w:lineRule="auto"/>
        <w:tabs>
          <w:tab w:leader="none" w:pos="76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Communications Regarding Your Departure</w:t>
      </w:r>
      <w:r>
        <w:rPr>
          <w:rFonts w:ascii="Times New Roman" w:cs="Times New Roman" w:eastAsia="Times New Roman" w:hAnsi="Times New Roman"/>
          <w:sz w:val="20"/>
          <w:szCs w:val="20"/>
          <w:color w:val="auto"/>
        </w:rPr>
        <w:t>. You agree to limit any communications regarding your transition and departure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statements not inconsistent with the formal written internal announcement about your transition and departure as well as the Form 8-K.</w:t>
      </w:r>
    </w:p>
    <w:p>
      <w:pPr>
        <w:spacing w:after="0" w:line="175" w:lineRule="exact"/>
        <w:rPr>
          <w:rFonts w:ascii="Times New Roman" w:cs="Times New Roman" w:eastAsia="Times New Roman" w:hAnsi="Times New Roman"/>
          <w:sz w:val="20"/>
          <w:szCs w:val="20"/>
          <w:b w:val="1"/>
          <w:bCs w:val="1"/>
          <w:color w:val="auto"/>
        </w:rPr>
      </w:pPr>
    </w:p>
    <w:p>
      <w:pPr>
        <w:ind w:left="760" w:hanging="752"/>
        <w:spacing w:after="0"/>
        <w:tabs>
          <w:tab w:leader="none" w:pos="76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 Treatment; Section 409A</w:t>
      </w:r>
    </w:p>
    <w:p>
      <w:pPr>
        <w:spacing w:after="0" w:line="219" w:lineRule="exact"/>
        <w:rPr>
          <w:rFonts w:ascii="Times New Roman" w:cs="Times New Roman" w:eastAsia="Times New Roman" w:hAnsi="Times New Roman"/>
          <w:sz w:val="20"/>
          <w:szCs w:val="20"/>
          <w:b w:val="1"/>
          <w:bCs w:val="1"/>
          <w:color w:val="auto"/>
        </w:rPr>
      </w:pPr>
    </w:p>
    <w:p>
      <w:pPr>
        <w:ind w:left="760" w:right="640" w:firstLine="745"/>
        <w:spacing w:after="0" w:line="243" w:lineRule="auto"/>
        <w:tabs>
          <w:tab w:leader="none" w:pos="1904"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undertake to make deductions, withholdings and tax reports with respect to payments and benefits under this Agreement to the extent that it reasonably and in good faith determines that it is required to make such deductions, withholdings and tax reports. Nothing in this Agreement shall be construed to require the Company to make any payments to compensate you for any adverse tax effect associated with any payments or benefits or for any deduction or withholding from any payment or benefit.</w:t>
      </w:r>
    </w:p>
    <w:p>
      <w:pPr>
        <w:spacing w:after="0" w:line="185" w:lineRule="exact"/>
        <w:rPr>
          <w:rFonts w:ascii="Times New Roman" w:cs="Times New Roman" w:eastAsia="Times New Roman" w:hAnsi="Times New Roman"/>
          <w:sz w:val="20"/>
          <w:szCs w:val="20"/>
          <w:color w:val="auto"/>
        </w:rPr>
      </w:pPr>
    </w:p>
    <w:p>
      <w:pPr>
        <w:ind w:left="760" w:right="40" w:firstLine="745"/>
        <w:spacing w:after="0" w:line="253" w:lineRule="auto"/>
        <w:tabs>
          <w:tab w:leader="none" w:pos="1904"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intend that payments under this Agreement will be exempt from or comply with Section 409A of the Internal Revenue Code of 1986, as amended (the “Code”). To the extent that any provision of this Agreement is ambiguous as to its exemption from or compliance with Section 409A of the Code, the provision shall be read in such a manner so that all payments hereunder are exempt from or comply with Section 409A of the Code. 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 Each payment pursuant to this Agreement is intended to constitute a separate payment for purposes of Treasury Regulation Section 1.409A 2(b)</w:t>
      </w:r>
    </w:p>
    <w:p>
      <w:pPr>
        <w:spacing w:after="0" w:line="2" w:lineRule="exact"/>
        <w:rPr>
          <w:rFonts w:ascii="Times New Roman" w:cs="Times New Roman" w:eastAsia="Times New Roman" w:hAnsi="Times New Roman"/>
          <w:sz w:val="19"/>
          <w:szCs w:val="19"/>
          <w:color w:val="auto"/>
        </w:rPr>
      </w:pPr>
    </w:p>
    <w:p>
      <w:pPr>
        <w:ind w:left="7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(2).</w:t>
      </w:r>
    </w:p>
    <w:p>
      <w:pPr>
        <w:spacing w:after="0" w:line="189" w:lineRule="exact"/>
        <w:rPr>
          <w:rFonts w:ascii="Times New Roman" w:cs="Times New Roman" w:eastAsia="Times New Roman" w:hAnsi="Times New Roman"/>
          <w:sz w:val="19"/>
          <w:szCs w:val="19"/>
          <w:color w:val="auto"/>
        </w:rPr>
      </w:pPr>
    </w:p>
    <w:p>
      <w:pPr>
        <w:ind w:left="760" w:hanging="752"/>
        <w:spacing w:after="0" w:line="241" w:lineRule="auto"/>
        <w:tabs>
          <w:tab w:leader="none" w:pos="76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Acknowledgements and Representations. </w:t>
      </w:r>
      <w:r>
        <w:rPr>
          <w:rFonts w:ascii="Times New Roman" w:cs="Times New Roman" w:eastAsia="Times New Roman" w:hAnsi="Times New Roman"/>
          <w:sz w:val="20"/>
          <w:szCs w:val="20"/>
          <w:color w:val="auto"/>
        </w:rPr>
        <w:t>You acknowledge and represent that you have not suffered any discrimination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harassment by any of the Releasees on account of your race, gender, national origin, religion, marital or registered domestic partner status, sexual orientation, age, disability, medical condition or any other characteristic protected by law. You acknowledge and represent that you have not been denied any leave, benefits or rights to which you may have been entitled under the FMLA or any other federal or state law, and that you have not suffered any job-related wrongs or injuries for which you might still be entitled to compensation or relief. You represent that you are not aware of any compliance or policy violation relating to the Company that has not been reported in writing to a compliance officer of the Company. You further acknowledge and represent that, except as expressly provided in this Agreement, you have been paid all wages, bonuses, compensation, benefits and other amounts that any of the Releasees has ever owed to you, and you understand that you will not receive any additional compensation, severance, or benefits after the Date of Termination, except as set forth in this Agreement.</w:t>
      </w:r>
    </w:p>
    <w:p>
      <w:pPr>
        <w:spacing w:after="0" w:line="174" w:lineRule="exact"/>
        <w:rPr>
          <w:rFonts w:ascii="Times New Roman" w:cs="Times New Roman" w:eastAsia="Times New Roman" w:hAnsi="Times New Roman"/>
          <w:sz w:val="20"/>
          <w:szCs w:val="20"/>
          <w:b w:val="1"/>
          <w:bCs w:val="1"/>
          <w:color w:val="auto"/>
        </w:rPr>
      </w:pPr>
    </w:p>
    <w:p>
      <w:pPr>
        <w:ind w:left="760" w:right="60" w:hanging="752"/>
        <w:spacing w:after="0" w:line="247" w:lineRule="auto"/>
        <w:tabs>
          <w:tab w:leader="none" w:pos="76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Time for Consideration; Effective Date. </w:t>
      </w:r>
      <w:r>
        <w:rPr>
          <w:rFonts w:ascii="Times New Roman" w:cs="Times New Roman" w:eastAsia="Times New Roman" w:hAnsi="Times New Roman"/>
          <w:sz w:val="20"/>
          <w:szCs w:val="20"/>
          <w:color w:val="auto"/>
        </w:rPr>
        <w:t>You acknowledge that you have knowingly and voluntarily entered into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that the Company advises you to consult with an attorney before signing this Agreement. You acknowledge that you have been given the opportunity, if you so desire, to consider this Agreement for twenty-one (21) days before executing it (the “Consideration Period”). To accept this Agreement, you must return a signed, unmodified original or PDF copy of this Agreement so that it is received by the undersigned at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822960" cy="1543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8229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0"/>
        <w:spacing w:after="0" w:line="234" w:lineRule="auto"/>
        <w:rPr>
          <w:sz w:val="20"/>
          <w:szCs w:val="20"/>
          <w:color w:val="auto"/>
        </w:rPr>
      </w:pPr>
      <w:r>
        <w:rPr>
          <w:rFonts w:ascii="Calibri" w:cs="Calibri" w:eastAsia="Calibri" w:hAnsi="Calibri"/>
          <w:sz w:val="11"/>
          <w:szCs w:val="11"/>
          <w:color w:val="auto"/>
        </w:rPr>
        <w:t>This communicaton and the informaton it contains are intended for the person(s) or organizaton(s) named above and for no other person or organizaton and may be confdental and protected by law. Unauthorized use, copying or disclosure of any part is strictly prohibited and may be unlawful.</w:t>
      </w:r>
    </w:p>
    <w:p>
      <w:pPr>
        <w:spacing w:after="0" w:line="190" w:lineRule="exact"/>
        <w:rPr>
          <w:sz w:val="20"/>
          <w:szCs w:val="20"/>
          <w:color w:val="auto"/>
        </w:rPr>
      </w:pPr>
    </w:p>
    <w:p>
      <w:pPr>
        <w:spacing w:after="0"/>
        <w:rPr>
          <w:sz w:val="20"/>
          <w:szCs w:val="20"/>
          <w:color w:val="auto"/>
        </w:rPr>
      </w:pPr>
      <w:r>
        <w:rPr>
          <w:rFonts w:ascii="Calibri" w:cs="Calibri" w:eastAsia="Calibri" w:hAnsi="Calibri"/>
          <w:sz w:val="11"/>
          <w:szCs w:val="11"/>
          <w:color w:val="auto"/>
        </w:rPr>
        <w:t>Amarin 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2" w:right="339" w:bottom="1440" w:gutter="0" w:footer="0" w:header="0"/>
        </w:sectPr>
      </w:pPr>
    </w:p>
    <w:bookmarkStart w:id="101" w:name="page102"/>
    <w:bookmarkEnd w:id="101"/>
    <w:p>
      <w:pPr>
        <w:spacing w:after="0"/>
        <w:rPr>
          <w:sz w:val="20"/>
          <w:szCs w:val="20"/>
          <w:color w:val="auto"/>
        </w:rPr>
      </w:pPr>
      <w:r>
        <w:rPr>
          <w:rFonts w:ascii="Calibri" w:cs="Calibri" w:eastAsia="Calibri" w:hAnsi="Calibri"/>
          <w:sz w:val="20"/>
          <w:szCs w:val="20"/>
          <w:b w:val="1"/>
          <w:bCs w:val="1"/>
          <w:color w:val="1C355E"/>
        </w:rPr>
        <w:drawing>
          <wp:anchor simplePos="0" relativeHeight="251657728" behindDoc="1" locked="0" layoutInCell="0" allowOverlap="1">
            <wp:simplePos x="0" y="0"/>
            <wp:positionH relativeFrom="page">
              <wp:posOffset>208280</wp:posOffset>
            </wp:positionH>
            <wp:positionV relativeFrom="page">
              <wp:posOffset>88900</wp:posOffset>
            </wp:positionV>
            <wp:extent cx="342900" cy="3429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342900" cy="342900"/>
                    </a:xfrm>
                    <a:prstGeom prst="rect">
                      <a:avLst/>
                    </a:prstGeom>
                    <a:noFill/>
                  </pic:spPr>
                </pic:pic>
              </a:graphicData>
            </a:graphic>
          </wp:anchor>
        </w:drawing>
        <w:t>Amarin Pharma, Inc.</w:t>
      </w:r>
    </w:p>
    <w:p>
      <w:pPr>
        <w:spacing w:after="0" w:line="222" w:lineRule="auto"/>
        <w:rPr>
          <w:sz w:val="20"/>
          <w:szCs w:val="20"/>
          <w:color w:val="auto"/>
        </w:rPr>
      </w:pPr>
      <w:r>
        <w:rPr>
          <w:rFonts w:ascii="Calibri" w:cs="Calibri" w:eastAsia="Calibri" w:hAnsi="Calibri"/>
          <w:sz w:val="16"/>
          <w:szCs w:val="16"/>
          <w:color w:val="1C355E"/>
        </w:rPr>
        <w:t>440 Route 22, Suite 300</w:t>
      </w:r>
    </w:p>
    <w:p>
      <w:pPr>
        <w:spacing w:after="0" w:line="216" w:lineRule="auto"/>
        <w:rPr>
          <w:sz w:val="20"/>
          <w:szCs w:val="20"/>
          <w:color w:val="auto"/>
        </w:rPr>
      </w:pPr>
      <w:r>
        <w:rPr>
          <w:rFonts w:ascii="Calibri" w:cs="Calibri" w:eastAsia="Calibri" w:hAnsi="Calibri"/>
          <w:sz w:val="16"/>
          <w:szCs w:val="16"/>
          <w:color w:val="1C355E"/>
        </w:rPr>
        <w:t>Bridgewater, NJ 08807</w:t>
      </w:r>
    </w:p>
    <w:p>
      <w:pPr>
        <w:spacing w:after="0" w:line="21" w:lineRule="exact"/>
        <w:rPr>
          <w:sz w:val="20"/>
          <w:szCs w:val="20"/>
          <w:color w:val="auto"/>
        </w:rPr>
      </w:pPr>
    </w:p>
    <w:p>
      <w:pPr>
        <w:spacing w:after="0"/>
        <w:rPr>
          <w:sz w:val="20"/>
          <w:szCs w:val="20"/>
          <w:color w:val="auto"/>
        </w:rPr>
      </w:pPr>
      <w:r>
        <w:rPr>
          <w:rFonts w:ascii="Calibri" w:cs="Calibri" w:eastAsia="Calibri" w:hAnsi="Calibri"/>
          <w:sz w:val="16"/>
          <w:szCs w:val="16"/>
          <w:color w:val="1C355E"/>
        </w:rPr>
        <w:t>(908)719-1315</w:t>
      </w:r>
    </w:p>
    <w:p>
      <w:pPr>
        <w:spacing w:after="0" w:line="200" w:lineRule="exact"/>
        <w:rPr>
          <w:sz w:val="20"/>
          <w:szCs w:val="20"/>
          <w:color w:val="auto"/>
        </w:rPr>
      </w:pPr>
    </w:p>
    <w:p>
      <w:pPr>
        <w:spacing w:after="0" w:line="210" w:lineRule="exact"/>
        <w:rPr>
          <w:sz w:val="20"/>
          <w:szCs w:val="20"/>
          <w:color w:val="auto"/>
        </w:rPr>
      </w:pPr>
    </w:p>
    <w:p>
      <w:pPr>
        <w:ind w:left="760"/>
        <w:spacing w:after="0" w:line="241" w:lineRule="auto"/>
        <w:rPr>
          <w:sz w:val="20"/>
          <w:szCs w:val="20"/>
          <w:color w:val="auto"/>
        </w:rPr>
      </w:pPr>
      <w:r>
        <w:rPr>
          <w:rFonts w:ascii="Times New Roman" w:cs="Times New Roman" w:eastAsia="Times New Roman" w:hAnsi="Times New Roman"/>
          <w:sz w:val="20"/>
          <w:szCs w:val="20"/>
          <w:color w:val="auto"/>
        </w:rPr>
        <w:t>before the expiration of the Consideration Period. If you breach any of the terms of this Agreement during the Consideration Period, the offer of this Agreement is withdrawn and your execution of the Agreement will not be valid. If you sign this Agreement before the end of the Consideration Period, you acknowledge that such decision was entirely voluntary and that you had the opportunity to consider this Agreement for the entire Consideration Period. For the period of seven (7) days from the date when you sign this Agreement, you have the right to revoke this Agreement by written notice to the undersigned, provided that such notice is delivered so that it is received at or before the expiration of the seven (7) day revocation period. This Agreement shall not become effective or enforceable during the revocation period. This Agreement shall become effective on the first business day following the expiration of the revocation period (the “Effective Date”).</w:t>
      </w:r>
    </w:p>
    <w:p>
      <w:pPr>
        <w:spacing w:after="0" w:line="174" w:lineRule="exact"/>
        <w:rPr>
          <w:sz w:val="20"/>
          <w:szCs w:val="20"/>
          <w:color w:val="auto"/>
        </w:rPr>
      </w:pPr>
    </w:p>
    <w:p>
      <w:pPr>
        <w:ind w:left="760" w:hanging="752"/>
        <w:spacing w:after="0"/>
        <w:tabs>
          <w:tab w:leader="none" w:pos="76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Provisions</w:t>
      </w:r>
    </w:p>
    <w:p>
      <w:pPr>
        <w:spacing w:after="0" w:line="215" w:lineRule="exact"/>
        <w:rPr>
          <w:rFonts w:ascii="Times New Roman" w:cs="Times New Roman" w:eastAsia="Times New Roman" w:hAnsi="Times New Roman"/>
          <w:sz w:val="20"/>
          <w:szCs w:val="20"/>
          <w:b w:val="1"/>
          <w:bCs w:val="1"/>
          <w:color w:val="auto"/>
        </w:rPr>
      </w:pPr>
    </w:p>
    <w:p>
      <w:pPr>
        <w:ind w:left="760" w:right="140" w:firstLine="745"/>
        <w:spacing w:after="0" w:line="273" w:lineRule="auto"/>
        <w:tabs>
          <w:tab w:leader="none" w:pos="190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Absence of Reliance</w:t>
      </w:r>
      <w:r>
        <w:rPr>
          <w:rFonts w:ascii="Times New Roman" w:cs="Times New Roman" w:eastAsia="Times New Roman" w:hAnsi="Times New Roman"/>
          <w:sz w:val="20"/>
          <w:szCs w:val="20"/>
          <w:color w:val="auto"/>
        </w:rPr>
        <w:t>. In signing this Agreement, you are not relying upon any promises or representations made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anyone at or on behalf of the Company.</w:t>
      </w:r>
    </w:p>
    <w:p>
      <w:pPr>
        <w:spacing w:after="0" w:line="151" w:lineRule="exact"/>
        <w:rPr>
          <w:rFonts w:ascii="Times New Roman" w:cs="Times New Roman" w:eastAsia="Times New Roman" w:hAnsi="Times New Roman"/>
          <w:sz w:val="20"/>
          <w:szCs w:val="20"/>
          <w:color w:val="auto"/>
        </w:rPr>
      </w:pPr>
    </w:p>
    <w:p>
      <w:pPr>
        <w:jc w:val="both"/>
        <w:ind w:left="760" w:right="100" w:firstLine="745"/>
        <w:spacing w:after="0" w:line="256" w:lineRule="auto"/>
        <w:tabs>
          <w:tab w:leader="none" w:pos="190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Admission of Liability</w:t>
      </w:r>
      <w:r>
        <w:rPr>
          <w:rFonts w:ascii="Times New Roman" w:cs="Times New Roman" w:eastAsia="Times New Roman" w:hAnsi="Times New Roman"/>
          <w:sz w:val="20"/>
          <w:szCs w:val="20"/>
          <w:color w:val="auto"/>
        </w:rPr>
        <w:t>. This Agreement does not constitute an admission of liability or wrongdoing on the part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Company, the Company does not admit there has been any wrongdoing whatsoever against you, and the Company expressly denies that any wrongdoing has occurred.</w:t>
      </w:r>
    </w:p>
    <w:p>
      <w:pPr>
        <w:spacing w:after="0" w:line="168" w:lineRule="exact"/>
        <w:rPr>
          <w:rFonts w:ascii="Times New Roman" w:cs="Times New Roman" w:eastAsia="Times New Roman" w:hAnsi="Times New Roman"/>
          <w:sz w:val="20"/>
          <w:szCs w:val="20"/>
          <w:color w:val="auto"/>
        </w:rPr>
      </w:pPr>
    </w:p>
    <w:p>
      <w:pPr>
        <w:ind w:left="760" w:right="20" w:firstLine="745"/>
        <w:spacing w:after="0" w:line="241" w:lineRule="auto"/>
        <w:tabs>
          <w:tab w:leader="none" w:pos="190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Entire Agreement</w:t>
      </w:r>
      <w:r>
        <w:rPr>
          <w:rFonts w:ascii="Times New Roman" w:cs="Times New Roman" w:eastAsia="Times New Roman" w:hAnsi="Times New Roman"/>
          <w:sz w:val="20"/>
          <w:szCs w:val="20"/>
          <w:color w:val="auto"/>
        </w:rPr>
        <w:t>. This Agreement, together with the Restrictive Covenants Agreement, constitutes the entire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agreement between you and the Company and supersedes any previous agreements or understandings between you and the Company, including, without limitation, any offer letter or employment agreement; except any provisions of the Employment Agreement which survive termination by their own terms, the Deed of Indemnity or other indemnification rights in place as of the Date of Termination (which shall provide indemnification to the fullest extent permitted by applicable law) , and any such applicable Equity Documents shall remain in full force and effect, subject to the terms of this Agreement. Notwithstanding any other term or condition in this Agreement, the Restrictive Covenants Agreement or any other agreement between the parties, you shall not be restricted from working for or with any other company in the pharmaceutical industry, excluding Hikma, DRL, Teva, or Apotex ; however, </w:t>
      </w:r>
      <w:r>
        <w:rPr>
          <w:rFonts w:ascii="Calibri" w:cs="Calibri" w:eastAsia="Calibri" w:hAnsi="Calibri"/>
          <w:sz w:val="20"/>
          <w:szCs w:val="20"/>
          <w:color w:val="auto"/>
        </w:rPr>
        <w:t>to the extent you receive an ofer from one of these enttes that does not impact the direct non-competton</w:t>
      </w:r>
      <w:r>
        <w:rPr>
          <w:rFonts w:ascii="Times New Roman" w:cs="Times New Roman" w:eastAsia="Times New Roman" w:hAnsi="Times New Roman"/>
          <w:sz w:val="20"/>
          <w:szCs w:val="20"/>
          <w:color w:val="auto"/>
        </w:rPr>
        <w:t xml:space="preserve"> </w:t>
      </w:r>
      <w:r>
        <w:rPr>
          <w:rFonts w:ascii="Calibri" w:cs="Calibri" w:eastAsia="Calibri" w:hAnsi="Calibri"/>
          <w:sz w:val="20"/>
          <w:szCs w:val="20"/>
          <w:color w:val="auto"/>
        </w:rPr>
        <w:t xml:space="preserve">provision, you will seek our consent which shall not be unreasonably withheld. </w:t>
      </w:r>
      <w:r>
        <w:rPr>
          <w:rFonts w:ascii="Times New Roman" w:cs="Times New Roman" w:eastAsia="Times New Roman" w:hAnsi="Times New Roman"/>
          <w:sz w:val="20"/>
          <w:szCs w:val="20"/>
          <w:color w:val="auto"/>
        </w:rPr>
        <w:t>For the sake of clarity, your restrictions with</w:t>
      </w:r>
      <w:r>
        <w:rPr>
          <w:rFonts w:ascii="Calibri" w:cs="Calibri" w:eastAsia="Calibri" w:hAnsi="Calibri"/>
          <w:sz w:val="20"/>
          <w:szCs w:val="20"/>
          <w:color w:val="auto"/>
        </w:rPr>
        <w:t xml:space="preserve"> </w:t>
      </w:r>
      <w:r>
        <w:rPr>
          <w:rFonts w:ascii="Times New Roman" w:cs="Times New Roman" w:eastAsia="Times New Roman" w:hAnsi="Times New Roman"/>
          <w:sz w:val="20"/>
          <w:szCs w:val="20"/>
          <w:color w:val="auto"/>
        </w:rPr>
        <w:t>regard to solicitation shall remain in full force and effect and you are reminded of your non-disclosure and confidentially obligations regardless of where you obtain future employment</w:t>
      </w:r>
    </w:p>
    <w:p>
      <w:pPr>
        <w:spacing w:after="0" w:line="183" w:lineRule="exact"/>
        <w:rPr>
          <w:rFonts w:ascii="Times New Roman" w:cs="Times New Roman" w:eastAsia="Times New Roman" w:hAnsi="Times New Roman"/>
          <w:sz w:val="20"/>
          <w:szCs w:val="20"/>
          <w:color w:val="auto"/>
        </w:rPr>
      </w:pPr>
    </w:p>
    <w:p>
      <w:pPr>
        <w:jc w:val="both"/>
        <w:ind w:left="760" w:right="20" w:firstLine="745"/>
        <w:spacing w:after="0" w:line="246" w:lineRule="auto"/>
        <w:tabs>
          <w:tab w:leader="none" w:pos="190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If any portion or provision of this Agreement (including, without limitation, any portion or provision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822960" cy="1543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8229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spacing w:after="0" w:line="222" w:lineRule="auto"/>
        <w:rPr>
          <w:sz w:val="20"/>
          <w:szCs w:val="20"/>
          <w:color w:val="auto"/>
        </w:rPr>
      </w:pPr>
      <w:r>
        <w:rPr>
          <w:rFonts w:ascii="Calibri" w:cs="Calibri" w:eastAsia="Calibri" w:hAnsi="Calibri"/>
          <w:sz w:val="11"/>
          <w:szCs w:val="11"/>
          <w:color w:val="auto"/>
        </w:rPr>
        <w:t>This communicaton and the informaton it contains are intended for the person(s) or organizaton(s) named above and for no other person or organizaton and may be confdental and protected by law. Unauthorized use, copying or disclosure of any part is strictly prohibited and may be unlawful.</w:t>
      </w:r>
    </w:p>
    <w:p>
      <w:pPr>
        <w:spacing w:after="0" w:line="190" w:lineRule="exact"/>
        <w:rPr>
          <w:sz w:val="20"/>
          <w:szCs w:val="20"/>
          <w:color w:val="auto"/>
        </w:rPr>
      </w:pPr>
    </w:p>
    <w:p>
      <w:pPr>
        <w:spacing w:after="0"/>
        <w:rPr>
          <w:sz w:val="20"/>
          <w:szCs w:val="20"/>
          <w:color w:val="auto"/>
        </w:rPr>
      </w:pPr>
      <w:r>
        <w:rPr>
          <w:rFonts w:ascii="Calibri" w:cs="Calibri" w:eastAsia="Calibri" w:hAnsi="Calibri"/>
          <w:sz w:val="11"/>
          <w:szCs w:val="11"/>
          <w:color w:val="auto"/>
        </w:rPr>
        <w:t>Amarin 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2" w:right="359" w:bottom="1440" w:gutter="0" w:footer="0" w:header="0"/>
        </w:sectPr>
      </w:pPr>
    </w:p>
    <w:bookmarkStart w:id="102" w:name="page103"/>
    <w:bookmarkEnd w:id="102"/>
    <w:p>
      <w:pPr>
        <w:spacing w:after="0"/>
        <w:rPr>
          <w:sz w:val="20"/>
          <w:szCs w:val="20"/>
          <w:color w:val="auto"/>
        </w:rPr>
      </w:pPr>
      <w:r>
        <w:rPr>
          <w:rFonts w:ascii="Calibri" w:cs="Calibri" w:eastAsia="Calibri" w:hAnsi="Calibri"/>
          <w:sz w:val="20"/>
          <w:szCs w:val="20"/>
          <w:b w:val="1"/>
          <w:bCs w:val="1"/>
          <w:color w:val="1C355E"/>
        </w:rPr>
        <w:drawing>
          <wp:anchor simplePos="0" relativeHeight="251657728" behindDoc="1" locked="0" layoutInCell="0" allowOverlap="1">
            <wp:simplePos x="0" y="0"/>
            <wp:positionH relativeFrom="page">
              <wp:posOffset>208280</wp:posOffset>
            </wp:positionH>
            <wp:positionV relativeFrom="page">
              <wp:posOffset>88900</wp:posOffset>
            </wp:positionV>
            <wp:extent cx="342900" cy="3429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342900" cy="342900"/>
                    </a:xfrm>
                    <a:prstGeom prst="rect">
                      <a:avLst/>
                    </a:prstGeom>
                    <a:noFill/>
                  </pic:spPr>
                </pic:pic>
              </a:graphicData>
            </a:graphic>
          </wp:anchor>
        </w:drawing>
        <w:t>Amarin Pharma, Inc.</w:t>
      </w:r>
    </w:p>
    <w:p>
      <w:pPr>
        <w:spacing w:after="0" w:line="222" w:lineRule="auto"/>
        <w:rPr>
          <w:sz w:val="20"/>
          <w:szCs w:val="20"/>
          <w:color w:val="auto"/>
        </w:rPr>
      </w:pPr>
      <w:r>
        <w:rPr>
          <w:rFonts w:ascii="Calibri" w:cs="Calibri" w:eastAsia="Calibri" w:hAnsi="Calibri"/>
          <w:sz w:val="16"/>
          <w:szCs w:val="16"/>
          <w:color w:val="1C355E"/>
        </w:rPr>
        <w:t>440 Route 22, Suite 300</w:t>
      </w:r>
    </w:p>
    <w:p>
      <w:pPr>
        <w:spacing w:after="0" w:line="216" w:lineRule="auto"/>
        <w:rPr>
          <w:sz w:val="20"/>
          <w:szCs w:val="20"/>
          <w:color w:val="auto"/>
        </w:rPr>
      </w:pPr>
      <w:r>
        <w:rPr>
          <w:rFonts w:ascii="Calibri" w:cs="Calibri" w:eastAsia="Calibri" w:hAnsi="Calibri"/>
          <w:sz w:val="16"/>
          <w:szCs w:val="16"/>
          <w:color w:val="1C355E"/>
        </w:rPr>
        <w:t>Bridgewater, NJ 08807</w:t>
      </w:r>
    </w:p>
    <w:p>
      <w:pPr>
        <w:spacing w:after="0" w:line="21" w:lineRule="exact"/>
        <w:rPr>
          <w:sz w:val="20"/>
          <w:szCs w:val="20"/>
          <w:color w:val="auto"/>
        </w:rPr>
      </w:pPr>
    </w:p>
    <w:p>
      <w:pPr>
        <w:spacing w:after="0"/>
        <w:rPr>
          <w:sz w:val="20"/>
          <w:szCs w:val="20"/>
          <w:color w:val="auto"/>
        </w:rPr>
      </w:pPr>
      <w:r>
        <w:rPr>
          <w:rFonts w:ascii="Calibri" w:cs="Calibri" w:eastAsia="Calibri" w:hAnsi="Calibri"/>
          <w:sz w:val="16"/>
          <w:szCs w:val="16"/>
          <w:color w:val="1C355E"/>
        </w:rPr>
        <w:t>(908)719-1315</w:t>
      </w:r>
    </w:p>
    <w:p>
      <w:pPr>
        <w:spacing w:after="0" w:line="200" w:lineRule="exact"/>
        <w:rPr>
          <w:sz w:val="20"/>
          <w:szCs w:val="20"/>
          <w:color w:val="auto"/>
        </w:rPr>
      </w:pP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and provision of this Agreement shall be valid and enforceable to the fullest extent permitted by law.</w:t>
      </w:r>
    </w:p>
    <w:p>
      <w:pPr>
        <w:spacing w:after="0" w:line="212" w:lineRule="exact"/>
        <w:rPr>
          <w:sz w:val="20"/>
          <w:szCs w:val="20"/>
          <w:color w:val="auto"/>
        </w:rPr>
      </w:pPr>
    </w:p>
    <w:p>
      <w:pPr>
        <w:ind w:left="760" w:firstLine="745"/>
        <w:spacing w:after="0" w:line="242" w:lineRule="auto"/>
        <w:tabs>
          <w:tab w:leader="none" w:pos="190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Relief</w:t>
      </w:r>
      <w:r>
        <w:rPr>
          <w:rFonts w:ascii="Times New Roman" w:cs="Times New Roman" w:eastAsia="Times New Roman" w:hAnsi="Times New Roman"/>
          <w:sz w:val="20"/>
          <w:szCs w:val="20"/>
          <w:color w:val="auto"/>
        </w:rPr>
        <w:t>. You agree that it would be difficult to measure any harm caused to the Company that might result from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breach by you of any of the Continuing Obligations. You further agree that money damages would be an inadequate remedy for any breach of the Continuing Obligations. Accordingly, you agree that if you breach, or propose to breach, any portion of the Continuing Obligations, the Company shall be entitled, in addition to all other remedies it may have, to an injunction or other appropriate equitable relief to restrain any such breach, without showing or proving any actual damage to the Company and without the necessity of posting a bond, and to its costs of enforcement of the Continuing Obligations, including its reasonable attorney’s fees and expenses.</w:t>
      </w:r>
    </w:p>
    <w:p>
      <w:pPr>
        <w:spacing w:after="0" w:line="172" w:lineRule="exact"/>
        <w:rPr>
          <w:rFonts w:ascii="Times New Roman" w:cs="Times New Roman" w:eastAsia="Times New Roman" w:hAnsi="Times New Roman"/>
          <w:sz w:val="20"/>
          <w:szCs w:val="20"/>
          <w:color w:val="auto"/>
        </w:rPr>
      </w:pPr>
    </w:p>
    <w:p>
      <w:pPr>
        <w:ind w:left="760" w:firstLine="745"/>
        <w:spacing w:after="0" w:line="250" w:lineRule="auto"/>
        <w:tabs>
          <w:tab w:leader="none" w:pos="190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Governing Law; Interpretation</w:t>
      </w:r>
      <w:r>
        <w:rPr>
          <w:rFonts w:ascii="Times New Roman" w:cs="Times New Roman" w:eastAsia="Times New Roman" w:hAnsi="Times New Roman"/>
          <w:sz w:val="20"/>
          <w:szCs w:val="20"/>
          <w:color w:val="auto"/>
        </w:rPr>
        <w:t>. This Agreement shall be governed by the laws of the State of New Jersey,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excluding the choice of law rules thereof. In the event of any dispute, this Agreement is intended by the parties to be construed as a whole, to be interpreted in accordance with its fair meaning, and not to be construed strictly for or against either you or the Company or the “drafter” of all or any portion of this Agreement.</w:t>
      </w:r>
    </w:p>
    <w:p>
      <w:pPr>
        <w:spacing w:after="0" w:line="175" w:lineRule="exact"/>
        <w:rPr>
          <w:rFonts w:ascii="Times New Roman" w:cs="Times New Roman" w:eastAsia="Times New Roman" w:hAnsi="Times New Roman"/>
          <w:sz w:val="20"/>
          <w:szCs w:val="20"/>
          <w:color w:val="auto"/>
        </w:rPr>
      </w:pPr>
    </w:p>
    <w:p>
      <w:pPr>
        <w:ind w:left="760" w:right="300" w:firstLine="745"/>
        <w:spacing w:after="0" w:line="246" w:lineRule="auto"/>
        <w:tabs>
          <w:tab w:leader="none" w:pos="190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Jurisdiction</w:t>
      </w:r>
      <w:r>
        <w:rPr>
          <w:rFonts w:ascii="Times New Roman" w:cs="Times New Roman" w:eastAsia="Times New Roman" w:hAnsi="Times New Roman"/>
          <w:sz w:val="20"/>
          <w:szCs w:val="20"/>
          <w:color w:val="auto"/>
        </w:rPr>
        <w:t>. You and the Company hereby agree that the state and federal courts in the State of New Jersey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the exclusive jurisdiction to consider any matters related to this Agreement, including without limitation any claim of a violation of this Agreement. With respect to any such court action, you submit to the jurisdiction of such courts and you acknowledge that venue in such courts is proper.</w:t>
      </w:r>
    </w:p>
    <w:p>
      <w:pPr>
        <w:spacing w:after="0" w:line="177" w:lineRule="exact"/>
        <w:rPr>
          <w:rFonts w:ascii="Times New Roman" w:cs="Times New Roman" w:eastAsia="Times New Roman" w:hAnsi="Times New Roman"/>
          <w:sz w:val="20"/>
          <w:szCs w:val="20"/>
          <w:color w:val="auto"/>
        </w:rPr>
      </w:pPr>
    </w:p>
    <w:p>
      <w:pPr>
        <w:jc w:val="both"/>
        <w:ind w:left="760" w:right="180" w:firstLine="745"/>
        <w:spacing w:after="0" w:line="247" w:lineRule="auto"/>
        <w:tabs>
          <w:tab w:leader="none" w:pos="190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Waiver; Amendment</w:t>
      </w:r>
      <w:r>
        <w:rPr>
          <w:rFonts w:ascii="Times New Roman" w:cs="Times New Roman" w:eastAsia="Times New Roman" w:hAnsi="Times New Roman"/>
          <w:sz w:val="20"/>
          <w:szCs w:val="20"/>
          <w:color w:val="auto"/>
        </w:rPr>
        <w:t>. No waiver of any provision of this Agreement shall be effective unless made in writing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signed by the waiving party. The failure of a party to require the performance of any term or obligation of this Agreement, or the waiver by a party of any breach of this Agreement, shall not prevent any subsequent enforcement of such term or obligation or be deemed a waiver of any subsequent breach. This Agreement may not be modified or amended except in a writing signed by both you and the Chief Executive Officer.</w:t>
      </w:r>
    </w:p>
    <w:p>
      <w:pPr>
        <w:spacing w:after="0" w:line="166" w:lineRule="exact"/>
        <w:rPr>
          <w:rFonts w:ascii="Times New Roman" w:cs="Times New Roman" w:eastAsia="Times New Roman" w:hAnsi="Times New Roman"/>
          <w:sz w:val="20"/>
          <w:szCs w:val="20"/>
          <w:color w:val="auto"/>
        </w:rPr>
      </w:pPr>
    </w:p>
    <w:p>
      <w:pPr>
        <w:ind w:left="760" w:right="40" w:firstLine="745"/>
        <w:spacing w:after="0" w:line="256" w:lineRule="auto"/>
        <w:tabs>
          <w:tab w:leader="none" w:pos="190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Agreement may be executed in separate counterparts. When both counterparts are signed, they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treated together as one and the same document. Electronic and pdf signatures shall be deemed to have the same legal effect as originals.</w:t>
      </w: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822960" cy="1543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8229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
        <w:spacing w:after="0" w:line="222" w:lineRule="auto"/>
        <w:rPr>
          <w:sz w:val="20"/>
          <w:szCs w:val="20"/>
          <w:color w:val="auto"/>
        </w:rPr>
      </w:pPr>
      <w:r>
        <w:rPr>
          <w:rFonts w:ascii="Calibri" w:cs="Calibri" w:eastAsia="Calibri" w:hAnsi="Calibri"/>
          <w:sz w:val="11"/>
          <w:szCs w:val="11"/>
          <w:color w:val="auto"/>
        </w:rPr>
        <w:t>This communicaton and the informaton it contains are intended for the person(s) or organizaton(s) named above and for no other person or organizaton and may be confdental and protected by law. Unauthorized use, copying or disclosure of any part is strictly prohibited and may be unlawful.</w:t>
      </w:r>
    </w:p>
    <w:p>
      <w:pPr>
        <w:spacing w:after="0" w:line="190" w:lineRule="exact"/>
        <w:rPr>
          <w:sz w:val="20"/>
          <w:szCs w:val="20"/>
          <w:color w:val="auto"/>
        </w:rPr>
      </w:pPr>
    </w:p>
    <w:p>
      <w:pPr>
        <w:spacing w:after="0"/>
        <w:rPr>
          <w:sz w:val="20"/>
          <w:szCs w:val="20"/>
          <w:color w:val="auto"/>
        </w:rPr>
      </w:pPr>
      <w:r>
        <w:rPr>
          <w:rFonts w:ascii="Calibri" w:cs="Calibri" w:eastAsia="Calibri" w:hAnsi="Calibri"/>
          <w:sz w:val="11"/>
          <w:szCs w:val="11"/>
          <w:color w:val="auto"/>
        </w:rPr>
        <w:t>Amarin 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72" w:right="379" w:bottom="1440" w:gutter="0" w:footer="0" w:header="0"/>
        </w:sectPr>
      </w:pPr>
    </w:p>
    <w:bookmarkStart w:id="103" w:name="page104"/>
    <w:bookmarkEnd w:id="103"/>
    <w:p>
      <w:pPr>
        <w:spacing w:after="0"/>
        <w:rPr>
          <w:sz w:val="20"/>
          <w:szCs w:val="20"/>
          <w:color w:val="auto"/>
        </w:rPr>
      </w:pPr>
      <w:r>
        <w:rPr>
          <w:rFonts w:ascii="Calibri" w:cs="Calibri" w:eastAsia="Calibri" w:hAnsi="Calibri"/>
          <w:sz w:val="20"/>
          <w:szCs w:val="20"/>
          <w:b w:val="1"/>
          <w:bCs w:val="1"/>
          <w:color w:val="1C355E"/>
        </w:rPr>
        <w:drawing>
          <wp:anchor simplePos="0" relativeHeight="251657728" behindDoc="1" locked="0" layoutInCell="0" allowOverlap="1">
            <wp:simplePos x="0" y="0"/>
            <wp:positionH relativeFrom="page">
              <wp:posOffset>208280</wp:posOffset>
            </wp:positionH>
            <wp:positionV relativeFrom="page">
              <wp:posOffset>88900</wp:posOffset>
            </wp:positionV>
            <wp:extent cx="342900" cy="3429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clrChange>
                        <a:clrFrom>
                          <a:srgbClr val="FFFFFF"/>
                        </a:clrFrom>
                        <a:clrTo>
                          <a:srgbClr val="FFFFFF">
                            <a:alpha val="0"/>
                          </a:srgbClr>
                        </a:clrTo>
                      </a:clrChange>
                      <a:extLst>
                        <a:ext uri="{28A0092B-C50C-407E-A947-70E740481C1C}"/>
                      </a:extLst>
                    </a:blip>
                    <a:srcRect/>
                    <a:stretch>
                      <a:fillRect/>
                    </a:stretch>
                  </pic:blipFill>
                  <pic:spPr bwMode="auto">
                    <a:xfrm>
                      <a:off x="0" y="0"/>
                      <a:ext cx="342900" cy="342900"/>
                    </a:xfrm>
                    <a:prstGeom prst="rect">
                      <a:avLst/>
                    </a:prstGeom>
                    <a:noFill/>
                  </pic:spPr>
                </pic:pic>
              </a:graphicData>
            </a:graphic>
          </wp:anchor>
        </w:drawing>
        <w:t>Amarin Pharma, Inc.</w:t>
      </w:r>
    </w:p>
    <w:p>
      <w:pPr>
        <w:spacing w:after="0" w:line="222" w:lineRule="auto"/>
        <w:rPr>
          <w:sz w:val="20"/>
          <w:szCs w:val="20"/>
          <w:color w:val="auto"/>
        </w:rPr>
      </w:pPr>
      <w:r>
        <w:rPr>
          <w:rFonts w:ascii="Calibri" w:cs="Calibri" w:eastAsia="Calibri" w:hAnsi="Calibri"/>
          <w:sz w:val="16"/>
          <w:szCs w:val="16"/>
          <w:color w:val="1C355E"/>
        </w:rPr>
        <w:t>440 Route 22, Suite 300</w:t>
      </w:r>
    </w:p>
    <w:p>
      <w:pPr>
        <w:spacing w:after="0" w:line="216" w:lineRule="auto"/>
        <w:rPr>
          <w:sz w:val="20"/>
          <w:szCs w:val="20"/>
          <w:color w:val="auto"/>
        </w:rPr>
      </w:pPr>
      <w:r>
        <w:rPr>
          <w:rFonts w:ascii="Calibri" w:cs="Calibri" w:eastAsia="Calibri" w:hAnsi="Calibri"/>
          <w:sz w:val="16"/>
          <w:szCs w:val="16"/>
          <w:color w:val="1C355E"/>
        </w:rPr>
        <w:t>Bridgewater, NJ 08807</w:t>
      </w:r>
    </w:p>
    <w:p>
      <w:pPr>
        <w:spacing w:after="0" w:line="21" w:lineRule="exact"/>
        <w:rPr>
          <w:sz w:val="20"/>
          <w:szCs w:val="20"/>
          <w:color w:val="auto"/>
        </w:rPr>
      </w:pPr>
    </w:p>
    <w:p>
      <w:pPr>
        <w:spacing w:after="0"/>
        <w:rPr>
          <w:sz w:val="20"/>
          <w:szCs w:val="20"/>
          <w:color w:val="auto"/>
        </w:rPr>
      </w:pPr>
      <w:r>
        <w:rPr>
          <w:rFonts w:ascii="Calibri" w:cs="Calibri" w:eastAsia="Calibri" w:hAnsi="Calibri"/>
          <w:sz w:val="16"/>
          <w:szCs w:val="16"/>
          <w:color w:val="1C355E"/>
        </w:rPr>
        <w:t>(908)719-1315</w:t>
      </w:r>
    </w:p>
    <w:p>
      <w:pPr>
        <w:spacing w:after="0" w:line="200" w:lineRule="exact"/>
        <w:rPr>
          <w:sz w:val="20"/>
          <w:szCs w:val="20"/>
          <w:color w:val="auto"/>
        </w:rPr>
      </w:pPr>
    </w:p>
    <w:p>
      <w:pPr>
        <w:spacing w:after="0" w:line="210"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Please indicate your agreement to the terms of this Agreement by signing and returning the original or a PDF copy of this letter within the time period set forth above.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wish you good luck in your future endeavors.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Amarin Pharma,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/s/Jason M.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04330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Jason M. Marks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EVP, Chief Legal &amp; Compliance Officer and Corporate Secretary</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Attachments:  Exhibit A – Restrictive Covenants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3854450</wp:posOffset>
            </wp:positionV>
            <wp:extent cx="822960" cy="154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8229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22" w:lineRule="auto"/>
        <w:rPr>
          <w:sz w:val="20"/>
          <w:szCs w:val="20"/>
          <w:color w:val="auto"/>
        </w:rPr>
      </w:pPr>
      <w:r>
        <w:rPr>
          <w:rFonts w:ascii="Calibri" w:cs="Calibri" w:eastAsia="Calibri" w:hAnsi="Calibri"/>
          <w:sz w:val="11"/>
          <w:szCs w:val="11"/>
          <w:color w:val="auto"/>
        </w:rPr>
        <w:t>This communicaton and the informaton it contains are intended for the person(s) or organizaton(s) named above and for no other person or organizaton and may be confdental and protected by law. Unauthorized use, copying or disclosure of any part is strictly prohibited and may be unlawful.</w:t>
      </w:r>
    </w:p>
    <w:p>
      <w:pPr>
        <w:spacing w:after="0" w:line="203" w:lineRule="exact"/>
        <w:rPr>
          <w:sz w:val="20"/>
          <w:szCs w:val="20"/>
          <w:color w:val="auto"/>
        </w:rPr>
      </w:pPr>
    </w:p>
    <w:p>
      <w:pPr>
        <w:spacing w:after="0"/>
        <w:rPr>
          <w:sz w:val="20"/>
          <w:szCs w:val="20"/>
          <w:color w:val="auto"/>
        </w:rPr>
      </w:pPr>
      <w:r>
        <w:rPr>
          <w:rFonts w:ascii="Calibri" w:cs="Calibri" w:eastAsia="Calibri" w:hAnsi="Calibri"/>
          <w:sz w:val="11"/>
          <w:szCs w:val="11"/>
          <w:color w:val="auto"/>
        </w:rPr>
        <w:t>Amarin 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72" w:right="399" w:bottom="1440" w:gutter="0" w:footer="0" w:header="0"/>
        </w:sectPr>
      </w:pPr>
    </w:p>
    <w:bookmarkStart w:id="104" w:name="page105"/>
    <w:bookmarkEnd w:id="104"/>
    <w:p>
      <w:pPr>
        <w:spacing w:after="0"/>
        <w:rPr>
          <w:sz w:val="20"/>
          <w:szCs w:val="20"/>
          <w:color w:val="auto"/>
        </w:rPr>
      </w:pPr>
      <w:r>
        <w:rPr>
          <w:rFonts w:ascii="Calibri" w:cs="Calibri" w:eastAsia="Calibri" w:hAnsi="Calibri"/>
          <w:sz w:val="20"/>
          <w:szCs w:val="20"/>
          <w:b w:val="1"/>
          <w:bCs w:val="1"/>
          <w:color w:val="1C355E"/>
        </w:rPr>
        <w:drawing>
          <wp:anchor simplePos="0" relativeHeight="251657728" behindDoc="1" locked="0" layoutInCell="0" allowOverlap="1">
            <wp:simplePos x="0" y="0"/>
            <wp:positionH relativeFrom="page">
              <wp:posOffset>208280</wp:posOffset>
            </wp:positionH>
            <wp:positionV relativeFrom="page">
              <wp:posOffset>88900</wp:posOffset>
            </wp:positionV>
            <wp:extent cx="342900" cy="3429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clrChange>
                        <a:clrFrom>
                          <a:srgbClr val="FFFFFF"/>
                        </a:clrFrom>
                        <a:clrTo>
                          <a:srgbClr val="FFFFFF">
                            <a:alpha val="0"/>
                          </a:srgbClr>
                        </a:clrTo>
                      </a:clrChange>
                      <a:extLst>
                        <a:ext uri="{28A0092B-C50C-407E-A947-70E740481C1C}"/>
                      </a:extLst>
                    </a:blip>
                    <a:srcRect/>
                    <a:stretch>
                      <a:fillRect/>
                    </a:stretch>
                  </pic:blipFill>
                  <pic:spPr bwMode="auto">
                    <a:xfrm>
                      <a:off x="0" y="0"/>
                      <a:ext cx="342900" cy="342900"/>
                    </a:xfrm>
                    <a:prstGeom prst="rect">
                      <a:avLst/>
                    </a:prstGeom>
                    <a:noFill/>
                  </pic:spPr>
                </pic:pic>
              </a:graphicData>
            </a:graphic>
          </wp:anchor>
        </w:drawing>
        <w:t>Amarin Pharma, Inc.</w:t>
      </w:r>
    </w:p>
    <w:p>
      <w:pPr>
        <w:spacing w:after="0" w:line="222" w:lineRule="auto"/>
        <w:rPr>
          <w:sz w:val="20"/>
          <w:szCs w:val="20"/>
          <w:color w:val="auto"/>
        </w:rPr>
      </w:pPr>
      <w:r>
        <w:rPr>
          <w:rFonts w:ascii="Calibri" w:cs="Calibri" w:eastAsia="Calibri" w:hAnsi="Calibri"/>
          <w:sz w:val="16"/>
          <w:szCs w:val="16"/>
          <w:color w:val="1C355E"/>
        </w:rPr>
        <w:t>440 Route 22, Suite 300</w:t>
      </w:r>
    </w:p>
    <w:p>
      <w:pPr>
        <w:spacing w:after="0" w:line="216" w:lineRule="auto"/>
        <w:rPr>
          <w:sz w:val="20"/>
          <w:szCs w:val="20"/>
          <w:color w:val="auto"/>
        </w:rPr>
      </w:pPr>
      <w:r>
        <w:rPr>
          <w:rFonts w:ascii="Calibri" w:cs="Calibri" w:eastAsia="Calibri" w:hAnsi="Calibri"/>
          <w:sz w:val="16"/>
          <w:szCs w:val="16"/>
          <w:color w:val="1C355E"/>
        </w:rPr>
        <w:t>Bridgewater, NJ 08807</w:t>
      </w:r>
    </w:p>
    <w:p>
      <w:pPr>
        <w:spacing w:after="0" w:line="21" w:lineRule="exact"/>
        <w:rPr>
          <w:sz w:val="20"/>
          <w:szCs w:val="20"/>
          <w:color w:val="auto"/>
        </w:rPr>
      </w:pPr>
    </w:p>
    <w:p>
      <w:pPr>
        <w:spacing w:after="0"/>
        <w:rPr>
          <w:sz w:val="20"/>
          <w:szCs w:val="20"/>
          <w:color w:val="auto"/>
        </w:rPr>
      </w:pPr>
      <w:r>
        <w:rPr>
          <w:rFonts w:ascii="Calibri" w:cs="Calibri" w:eastAsia="Calibri" w:hAnsi="Calibri"/>
          <w:sz w:val="16"/>
          <w:szCs w:val="16"/>
          <w:color w:val="1C355E"/>
        </w:rPr>
        <w:t>(908)719-1315</w:t>
      </w:r>
    </w:p>
    <w:p>
      <w:pPr>
        <w:spacing w:after="0" w:line="200" w:lineRule="exact"/>
        <w:rPr>
          <w:sz w:val="20"/>
          <w:szCs w:val="20"/>
          <w:color w:val="auto"/>
        </w:rPr>
      </w:pPr>
    </w:p>
    <w:p>
      <w:pPr>
        <w:spacing w:after="0" w:line="223"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20"/>
          <w:szCs w:val="20"/>
          <w:color w:val="auto"/>
        </w:rPr>
        <w:t>This is a legal document. Your signature will commit you to its terms. By signing below, you acknowledge that you have carefully read and fully understand all of the provisions of this Agreement and that you are knowingly and voluntarily entering into this Agreement.</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/s/Michael Kalb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5074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Michael W. Kalb</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/s/Jason M.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04330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Jason M. Marks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EVP, Chief Legal &amp; Compliance Officer and Corporate Secretary</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Attachments:  Exhibit A – Non-Disclosure Agreement</w:t>
      </w:r>
    </w:p>
    <w:p>
      <w:pPr>
        <w:spacing w:after="0" w:line="21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9"/>
          <w:szCs w:val="19"/>
          <w:color w:val="auto"/>
        </w:rPr>
        <w:t>I HAVE READ THIS AGREEMENT. I UNDERSTAND THAT I AM GIVING UP IMPORTANT RIGHTS PER SECTION 3, ABOVE. I AM AWARE OF MY RIGHT TO CONSULT WITH AN ATTORNEY OF MY OWN CHOOSING DURING THE CONSIDERATION PERIOD, AND THAT THE COMPANY HAS ADVISED ME TO UNDERTAKE SUCH CONSULTATION BEFORE SIGNING THIS AGREEMENT. I SIGN THIS AGREEMENT FREELY AND VOLUNTARILY, WITHOUT DURESS OR COERCION INTENDING TO WAIVE, SETTLE, AND RELEASE ALL CLAIMS I HAVE OR MIGHT HAVE AGAINST RELEASEES. I AGREE THAT ANY MODIFICATIONS, MATERIAL OR OTHERWISE, MADE TO THIS AGREEMENT, DO NOT RESTART OR AFFECT IN ANY MANNER THE ORIGINAL TWENTY-ONE (21) CALENDAR DAY CONSIDERATION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Agreed: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/s/Michael W. Kalb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5074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Michael W. Kalb</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822960" cy="154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8229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22" w:lineRule="auto"/>
        <w:rPr>
          <w:sz w:val="20"/>
          <w:szCs w:val="20"/>
          <w:color w:val="auto"/>
        </w:rPr>
      </w:pPr>
      <w:r>
        <w:rPr>
          <w:rFonts w:ascii="Calibri" w:cs="Calibri" w:eastAsia="Calibri" w:hAnsi="Calibri"/>
          <w:sz w:val="11"/>
          <w:szCs w:val="11"/>
          <w:color w:val="auto"/>
        </w:rPr>
        <w:t>This communicaton and the informaton it contains are intended for the person(s) or organizaton(s) named above and for no other person or organizaton and may be confdental and protected by law. Unauthorized use, copying or disclosure of any part is strictly prohibited and may be unlawful.</w:t>
      </w:r>
    </w:p>
    <w:p>
      <w:pPr>
        <w:spacing w:after="0" w:line="203" w:lineRule="exact"/>
        <w:rPr>
          <w:sz w:val="20"/>
          <w:szCs w:val="20"/>
          <w:color w:val="auto"/>
        </w:rPr>
      </w:pPr>
    </w:p>
    <w:p>
      <w:pPr>
        <w:spacing w:after="0"/>
        <w:rPr>
          <w:sz w:val="20"/>
          <w:szCs w:val="20"/>
          <w:color w:val="auto"/>
        </w:rPr>
      </w:pPr>
      <w:r>
        <w:rPr>
          <w:rFonts w:ascii="Calibri" w:cs="Calibri" w:eastAsia="Calibri" w:hAnsi="Calibri"/>
          <w:sz w:val="11"/>
          <w:szCs w:val="11"/>
          <w:color w:val="auto"/>
        </w:rPr>
        <w:t>Amarin 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72" w:right="39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Karim Mikhail, certify that:</w:t>
      </w:r>
    </w:p>
    <w:p>
      <w:pPr>
        <w:spacing w:after="0" w:line="104" w:lineRule="exact"/>
        <w:rPr>
          <w:sz w:val="20"/>
          <w:szCs w:val="20"/>
          <w:color w:val="auto"/>
        </w:rPr>
      </w:pPr>
    </w:p>
    <w:p>
      <w:pPr>
        <w:ind w:left="360" w:hanging="352"/>
        <w:spacing w:after="0"/>
        <w:tabs>
          <w:tab w:leader="none" w:pos="3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50" w:lineRule="auto"/>
        <w:tabs>
          <w:tab w:leader="none" w:pos="37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360" w:hanging="512"/>
        <w:spacing w:after="0" w:line="266" w:lineRule="auto"/>
        <w:tabs>
          <w:tab w:leader="none" w:pos="37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right="260" w:hanging="512"/>
        <w:spacing w:after="0" w:line="258" w:lineRule="auto"/>
        <w:tabs>
          <w:tab w:leader="none" w:pos="37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right="80" w:hanging="479"/>
        <w:spacing w:after="0" w:line="258" w:lineRule="auto"/>
        <w:tabs>
          <w:tab w:leader="none" w:pos="89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479"/>
        <w:spacing w:after="0" w:line="258" w:lineRule="auto"/>
        <w:tabs>
          <w:tab w:leader="none" w:pos="89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1020" w:right="480" w:hanging="479"/>
        <w:spacing w:after="0" w:line="266" w:lineRule="auto"/>
        <w:tabs>
          <w:tab w:leader="none" w:pos="89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right="120" w:hanging="479"/>
        <w:spacing w:after="0" w:line="250" w:lineRule="auto"/>
        <w:tabs>
          <w:tab w:leader="none" w:pos="89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520" w:right="300" w:hanging="512"/>
        <w:spacing w:after="0" w:line="266" w:lineRule="auto"/>
        <w:tabs>
          <w:tab w:leader="none" w:pos="37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540" w:hanging="479"/>
        <w:spacing w:after="0" w:line="266" w:lineRule="auto"/>
        <w:tabs>
          <w:tab w:leader="none" w:pos="89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7580" w:val="left"/>
          <w:tab w:leader="none" w:pos="7940" w:val="left"/>
        </w:tabs>
        <w:rPr>
          <w:sz w:val="20"/>
          <w:szCs w:val="20"/>
          <w:color w:val="auto"/>
        </w:rPr>
      </w:pPr>
      <w:r>
        <w:rPr>
          <w:rFonts w:ascii="Times New Roman" w:cs="Times New Roman" w:eastAsia="Times New Roman" w:hAnsi="Times New Roman"/>
          <w:sz w:val="18"/>
          <w:szCs w:val="18"/>
          <w:color w:val="auto"/>
        </w:rPr>
        <w:t>Date: August 3, 2022</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Karim Mikhail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Karim Mikhail</w:t>
      </w:r>
    </w:p>
    <w:p>
      <w:pPr>
        <w:spacing w:after="0" w:line="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74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Tom Reilly, certify that:</w:t>
      </w:r>
    </w:p>
    <w:p>
      <w:pPr>
        <w:spacing w:after="0" w:line="104" w:lineRule="exact"/>
        <w:rPr>
          <w:sz w:val="20"/>
          <w:szCs w:val="20"/>
          <w:color w:val="auto"/>
        </w:rPr>
      </w:pPr>
    </w:p>
    <w:p>
      <w:pPr>
        <w:ind w:left="360" w:hanging="352"/>
        <w:spacing w:after="0"/>
        <w:tabs>
          <w:tab w:leader="none" w:pos="3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50" w:lineRule="auto"/>
        <w:tabs>
          <w:tab w:leader="none" w:pos="37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360" w:hanging="512"/>
        <w:spacing w:after="0" w:line="266" w:lineRule="auto"/>
        <w:tabs>
          <w:tab w:leader="none" w:pos="37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right="260" w:hanging="512"/>
        <w:spacing w:after="0" w:line="258" w:lineRule="auto"/>
        <w:tabs>
          <w:tab w:leader="none" w:pos="37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right="80" w:hanging="479"/>
        <w:spacing w:after="0" w:line="258" w:lineRule="auto"/>
        <w:tabs>
          <w:tab w:leader="none" w:pos="89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479"/>
        <w:spacing w:after="0" w:line="258" w:lineRule="auto"/>
        <w:tabs>
          <w:tab w:leader="none" w:pos="89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1020" w:right="480" w:hanging="479"/>
        <w:spacing w:after="0" w:line="266" w:lineRule="auto"/>
        <w:tabs>
          <w:tab w:leader="none" w:pos="89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right="120" w:hanging="479"/>
        <w:spacing w:after="0" w:line="250" w:lineRule="auto"/>
        <w:tabs>
          <w:tab w:leader="none" w:pos="89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520" w:right="300" w:hanging="512"/>
        <w:spacing w:after="0" w:line="266" w:lineRule="auto"/>
        <w:tabs>
          <w:tab w:leader="none" w:pos="37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540" w:hanging="479"/>
        <w:spacing w:after="0" w:line="266" w:lineRule="auto"/>
        <w:tabs>
          <w:tab w:leader="none" w:pos="89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7900" w:val="left"/>
          <w:tab w:leader="none" w:pos="8240" w:val="left"/>
        </w:tabs>
        <w:rPr>
          <w:sz w:val="20"/>
          <w:szCs w:val="20"/>
          <w:color w:val="auto"/>
        </w:rPr>
      </w:pPr>
      <w:r>
        <w:rPr>
          <w:rFonts w:ascii="Times New Roman" w:cs="Times New Roman" w:eastAsia="Times New Roman" w:hAnsi="Times New Roman"/>
          <w:sz w:val="18"/>
          <w:szCs w:val="18"/>
          <w:color w:val="auto"/>
        </w:rPr>
        <w:t>Date: August 3, 2022</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Tom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Tom Reilly</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192"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and Section 1350 of Chapter 63 of Title 18 of the United States Code (18 U.S.C. §1350), Karim Mikhail, President and Chief Executive Officer (Principal Executive Officer) of Amarin Corporation plc (the “Company”), and Tom Reilly, Senior Vice President and Chief Financial Officer (Principal Financial Officer and Principal Accounting Officer) of the Company, each hereby certifies that, to the best of his knowledge:</w:t>
      </w:r>
    </w:p>
    <w:p>
      <w:pPr>
        <w:spacing w:after="0" w:line="164" w:lineRule="exact"/>
        <w:rPr>
          <w:sz w:val="20"/>
          <w:szCs w:val="20"/>
          <w:color w:val="auto"/>
        </w:rPr>
      </w:pPr>
    </w:p>
    <w:p>
      <w:pPr>
        <w:ind w:right="600" w:firstLine="8"/>
        <w:spacing w:after="0" w:line="266" w:lineRule="auto"/>
        <w:tabs>
          <w:tab w:leader="none" w:pos="3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2022, to which this Certification is attached as Exhibit 32.1 (the “Quarterly Report”) fully complies with the requirements of Section 13(a) or 15(d) of the Securities Exchange Act of 1934; and</w:t>
      </w:r>
    </w:p>
    <w:p>
      <w:pPr>
        <w:spacing w:after="0" w:line="162" w:lineRule="exact"/>
        <w:rPr>
          <w:rFonts w:ascii="Times New Roman" w:cs="Times New Roman" w:eastAsia="Times New Roman" w:hAnsi="Times New Roman"/>
          <w:sz w:val="18"/>
          <w:szCs w:val="18"/>
          <w:color w:val="auto"/>
        </w:rPr>
      </w:pPr>
    </w:p>
    <w:p>
      <w:pPr>
        <w:ind w:right="480" w:firstLine="8"/>
        <w:spacing w:after="0" w:line="266" w:lineRule="auto"/>
        <w:tabs>
          <w:tab w:leader="none" w:pos="3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365" w:lineRule="exact"/>
        <w:rPr>
          <w:sz w:val="20"/>
          <w:szCs w:val="20"/>
          <w:color w:val="auto"/>
        </w:rPr>
      </w:pPr>
    </w:p>
    <w:p>
      <w:pPr>
        <w:ind w:left="5760"/>
        <w:spacing w:after="0"/>
        <w:tabs>
          <w:tab w:leader="none" w:pos="6080" w:val="left"/>
        </w:tabs>
        <w:rPr>
          <w:sz w:val="20"/>
          <w:szCs w:val="20"/>
          <w:color w:val="auto"/>
        </w:rPr>
      </w:pPr>
      <w:r>
        <w:rPr>
          <w:rFonts w:ascii="Times New Roman" w:cs="Times New Roman" w:eastAsia="Times New Roman" w:hAnsi="Times New Roman"/>
          <w:sz w:val="18"/>
          <w:szCs w:val="18"/>
          <w:color w:val="auto"/>
        </w:rPr>
        <w:t>/s/</w:t>
        <w:tab/>
        <w:t>Karim Mikhail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August 3, 2022</w:t>
      </w:r>
      <w:r>
        <w:rPr>
          <w:sz w:val="20"/>
          <w:szCs w:val="20"/>
          <w:color w:val="auto"/>
        </w:rPr>
        <w:tab/>
      </w:r>
      <w:r>
        <w:rPr>
          <w:rFonts w:ascii="Times New Roman" w:cs="Times New Roman" w:eastAsia="Times New Roman" w:hAnsi="Times New Roman"/>
          <w:sz w:val="18"/>
          <w:szCs w:val="18"/>
          <w:color w:val="auto"/>
        </w:rPr>
        <w:t>Karim Mikhail</w:t>
      </w:r>
    </w:p>
    <w:p>
      <w:pPr>
        <w:spacing w:after="0" w:line="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5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ind w:left="5760"/>
        <w:spacing w:after="0"/>
        <w:tabs>
          <w:tab w:leader="none" w:pos="60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Tom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August 3, 2022</w:t>
      </w:r>
      <w:r>
        <w:rPr>
          <w:sz w:val="20"/>
          <w:szCs w:val="20"/>
          <w:color w:val="auto"/>
        </w:rPr>
        <w:tab/>
      </w:r>
      <w:r>
        <w:rPr>
          <w:rFonts w:ascii="Times New Roman" w:cs="Times New Roman" w:eastAsia="Times New Roman" w:hAnsi="Times New Roman"/>
          <w:sz w:val="17"/>
          <w:szCs w:val="17"/>
          <w:color w:val="auto"/>
        </w:rPr>
        <w:t>Tom Reilly</w:t>
      </w:r>
    </w:p>
    <w:p>
      <w:pPr>
        <w:spacing w:after="0" w:line="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ind w:left="57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08" w:name="page109"/>
    <w:bookmarkEnd w:id="10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1)"/>
      <w:numFmt w:val="decimal"/>
      <w:start w:val="1"/>
    </w:lvl>
  </w:abstractNum>
  <w:abstractNum w:abstractNumId="13">
    <w:nsid w:val="77465F01"/>
    <w:multiLevelType w:val="hybridMultilevel"/>
    <w:lvl w:ilvl="0">
      <w:lvlJc w:val="left"/>
      <w:lvlText w:val="(%1)"/>
      <w:numFmt w:val="decimal"/>
      <w:start w:val="3"/>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1."/>
      <w:numFmt w:val="decimal"/>
      <w:start w:val="4"/>
    </w:lvl>
  </w:abstractNum>
  <w:abstractNum w:abstractNumId="42">
    <w:nsid w:val="79A1DEAA"/>
    <w:multiLevelType w:val="hybridMultilevel"/>
    <w:lvl w:ilvl="0">
      <w:lvlJc w:val="left"/>
      <w:lvlText w:val="%1."/>
      <w:numFmt w:val="decimal"/>
      <w:start w:val="1"/>
    </w:lvl>
  </w:abstractNum>
  <w:abstractNum w:abstractNumId="43">
    <w:nsid w:val="75C6C33A"/>
    <w:multiLevelType w:val="hybridMultilevel"/>
    <w:lvl w:ilvl="0">
      <w:lvlJc w:val="left"/>
      <w:lvlText w:val="%1."/>
      <w:numFmt w:val="decimal"/>
      <w:start w:val="3"/>
    </w:lvl>
  </w:abstractNum>
  <w:abstractNum w:abstractNumId="44">
    <w:nsid w:val="12E685FB"/>
    <w:multiLevelType w:val="hybridMultilevel"/>
    <w:lvl w:ilvl="0">
      <w:lvlJc w:val="left"/>
      <w:lvlText w:val="%1."/>
      <w:numFmt w:val="decimal"/>
      <w:start w:val="8"/>
    </w:lvl>
  </w:abstractNum>
  <w:abstractNum w:abstractNumId="45">
    <w:nsid w:val="70C6A529"/>
    <w:multiLevelType w:val="hybridMultilevel"/>
    <w:lvl w:ilvl="0">
      <w:lvlJc w:val="left"/>
      <w:lvlText w:val="%1."/>
      <w:numFmt w:val="decimal"/>
      <w:start w:val="12"/>
    </w:lvl>
  </w:abstractNum>
  <w:abstractNum w:abstractNumId="46">
    <w:nsid w:val="520EEDD1"/>
    <w:multiLevelType w:val="hybridMultilevel"/>
    <w:lvl w:ilvl="0">
      <w:lvlJc w:val="left"/>
      <w:lvlText w:val="%1."/>
      <w:numFmt w:val="decimal"/>
      <w:start w:val="16"/>
    </w:lvl>
  </w:abstractNum>
  <w:abstractNum w:abstractNumId="47">
    <w:nsid w:val="374A3FE6"/>
    <w:multiLevelType w:val="hybridMultilevel"/>
    <w:lvl w:ilvl="0">
      <w:lvlJc w:val="left"/>
      <w:lvlText w:val="%1."/>
      <w:numFmt w:val="decimal"/>
      <w:start w:val="1"/>
    </w:lvl>
    <w:lvl w:ilvl="1">
      <w:lvlJc w:val="left"/>
      <w:lvlText w:val="(%2)"/>
      <w:numFmt w:val="lowerLetter"/>
      <w:start w:val="1"/>
    </w:lvl>
  </w:abstractNum>
  <w:abstractNum w:abstractNumId="48">
    <w:nsid w:val="4F4EF005"/>
    <w:multiLevelType w:val="hybridMultilevel"/>
    <w:lvl w:ilvl="0">
      <w:lvlJc w:val="left"/>
      <w:lvlText w:val="%1"/>
      <w:numFmt w:val="decimal"/>
      <w:start w:val="1"/>
    </w:lvl>
    <w:lvl w:ilvl="1">
      <w:lvlJc w:val="left"/>
      <w:lvlText w:val="(%2)"/>
      <w:numFmt w:val="lowerLetter"/>
      <w:start w:val="3"/>
    </w:lvl>
  </w:abstractNum>
  <w:abstractNum w:abstractNumId="49">
    <w:nsid w:val="23F9C13C"/>
    <w:multiLevelType w:val="hybridMultilevel"/>
    <w:lvl w:ilvl="0">
      <w:lvlJc w:val="left"/>
      <w:lvlText w:val="%1."/>
      <w:numFmt w:val="decimal"/>
      <w:start w:val="2"/>
    </w:lvl>
    <w:lvl w:ilvl="1">
      <w:lvlJc w:val="left"/>
      <w:lvlText w:val="%2"/>
      <w:numFmt w:val="lowerLetter"/>
      <w:start w:val="1"/>
    </w:lvl>
  </w:abstractNum>
  <w:abstractNum w:abstractNumId="50">
    <w:nsid w:val="649BB77C"/>
    <w:multiLevelType w:val="hybridMultilevel"/>
    <w:lvl w:ilvl="0">
      <w:lvlJc w:val="left"/>
      <w:lvlText w:val="%1."/>
      <w:numFmt w:val="decimal"/>
      <w:start w:val="4"/>
    </w:lvl>
    <w:lvl w:ilvl="1">
      <w:lvlJc w:val="left"/>
      <w:lvlText w:val="(%2)"/>
      <w:numFmt w:val="lowerLetter"/>
      <w:start w:val="1"/>
    </w:lvl>
  </w:abstractNum>
  <w:abstractNum w:abstractNumId="51">
    <w:nsid w:val="275AC794"/>
    <w:multiLevelType w:val="hybridMultilevel"/>
    <w:lvl w:ilvl="0">
      <w:lvlJc w:val="left"/>
      <w:lvlText w:val="(%1)"/>
      <w:numFmt w:val="lowerLetter"/>
      <w:start w:val="4"/>
    </w:lvl>
  </w:abstractNum>
  <w:abstractNum w:abstractNumId="52">
    <w:nsid w:val="39386575"/>
    <w:multiLevelType w:val="hybridMultilevel"/>
    <w:lvl w:ilvl="0">
      <w:lvlJc w:val="left"/>
      <w:lvlText w:val="%1."/>
      <w:numFmt w:val="decimal"/>
      <w:start w:val="5"/>
    </w:lvl>
  </w:abstractNum>
  <w:abstractNum w:abstractNumId="53">
    <w:nsid w:val="1CF10FD8"/>
    <w:multiLevelType w:val="hybridMultilevel"/>
    <w:lvl w:ilvl="0">
      <w:lvlJc w:val="left"/>
      <w:lvlText w:val="%1."/>
      <w:numFmt w:val="decimal"/>
      <w:start w:val="7"/>
    </w:lvl>
    <w:lvl w:ilvl="1">
      <w:lvlJc w:val="left"/>
      <w:lvlText w:val="(%2)"/>
      <w:numFmt w:val="lowerLetter"/>
      <w:start w:val="1"/>
    </w:lvl>
  </w:abstractNum>
  <w:abstractNum w:abstractNumId="54">
    <w:nsid w:val="180115BE"/>
    <w:multiLevelType w:val="hybridMultilevel"/>
    <w:lvl w:ilvl="0">
      <w:lvlJc w:val="left"/>
      <w:lvlText w:val="%1."/>
      <w:numFmt w:val="decimal"/>
      <w:start w:val="8"/>
    </w:lvl>
    <w:lvl w:ilvl="1">
      <w:lvlJc w:val="left"/>
      <w:lvlText w:val="(%2)"/>
      <w:numFmt w:val="lowerLetter"/>
      <w:start w:val="1"/>
    </w:lvl>
  </w:abstractNum>
  <w:abstractNum w:abstractNumId="55">
    <w:nsid w:val="235BA861"/>
    <w:multiLevelType w:val="hybridMultilevel"/>
    <w:lvl w:ilvl="0">
      <w:lvlJc w:val="left"/>
      <w:lvlText w:val="%1."/>
      <w:numFmt w:val="decimal"/>
      <w:start w:val="12"/>
    </w:lvl>
    <w:lvl w:ilvl="1">
      <w:lvlJc w:val="left"/>
      <w:lvlText w:val="(%2)"/>
      <w:numFmt w:val="lowerLetter"/>
      <w:start w:val="1"/>
    </w:lvl>
  </w:abstractNum>
  <w:abstractNum w:abstractNumId="56">
    <w:nsid w:val="47398C89"/>
    <w:multiLevelType w:val="hybridMultilevel"/>
    <w:lvl w:ilvl="0">
      <w:lvlJc w:val="left"/>
      <w:lvlText w:val="(%1)"/>
      <w:numFmt w:val="lowerLetter"/>
      <w:start w:val="5"/>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jpe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jpeg"/><Relationship Id="rId267" Type="http://schemas.openxmlformats.org/officeDocument/2006/relationships/image" Target="media/image259.png"/><Relationship Id="rId268" Type="http://schemas.openxmlformats.org/officeDocument/2006/relationships/image" Target="media/image260.jpeg"/><Relationship Id="rId269" Type="http://schemas.openxmlformats.org/officeDocument/2006/relationships/image" Target="media/image261.png"/><Relationship Id="rId270" Type="http://schemas.openxmlformats.org/officeDocument/2006/relationships/image" Target="media/image262.jpeg"/><Relationship Id="rId271" Type="http://schemas.openxmlformats.org/officeDocument/2006/relationships/image" Target="media/image263.png"/><Relationship Id="rId272" Type="http://schemas.openxmlformats.org/officeDocument/2006/relationships/image" Target="media/image264.jpeg"/><Relationship Id="rId273" Type="http://schemas.openxmlformats.org/officeDocument/2006/relationships/image" Target="media/image265.png"/><Relationship Id="rId274" Type="http://schemas.openxmlformats.org/officeDocument/2006/relationships/image" Target="media/image266.jpeg"/><Relationship Id="rId275" Type="http://schemas.openxmlformats.org/officeDocument/2006/relationships/image" Target="media/image267.png"/><Relationship Id="rId276" Type="http://schemas.openxmlformats.org/officeDocument/2006/relationships/image" Target="media/image268.jpeg"/><Relationship Id="rId277" Type="http://schemas.openxmlformats.org/officeDocument/2006/relationships/image" Target="media/image269.png"/><Relationship Id="rId278" Type="http://schemas.openxmlformats.org/officeDocument/2006/relationships/image" Target="media/image270.jpeg"/><Relationship Id="rId279" Type="http://schemas.openxmlformats.org/officeDocument/2006/relationships/image" Target="media/image271.jpeg"/><Relationship Id="rId280" Type="http://schemas.openxmlformats.org/officeDocument/2006/relationships/image" Target="media/image272.png"/><Relationship Id="rId281" Type="http://schemas.openxmlformats.org/officeDocument/2006/relationships/image" Target="media/image273.jpeg"/><Relationship Id="rId282" Type="http://schemas.openxmlformats.org/officeDocument/2006/relationships/image" Target="media/image274.jpeg"/><Relationship Id="rId283" Type="http://schemas.openxmlformats.org/officeDocument/2006/relationships/image" Target="media/image275.png"/><Relationship Id="rId284" Type="http://schemas.openxmlformats.org/officeDocument/2006/relationships/image" Target="media/image276.jpeg"/><Relationship Id="rId285" Type="http://schemas.openxmlformats.org/officeDocument/2006/relationships/image" Target="media/image277.jpeg"/><Relationship Id="rId286" Type="http://schemas.openxmlformats.org/officeDocument/2006/relationships/image" Target="media/image278.png"/><Relationship Id="rId287" Type="http://schemas.openxmlformats.org/officeDocument/2006/relationships/image" Target="media/image279.jpeg"/><Relationship Id="rId288" Type="http://schemas.openxmlformats.org/officeDocument/2006/relationships/image" Target="media/image280.jpeg"/><Relationship Id="rId289" Type="http://schemas.openxmlformats.org/officeDocument/2006/relationships/image" Target="media/image281.png"/><Relationship Id="rId290" Type="http://schemas.openxmlformats.org/officeDocument/2006/relationships/image" Target="media/image282.jpeg"/><Relationship Id="rId291" Type="http://schemas.openxmlformats.org/officeDocument/2006/relationships/image" Target="media/image283.jpeg"/><Relationship Id="rId292" Type="http://schemas.openxmlformats.org/officeDocument/2006/relationships/image" Target="media/image284.png"/><Relationship Id="rId293" Type="http://schemas.openxmlformats.org/officeDocument/2006/relationships/image" Target="media/image285.jpeg"/><Relationship Id="rId294" Type="http://schemas.openxmlformats.org/officeDocument/2006/relationships/image" Target="media/image286.jpeg"/><Relationship Id="rId295" Type="http://schemas.openxmlformats.org/officeDocument/2006/relationships/image" Target="media/image287.png"/><Relationship Id="rId296" Type="http://schemas.openxmlformats.org/officeDocument/2006/relationships/image" Target="media/image288.jpeg"/><Relationship Id="rId297" Type="http://schemas.openxmlformats.org/officeDocument/2006/relationships/image" Target="media/image289.jpeg"/><Relationship Id="rId298" Type="http://schemas.openxmlformats.org/officeDocument/2006/relationships/image" Target="media/image290.png"/><Relationship Id="rId299" Type="http://schemas.openxmlformats.org/officeDocument/2006/relationships/image" Target="media/image291.jpeg"/><Relationship Id="rId300" Type="http://schemas.openxmlformats.org/officeDocument/2006/relationships/image" Target="media/image292.jpeg"/><Relationship Id="rId301" Type="http://schemas.openxmlformats.org/officeDocument/2006/relationships/image" Target="media/image293.png"/><Relationship Id="rId302" Type="http://schemas.openxmlformats.org/officeDocument/2006/relationships/image" Target="media/image294.jpeg"/><Relationship Id="rId303" Type="http://schemas.openxmlformats.org/officeDocument/2006/relationships/image" Target="media/image295.png"/><Relationship Id="rId304" Type="http://schemas.openxmlformats.org/officeDocument/2006/relationships/image" Target="media/image296.jpeg"/><Relationship Id="rId305" Type="http://schemas.openxmlformats.org/officeDocument/2006/relationships/image" Target="media/image297.png"/><Relationship Id="rId306" Type="http://schemas.openxmlformats.org/officeDocument/2006/relationships/image" Target="media/image298.jpe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jpe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246" Type="http://schemas.openxmlformats.org/officeDocument/2006/relationships/hyperlink" Target="https://www.sec.gov/Archives/edgar/data/897448/000119312522186302/d35198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2022-08-03T06:18:30Z</dcterms:created>
  <dcterms:modified xsi:type="dcterms:W3CDTF">2022-08-03T06:18:30Z</dcterms:modified>
</cp:coreProperties>
</file>