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-207010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ind w:left="360" w:hanging="352"/>
        <w:spacing w:after="0" w:line="215" w:lineRule="auto"/>
        <w:tabs>
          <w:tab w:leader="none" w:pos="360" w:val="left"/>
        </w:tabs>
        <w:numPr>
          <w:ilvl w:val="0"/>
          <w:numId w:val="2"/>
        </w:numPr>
        <w:rPr>
          <w:rFonts w:ascii="MS PGothic" w:cs="MS PGothic" w:eastAsia="MS PGothic" w:hAnsi="MS PGothic"/>
          <w:sz w:val="3"/>
          <w:szCs w:val="3"/>
          <w:color w:val="auto"/>
        </w:rPr>
      </w:pPr>
      <w:r>
        <w:rPr>
          <w:rFonts w:ascii="Times New Roman" w:cs="Times New Roman" w:eastAsia="Times New Roman" w:hAnsi="Times New Roman"/>
          <w:sz w:val="3"/>
          <w:szCs w:val="3"/>
          <w:b w:val="1"/>
          <w:bCs w:val="1"/>
          <w:color w:val="auto"/>
        </w:rPr>
        <w:t>TRANSITION REPORT PURSUANT TO SECTION 13 OR 15(d) OF THE SECURITIES EXCHANGE ACT OF 1934</w:t>
      </w:r>
    </w:p>
    <w:p>
      <w:pPr>
        <w:spacing w:after="0" w:line="226" w:lineRule="exact"/>
        <w:rPr>
          <w:sz w:val="24"/>
          <w:szCs w:val="24"/>
          <w:color w:val="auto"/>
        </w:rPr>
      </w:pPr>
    </w:p>
    <w:p>
      <w:pPr>
        <w:ind w:left="520"/>
        <w:spacing w:after="0"/>
        <w:tabs>
          <w:tab w:leader="none" w:pos="3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No. 0-21392</w:t>
      </w:r>
    </w:p>
    <w:p>
      <w:pPr>
        <w:spacing w:after="0" w:line="12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-270510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7480" w:type="dxa"/>
            <w:vAlign w:val="bottom"/>
            <w:gridSpan w:val="4"/>
          </w:tcPr>
          <w:p>
            <w:pPr>
              <w:jc w:val="center"/>
              <w:ind w:left="363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80" w:type="dxa"/>
            <w:vAlign w:val="bottom"/>
          </w:tcPr>
          <w:p>
            <w:pPr>
              <w:jc w:val="center"/>
              <w:ind w:left="1558"/>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gridSpan w:val="3"/>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7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60" w:type="dxa"/>
            <w:vAlign w:val="bottom"/>
            <w:gridSpan w:val="3"/>
          </w:tcPr>
          <w:p>
            <w:pPr>
              <w:jc w:val="center"/>
              <w:ind w:right="17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980" w:type="dxa"/>
            <w:vAlign w:val="bottom"/>
          </w:tcPr>
          <w:p>
            <w:pPr>
              <w:jc w:val="center"/>
              <w:ind w:left="157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5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One Central Plaza, 5th Floor,</w:t>
            </w:r>
          </w:p>
        </w:tc>
        <w:tc>
          <w:tcPr>
            <w:tcW w:w="3760" w:type="dxa"/>
            <w:vAlign w:val="bottom"/>
            <w:gridSpan w:val="3"/>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35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36 Dame Street, Dublin 2, Ireland</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3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80" w:type="dxa"/>
            <w:vAlign w:val="bottom"/>
          </w:tcPr>
          <w:p>
            <w:pPr>
              <w:spacing w:after="0"/>
              <w:rPr>
                <w:sz w:val="18"/>
                <w:szCs w:val="18"/>
                <w:color w:val="auto"/>
              </w:rPr>
            </w:pPr>
          </w:p>
        </w:tc>
        <w:tc>
          <w:tcPr>
            <w:tcW w:w="2800" w:type="dxa"/>
            <w:vAlign w:val="bottom"/>
            <w:gridSpan w:val="2"/>
          </w:tcPr>
          <w:p>
            <w:pPr>
              <w:jc w:val="center"/>
              <w:ind w:left="357"/>
              <w:spacing w:after="0"/>
              <w:rPr>
                <w:sz w:val="20"/>
                <w:szCs w:val="20"/>
                <w:color w:val="auto"/>
              </w:rPr>
            </w:pPr>
            <w:r>
              <w:rPr>
                <w:rFonts w:ascii="Times New Roman" w:cs="Times New Roman" w:eastAsia="Times New Roman" w:hAnsi="Times New Roman"/>
                <w:sz w:val="18"/>
                <w:szCs w:val="18"/>
                <w:b w:val="1"/>
                <w:bCs w:val="1"/>
                <w:color w:val="auto"/>
                <w:w w:val="99"/>
              </w:rPr>
              <w:t>+353 (0) 1 6699 020</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35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140" w:type="dxa"/>
            <w:vAlign w:val="bottom"/>
            <w:tcBorders>
              <w:bottom w:val="single" w:sz="8" w:color="auto"/>
            </w:tcBorders>
            <w:gridSpan w:val="5"/>
          </w:tcPr>
          <w:p>
            <w:pPr>
              <w:jc w:val="center"/>
              <w:ind w:left="301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7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80" w:type="dxa"/>
            <w:vAlign w:val="bottom"/>
            <w:tcBorders>
              <w:left w:val="single" w:sz="8" w:color="auto"/>
            </w:tcBorders>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58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700" w:type="dxa"/>
            <w:vAlign w:val="bottom"/>
          </w:tcPr>
          <w:p>
            <w:pPr>
              <w:spacing w:after="0"/>
              <w:rPr>
                <w:sz w:val="19"/>
                <w:szCs w:val="19"/>
                <w:color w:val="auto"/>
              </w:rPr>
            </w:pPr>
          </w:p>
        </w:tc>
        <w:tc>
          <w:tcPr>
            <w:tcW w:w="3760" w:type="dxa"/>
            <w:vAlign w:val="bottom"/>
            <w:tcBorders>
              <w:right w:val="single" w:sz="8" w:color="auto"/>
            </w:tcBorders>
            <w:gridSpan w:val="3"/>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30"/>
        </w:trPr>
        <w:tc>
          <w:tcPr>
            <w:tcW w:w="3980" w:type="dxa"/>
            <w:vAlign w:val="bottom"/>
            <w:tcBorders>
              <w:left w:val="single" w:sz="8" w:color="auto"/>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980" w:type="dxa"/>
            <w:vAlign w:val="bottom"/>
          </w:tcPr>
          <w:p>
            <w:pPr>
              <w:jc w:val="center"/>
              <w:ind w:left="458"/>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58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222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tcPr>
          <w:p>
            <w:pPr>
              <w:jc w:val="center"/>
              <w:ind w:left="458"/>
              <w:spacing w:after="0"/>
              <w:rPr>
                <w:sz w:val="20"/>
                <w:szCs w:val="20"/>
                <w:color w:val="auto"/>
              </w:rPr>
            </w:pPr>
            <w:r>
              <w:rPr>
                <w:rFonts w:ascii="Times New Roman" w:cs="Times New Roman" w:eastAsia="Times New Roman" w:hAnsi="Times New Roman"/>
                <w:sz w:val="16"/>
                <w:szCs w:val="16"/>
                <w:color w:val="auto"/>
              </w:rPr>
              <w:t>Amarin Corporation plc</w:t>
            </w:r>
          </w:p>
        </w:tc>
        <w:tc>
          <w:tcPr>
            <w:tcW w:w="58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700" w:type="dxa"/>
            <w:vAlign w:val="bottom"/>
          </w:tcPr>
          <w:p>
            <w:pPr>
              <w:spacing w:after="0"/>
              <w:rPr>
                <w:sz w:val="18"/>
                <w:szCs w:val="18"/>
                <w:color w:val="auto"/>
              </w:rPr>
            </w:pPr>
          </w:p>
        </w:tc>
        <w:tc>
          <w:tcPr>
            <w:tcW w:w="3760" w:type="dxa"/>
            <w:vAlign w:val="bottom"/>
            <w:tcBorders>
              <w:right w:val="single" w:sz="8" w:color="auto"/>
            </w:tcBorders>
            <w:gridSpan w:val="3"/>
          </w:tcPr>
          <w:p>
            <w:pPr>
              <w:jc w:val="center"/>
              <w:ind w:right="639"/>
              <w:spacing w:after="0"/>
              <w:rPr>
                <w:sz w:val="20"/>
                <w:szCs w:val="20"/>
                <w:color w:val="auto"/>
              </w:rPr>
            </w:pPr>
            <w:r>
              <w:rPr>
                <w:rFonts w:ascii="Times New Roman" w:cs="Times New Roman" w:eastAsia="Times New Roman" w:hAnsi="Times New Roman"/>
                <w:sz w:val="16"/>
                <w:szCs w:val="16"/>
                <w:color w:val="auto"/>
              </w:rPr>
              <w:t>Nasdaq Stock Market LLC</w:t>
            </w:r>
          </w:p>
        </w:tc>
        <w:tc>
          <w:tcPr>
            <w:tcW w:w="0" w:type="dxa"/>
            <w:vAlign w:val="bottom"/>
          </w:tcPr>
          <w:p>
            <w:pPr>
              <w:spacing w:after="0"/>
              <w:rPr>
                <w:sz w:val="1"/>
                <w:szCs w:val="1"/>
                <w:color w:val="auto"/>
              </w:rPr>
            </w:pPr>
          </w:p>
        </w:tc>
      </w:tr>
      <w:tr>
        <w:trPr>
          <w:trHeight w:val="33"/>
        </w:trPr>
        <w:tc>
          <w:tcPr>
            <w:tcW w:w="4560" w:type="dxa"/>
            <w:vAlign w:val="bottom"/>
            <w:tcBorders>
              <w:bottom w:val="single" w:sz="8" w:color="auto"/>
              <w:right w:val="single" w:sz="8" w:color="auto"/>
            </w:tcBorders>
            <w:gridSpan w:val="2"/>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14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700" w:type="dxa"/>
            <w:vAlign w:val="bottom"/>
          </w:tcPr>
          <w:p>
            <w:pPr>
              <w:jc w:val="center"/>
              <w:ind w:right="59"/>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40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2"/>
        </w:trPr>
        <w:tc>
          <w:tcPr>
            <w:tcW w:w="814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7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4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firstLine="37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4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60" w:firstLine="374"/>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520" w:type="dxa"/>
            <w:vAlign w:val="bottom"/>
          </w:tcPr>
          <w:p>
            <w:pPr>
              <w:ind w:left="1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520" w:type="dxa"/>
            <w:vAlign w:val="bottom"/>
          </w:tcPr>
          <w:p>
            <w:pPr>
              <w:ind w:left="1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552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24"/>
                <w:szCs w:val="24"/>
                <w:color w:val="auto"/>
              </w:rPr>
            </w:pPr>
          </w:p>
        </w:tc>
      </w:tr>
    </w:tbl>
    <w:p>
      <w:pPr>
        <w:spacing w:after="0" w:line="12" w:lineRule="exact"/>
        <w:rPr>
          <w:sz w:val="24"/>
          <w:szCs w:val="24"/>
          <w:color w:val="auto"/>
        </w:rPr>
      </w:pPr>
    </w:p>
    <w:p>
      <w:pPr>
        <w:jc w:val="both"/>
        <w:ind w:right="20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p>
      <w:pPr>
        <w:spacing w:after="0" w:line="26" w:lineRule="exact"/>
        <w:rPr>
          <w:sz w:val="24"/>
          <w:szCs w:val="24"/>
          <w:color w:val="auto"/>
        </w:rPr>
      </w:pPr>
    </w:p>
    <w:p>
      <w:pPr>
        <w:jc w:val="center"/>
        <w:ind w:right="80"/>
        <w:spacing w:after="0" w:line="184" w:lineRule="exact"/>
        <w:rPr>
          <w:sz w:val="20"/>
          <w:szCs w:val="20"/>
          <w:color w:val="auto"/>
        </w:rPr>
      </w:pPr>
      <w:r>
        <w:rPr>
          <w:rFonts w:ascii="Times New Roman" w:cs="Times New Roman" w:eastAsia="Times New Roman" w:hAnsi="Times New Roman"/>
          <w:sz w:val="16"/>
          <w:szCs w:val="16"/>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5" w:lineRule="exact"/>
        <w:rPr>
          <w:sz w:val="24"/>
          <w:szCs w:val="24"/>
          <w:color w:val="auto"/>
        </w:rPr>
      </w:pPr>
    </w:p>
    <w:p>
      <w:pPr>
        <w:ind w:right="180" w:firstLine="374"/>
        <w:spacing w:after="0" w:line="21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180" w:firstLine="37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7"/>
          <w:szCs w:val="17"/>
          <w:color w:val="auto"/>
        </w:rPr>
        <w:t>§240.10D-1(b).</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 w:lineRule="exact"/>
        <w:rPr>
          <w:sz w:val="24"/>
          <w:szCs w:val="24"/>
          <w:color w:val="auto"/>
        </w:rPr>
      </w:pPr>
    </w:p>
    <w:p>
      <w:pPr>
        <w:ind w:left="380"/>
        <w:spacing w:after="0" w:line="184" w:lineRule="exact"/>
        <w:tabs>
          <w:tab w:leader="none" w:pos="788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1" w:lineRule="exact"/>
        <w:rPr>
          <w:sz w:val="24"/>
          <w:szCs w:val="24"/>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2024 was approximately $282.7 million, based upon the closing price on the NASDAQ Global Market reported for such date.</w:t>
      </w:r>
    </w:p>
    <w:p>
      <w:pPr>
        <w:spacing w:after="0" w:line="2" w:lineRule="exact"/>
        <w:rPr>
          <w:sz w:val="24"/>
          <w:szCs w:val="24"/>
          <w:color w:val="auto"/>
        </w:rPr>
      </w:pPr>
    </w:p>
    <w:p>
      <w:pPr>
        <w:ind w:right="460" w:firstLine="374"/>
        <w:spacing w:after="0" w:line="298" w:lineRule="auto"/>
        <w:rPr>
          <w:sz w:val="20"/>
          <w:szCs w:val="20"/>
          <w:color w:val="auto"/>
        </w:rPr>
      </w:pPr>
      <w:r>
        <w:rPr>
          <w:rFonts w:ascii="Times New Roman" w:cs="Times New Roman" w:eastAsia="Times New Roman" w:hAnsi="Times New Roman"/>
          <w:sz w:val="16"/>
          <w:szCs w:val="16"/>
          <w:color w:val="auto"/>
        </w:rPr>
        <w:t>414,186,296 shares were outstanding as of February 28, 2025, including 405,383,488 shares held as American Depositary Shares (ADSs), each representing one Ordinary Share, 50 pence par value per share, and 8,802,808 Ordinary Shares.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34" w:lineRule="exact"/>
        <w:rPr>
          <w:sz w:val="24"/>
          <w:szCs w:val="24"/>
          <w:color w:val="auto"/>
        </w:rPr>
      </w:pPr>
    </w:p>
    <w:p>
      <w:pPr>
        <w:ind w:right="600" w:firstLine="374"/>
        <w:spacing w:after="0" w:line="298" w:lineRule="auto"/>
        <w:rPr>
          <w:sz w:val="20"/>
          <w:szCs w:val="20"/>
          <w:color w:val="auto"/>
        </w:rPr>
      </w:pPr>
      <w:r>
        <w:rPr>
          <w:rFonts w:ascii="Times New Roman" w:cs="Times New Roman" w:eastAsia="Times New Roman" w:hAnsi="Times New Roman"/>
          <w:sz w:val="16"/>
          <w:szCs w:val="16"/>
          <w:color w:val="auto"/>
        </w:rPr>
        <w:t>Certain information required to be disclosed in Part III of this Annual Report on Form 10-K is incorporated by reference from the registrant’s definitive proxy statement to be filed not later than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20" w:type="dxa"/>
            <w:vAlign w:val="bottom"/>
            <w:gridSpan w:val="16"/>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428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7"/>
                <w:szCs w:val="17"/>
                <w:color w:val="auto"/>
              </w:rPr>
            </w:pPr>
          </w:p>
        </w:tc>
        <w:tc>
          <w:tcPr>
            <w:tcW w:w="8400" w:type="dxa"/>
            <w:vAlign w:val="bottom"/>
            <w:gridSpan w:val="2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0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020" w:type="dxa"/>
            <w:vAlign w:val="bottom"/>
            <w:gridSpan w:val="1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060" w:type="dxa"/>
            <w:vAlign w:val="bottom"/>
            <w:gridSpan w:val="2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7700" w:type="dxa"/>
            <w:vAlign w:val="bottom"/>
            <w:gridSpan w:val="2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31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3"/>
          </w:tcPr>
          <w:p>
            <w:pPr>
              <w:jc w:val="center"/>
              <w:ind w:right="426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9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140" w:type="dxa"/>
            <w:vAlign w:val="bottom"/>
            <w:tcBorders>
              <w:bottom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0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0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76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8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0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17"/>
                <w:szCs w:val="17"/>
                <w:color w:val="auto"/>
              </w:rPr>
            </w:pPr>
          </w:p>
        </w:tc>
        <w:tc>
          <w:tcPr>
            <w:tcW w:w="420" w:type="dxa"/>
            <w:vAlign w:val="bottom"/>
            <w:tcBorders>
              <w:top w:val="single" w:sz="8" w:color="0000FF"/>
            </w:tcBorders>
            <w:gridSpan w:val="3"/>
          </w:tcPr>
          <w:p>
            <w:pPr>
              <w:spacing w:after="0"/>
              <w:rPr>
                <w:sz w:val="17"/>
                <w:szCs w:val="17"/>
                <w:color w:val="auto"/>
              </w:rPr>
            </w:pPr>
          </w:p>
        </w:tc>
        <w:tc>
          <w:tcPr>
            <w:tcW w:w="7300" w:type="dxa"/>
            <w:vAlign w:val="bottom"/>
            <w:gridSpan w:val="2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6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31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20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6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0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17"/>
                <w:szCs w:val="17"/>
                <w:color w:val="auto"/>
              </w:rPr>
            </w:pPr>
          </w:p>
        </w:tc>
        <w:tc>
          <w:tcPr>
            <w:tcW w:w="17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0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31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422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90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12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0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318"/>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202"/>
        </w:trPr>
        <w:tc>
          <w:tcPr>
            <w:tcW w:w="20" w:type="dxa"/>
            <w:vAlign w:val="bottom"/>
            <w:tcBorders>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9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SPECIAL NOTE REGARDING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 AND INDUSTRY DATA</w:t>
      </w:r>
    </w:p>
    <w:p>
      <w:pPr>
        <w:spacing w:after="0" w:line="153"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and benefits and market opportunity for VASCEPA (brand name VAZKEPA in Europe but predominately referenced in this document by its brand name in the United States and other countries where it is approved, VASCEPA or icosapent ethyl) and factors that can affect such success; plans to obtain regulatory approvals and favorable market access and pricing in several jurisdictions, to expand promotion of VASCEPA and statements regarding cost and pricing of VASCEPA and other treatments; interpretation of court decisions; plans with respect to litigation; expectation on determinations and policy positions of the United States Food and Drug Administration, or U.S.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4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2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2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79"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to “Amarin,” the “Company,” “we,” “our” and “us” refer to Amarin Corporation plc and its subsidiaries, on a consolidated basis, unless otherwise indicated.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Annual Report on Form 10-K, or Annual Report, includes the registered and unregistered trademarks and service marks of other parties.</w:t>
      </w:r>
    </w:p>
    <w:p>
      <w:pPr>
        <w:spacing w:after="0" w:line="17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Amarin Corporation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2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One Central Plaza, 5th Floor, 36 Dame Street, Dublin 2, Ireland. Our registered office is located at One New Change, London EC4M 9AF, England. Our primary office for our European market access team is located at Überbauung Metalli, Gotthardstrasse 2, Zug CH-6300, Switzerland. Our primary office in the United States is located at 440 Route 22, Bridgewater, NJ 08807, USA. Our telephone number at that location is (908) 719-1315.</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this Annual Report, our ordinary shares may also be referred to as “common shares” or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Eddingpharm (Asia) Macao Commercial Offshore Limited, or Edding, for the MARINE indication and on June 28, 2024 for the REDUCE-IT indication. Through the date of this Annual Report we have received regulatory approval for VASCEPA under the REDUCE-IT indication in 49 countries, including the U.S. and 27 EU Member States.</w:t>
      </w:r>
    </w:p>
    <w:p>
      <w:pPr>
        <w:spacing w:after="0" w:line="14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U.S. in which VASCEPA is sold and under regulatory review are not subject to the U.S. patent litigation and judgment described below and no similar litigation is pending outside of the U.S..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27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icosapent ethyl have obtained U.S. FDA approval with labeling consistent with the MARINE indication and have entered the U.S. market:</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73"/>
        </w:trPr>
        <w:tc>
          <w:tcPr>
            <w:tcW w:w="38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Spriaso LLC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780" w:hanging="263"/>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520" w:right="760" w:hanging="3"/>
        <w:spacing w:after="0" w:line="282" w:lineRule="auto"/>
        <w:tabs>
          <w:tab w:leader="none" w:pos="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7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19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varies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Annual Report, we received marketing authorization by the MHRA and the European Medicines Agency, or EMA, and subsequently we have made VAZKEPA available under individual reimbursement or received national reimbursement and launched commercial operations in the following countries, respectively.</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2025</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right="1560" w:hanging="3"/>
        <w:spacing w:after="0" w:line="282" w:lineRule="auto"/>
        <w:tabs>
          <w:tab w:leader="none" w:pos="7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S.A will be the sole and exclusive distributor of VAZKEPA in the Greek territory to import, register, distribute and commercialize VAZKEPA.</w:t>
      </w:r>
    </w:p>
    <w:p>
      <w:pPr>
        <w:spacing w:after="0" w:line="10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advance our pricing and reimbursement activities to drive access in remaining geographies, including those where progress has been delayed. We are leveraging third-party relationships for various support activities and are implementing an impactful and cost-effective hybrid commercial model balancing optimally digital and face-to-face approaches to drive greater impact and improved cost efficiency, which is or will be utilized throughout Europe as launches are rolled out.</w:t>
      </w:r>
    </w:p>
    <w:p>
      <w:pPr>
        <w:spacing w:after="0" w:line="12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U.S. However, this greater</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3" w:right="379" w:bottom="1440" w:gutter="0" w:footer="0" w:header="0"/>
        </w:sectPr>
      </w:pPr>
    </w:p>
    <w:bookmarkStart w:id="5" w:name="page6"/>
    <w:bookmarkEnd w:id="5"/>
    <w:p>
      <w:pPr>
        <w:ind w:right="280"/>
        <w:spacing w:after="0" w:line="282" w:lineRule="auto"/>
        <w:rPr>
          <w:sz w:val="20"/>
          <w:szCs w:val="20"/>
          <w:color w:val="auto"/>
        </w:rPr>
      </w:pPr>
      <w:r>
        <w:rPr>
          <w:rFonts w:ascii="Times New Roman" w:cs="Times New Roman" w:eastAsia="Times New Roman" w:hAnsi="Times New Roman"/>
          <w:sz w:val="18"/>
          <w:szCs w:val="18"/>
          <w:color w:val="auto"/>
        </w:rPr>
        <w:t>concentration of at-risk patients being treated by specialists in Europe should allow for more efficient promotion than in the U.S. In Europe, VAZKEPA has the benefit of 10 years of market protection, and in April 2024, we were issued a patent that extended our exclusivity to 2039.</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One of our core areas of focus is continuing to work on generating revenue from our partnerships in key international markets, including Canada, Middle East North Africa, or MENA, China, Australia and New Zealand and Association of Southeast Asian Nations, or ASEAN, and South Korea and we will continue to explore additional partnerships in other countries throughout the world.</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 to develop and commercialize VASCEPA in what we refer to as the China Territory, consisting of the territories of Mainland China, Hong Kong, Macau and Taiwan. Edding, with our support, conducted a clinical trial of VASCEPA in China, which evaluated the effect of VASCEPA on patients with very high triglyceride levels (≥500 mg/dL). On February 23, 2022, the Hong Kong Department of Health completed their regulatory evaluation and approved the use of VASCEPA under the REDUCE-IT indication. In Mainland China, the NMPA accepted for review the new drug application for VASCEPA, submitted by Edding, based on the results from the Phase 3 clinical trial and the results from our prior studies of VASCEPA. In Mainland China, on October 10, 2022, following the completion of product testing by the China National Institutes for Food and Drug Control, or NIFDC, the final NMPA review of the VASCEPA New Drug Application, or NDA, was initiated. The Company announced on June 1, 2023 that Edding received approval from the NMPA for VASCEPA in Mainland China under the MARINE indication and launched commercially in October 2023. In October 2023, Edding's submission of a regulatory filing to the NMPA for VASCEPA under the REDUCE-IT indication was accepted. On June 28, 2024, Edding received approval from the NMPA for VASCEPA in Mainland China under the REDUCE-IT indication.</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MENA</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28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2018</w:t>
            </w:r>
          </w:p>
        </w:tc>
        <w:tc>
          <w:tcPr>
            <w:tcW w:w="2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2019</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2019</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2021</w:t>
            </w:r>
          </w:p>
        </w:tc>
        <w:tc>
          <w:tcPr>
            <w:tcW w:w="2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3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bl>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VASCEPA is under registration in additional countries in the MENA region.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regulatory exclusivity designation and launched commercially in February 2020. In April 2022, HLS completed negotiations with Canada’s pan-Canadian Pharmaceutical Alliance for the terms and conditions under which VASCEPA would qualify for public market reimbursement in Canada. HLS has obtained reimbursement from all major private and public payors gaining access to a majority of eligible patients in Canada.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92"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completed the final year of a three-year plan to submit and obtain regulatory approval in 20 or more additional countries and regions in order to ensure that patients in the top 50 cardiometabolic markets worldwide can benefit from VASCEPA. Through the date of this Annual Report, we have filed for regulatory review in 22 countries and regions and have received approval in 15 countries and regions outside of the U.S. and EMA regulatory approval authority, including in Mainland China, Switzerland, Australia, New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 w:name="page7"/>
    <w:bookmarkEnd w:id="6"/>
    <w:p>
      <w:pPr>
        <w:ind w:right="640"/>
        <w:spacing w:after="0" w:line="282" w:lineRule="auto"/>
        <w:rPr>
          <w:sz w:val="20"/>
          <w:szCs w:val="20"/>
          <w:color w:val="auto"/>
        </w:rPr>
      </w:pPr>
      <w:r>
        <w:rPr>
          <w:rFonts w:ascii="Times New Roman" w:cs="Times New Roman" w:eastAsia="Times New Roman" w:hAnsi="Times New Roman"/>
          <w:sz w:val="18"/>
          <w:szCs w:val="18"/>
          <w:color w:val="auto"/>
        </w:rPr>
        <w:t>Zealand and Israel, under the REDUCE-IT indication. In addition, VAZKEPA has been made available under individual pricing reimbursement in Switzerland.</w:t>
      </w:r>
    </w:p>
    <w:p>
      <w:pPr>
        <w:spacing w:after="0" w:line="10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In October 2024, CSL obtained pricing approval and subsequently launched VAZKEPA in Australia. In July 2023, the Company entered into an agreement with Lotus Pharmaceuticals to commercialize and distribute VAZKEPA in South Korea and nine countries in Southeast Asia. In August 2023, the Company entered into an agreement with Neopharm (Israel) 1996 Ltd., or Neopharm, to distribute VAZKEPA in Israel, Gaza, West Bank, and the territories of the Palestinian Authority. The Company will be responsible for supplying finished product to these partners. We continue to assess other potential partnership opportunities for VASCEPA with companies outside of the U.S. and Europe with the intention of partnering in all other international markets where VASCEPA receives local regulatory approval.</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 Updates</w:t>
      </w:r>
    </w:p>
    <w:p>
      <w:pPr>
        <w:spacing w:after="0" w:line="8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As announced and effective on June 3, 2024, Patrick Holt voluntarily resigned as President and Chief Executive Officer and as a member of the Board of Directors. Effective June 4, 2024, the Board of Directors appointed Aaron Berg, previously our Executive Vice President, President U.S., to succeed Mr. Holt as our President and Chief Executive Officer, and as a member of the Board of Directors.</w:t>
      </w:r>
    </w:p>
    <w:p>
      <w:pPr>
        <w:spacing w:after="0" w:line="12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announced on October 7, 2024, Tom Reilly voluntarily resigned as Executive Vice President, Chief Financial Officer, effective October 23, 2024. Effective December 13, 2024, our Vice President, Global Controller and principal financial and accounting officer of the Company, Peter Fishman, has been appointed as Senior Vice President, Chief Financial Officer.</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 Program</w:t>
      </w:r>
    </w:p>
    <w:p>
      <w:pPr>
        <w:spacing w:after="0" w:line="9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July 18, 2023, we announced that we were implementing a new Organizational Restructuring Program, or the ORP, resulting in the elimination of our entire U.S. sales force and elimination and consolidation of certain other roles across our organization, both in the U.S. and abroad and representing a reduction of our total employee base by approximately 30%. The ORP was implemented following a review of our business and to better position the organization for a new strategic focus. The ORP resulted in an operating cost reduction of $50.0 million annually.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90"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REDUCE-IT Study (basis for expanded U.S. FDA approved indication and label expansion in December 2019; basis for EU EC approved indication and label in March 2021)</w:t>
      </w:r>
    </w:p>
    <w:p>
      <w:pPr>
        <w:spacing w:after="0" w:line="1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REDUCE-IT study was designed to evaluate the efficacy of VASCEPA in reducing major cardiovascular events in an at-risk patient population also receiving statin therapy. REDUCE-IT was a multinational,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was comprised of patients on optimized statin therapy plus placebo. The active arm of the study was comprised of patients on optimized statin therapy plus VASCEPA. All subjects enrolled in the study had elevated triglyceride levels and either established coronary heart disease or risk factors for coronary heart disease.</w:t>
      </w:r>
    </w:p>
    <w:p>
      <w:pPr>
        <w:spacing w:after="0" w:line="133"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It is believed that the effects of the omega-3 acid eicosapentaenoic acid, or EPA, are not due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With respect to triglyceride levels, our scientific rationale for the REDUCE-IT study was supported by (i) epidemiological data that suggests elevated triglyceride levels correlate with increased cardiovascular disease risk, (ii) genetic data that suggest triglyceride and/or triglyceride-rich lipoproteins (as well as LDL-C, known as bad cholesterol) are independently in the causal pathway for cardiovascular disease and (iii) clinical data that suggest substantial triglyceride reduction in patients with elevated baseline triglyceride levels correlates with reduced cardiovascular risk. The REDUCE-IT study was designed to determine the clinical benefit, if any, of stable EPA therapy in statin-treated patients with elevated triglyceride levels.</w:t>
      </w:r>
    </w:p>
    <w:p>
      <w:pPr>
        <w:spacing w:after="0" w:line="134" w:lineRule="exact"/>
        <w:rPr>
          <w:sz w:val="20"/>
          <w:szCs w:val="20"/>
          <w:color w:val="auto"/>
        </w:rPr>
      </w:pPr>
    </w:p>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In 2016, we completed patient enrollment and randomization of 8,179 individual patients into the REDUCE-IT study. Our personnel remained blinded to the efficacy and safety data from the REDUCE-IT study until after the study was completed and the database was locked in 2018.</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 w:name="page8"/>
    <w:bookmarkEnd w:id="7"/>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November 10, 2018, we announced primary results from our REDUCE-IT study as late-breaking clinical results at the 2018 Scientific Sessions of the American Heart Association, or AHA,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REDUCE-IT met its primary endpoint demonstrating a 25% RRR, to a high degree of statistical significance (p&lt;0.001), in first occurrence of major adverse cardiovascular event, or MACE, in the intent-to-treat patient population with use of VASCEPA 4 grams/day as compared to placebo. Patients qualified to enroll in REDUCE-IT had LDL-C between 41-100 mg/dL (median baseline LDL-C 75 mg/dL) controlled by statin therapy and various cardiovascular risk factors including persistent elevated TG between 135-499 mg/dL (median baseline 216 mg/dL) and either established cardiovascular disease (secondary prevention cohort) or age 50 or more with diabetes mellitus and at least one other CV risk factor (primary prevention cohort). Approximately 59% of the patients had diabetes at baseline, approximately 71% of the patients had established cardiovascular disease at time of enrollment and approximately 29% were primary prevention subjects at high risk for cardiovascular disease. REDUCE-IT also showed a 26% RRR in its key secondary composite endpoint of cardiovascular death, heart attacks and stroke (p&lt;0.001). We expended more than $300.0 million to fund completion of the REDUCE-IT study.</w:t>
      </w:r>
    </w:p>
    <w:p>
      <w:pPr>
        <w:spacing w:after="0" w:line="140"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VASCEPA in the REDUCE-IT study demonstrated a number needed to treat, or NNT, of 21 for the first occurrence of Major Adverse Cardiovascular Event, or MACE, in the five-point primary composite endpoint. NNT is a statistical concept intended to provide a measurement of the impact of a medicine or therapy by estimating the number of patients that need to be treated in order to have an impact on one person.</w:t>
      </w:r>
    </w:p>
    <w:p>
      <w:pPr>
        <w:spacing w:after="0" w:line="122"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An additional seven secondary endpoints were achieved below the key secondary endpoint, in order of sequential statistical testing within the prespecified hierarchy:</w:t>
      </w:r>
    </w:p>
    <w:p>
      <w:pPr>
        <w:spacing w:after="0" w:line="54" w:lineRule="exact"/>
        <w:rPr>
          <w:sz w:val="20"/>
          <w:szCs w:val="20"/>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death or nonfatal heart attack: 25% RRR (p&lt;0.001)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Fatal or nonfatal heart attack: 31% RRR (p&lt;0.001)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Urgent or emergent revascularization: 35% RRR (p&lt;0.001)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death: 20% RRR (p=0.03)</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Hospitalization for unstable angina: 32% RRR (p=0.002)</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Fatal or nonfatal stroke: 28% RRR (p=0.01)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mortality, nonfatal heart attack or nonfatal stroke: 23% RRR (p&lt;0.001)</w:t>
      </w:r>
    </w:p>
    <w:p>
      <w:pPr>
        <w:spacing w:after="0" w:line="17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next prespecified secondary endpoint in the hierarchy was the only such endpoint that did not achieve statistical significance although it trended positively:</w:t>
      </w:r>
    </w:p>
    <w:p>
      <w:pPr>
        <w:spacing w:after="0" w:line="54" w:lineRule="exact"/>
        <w:rPr>
          <w:sz w:val="20"/>
          <w:szCs w:val="20"/>
          <w:color w:val="auto"/>
        </w:rPr>
      </w:pPr>
    </w:p>
    <w:p>
      <w:pPr>
        <w:ind w:left="1280" w:hanging="388"/>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mortality, which includes mortality from non-cardiovascular and cardiovascular events: 13% RRR (p=0.09)</w:t>
      </w:r>
    </w:p>
    <w:p>
      <w:pPr>
        <w:spacing w:after="0" w:line="17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Positive REDUCE-IT results were consistent across various patient subgroups, including female/male, diabetic/non-diabetic and secondary/primary prevention.</w:t>
      </w:r>
    </w:p>
    <w:p>
      <w:pPr>
        <w:spacing w:after="0" w:line="10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Overall adverse event rates in REDUCE-IT were similar across treatment groups and VASCEPA was well-tolerated. VASCEPA was associated with an increase (3% vs 2%) in the reported rate of atrial fibrillation or atrial flutter requiring hospitalization in a double-blind, placebo-controlled trial. The incidence of atrial fibrillation was greater in patients with a previous history of atrial fibrillation or atrial flutter. It is not known whether patients with allergies to fish and/or shellfish are at an increased risk of an allergic reaction to VASCEPA. VASCEPA was associated with an increase (12% vs 10%) in the reported rate of bleeding in a double-blind, placebo-controlled trial. The reported incidence of bleeding was greater in patients receiving concomitant antithrombotic medications, such as aspirin, clopidogrel or warfarin.</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Common adverse reactions in the cardiovascular outcomes trial (incidence ≥3% and ≥1% more frequent than placebo) were musculoskeletal pain (4% vs 3%), peripheral edema (7% vs 5%), constipation (5% vs 4%), gout (4% vs 3%), and atrial fibrillation (5% vs 4%). Common adverse reactions in the hypertriglyceridemia trials (incidence &gt;1% more frequent than placebo) were arthralgia (2% vs 1%) and oropharyngeal pain (1% vs 0.3%). Patients receiving VASCEPA and concomitant anticoagulants and/or anti-platelet agents for bleeding are to be monitored. 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Determining the mechanisms responsible for the benefit shown in REDUCE-IT was not the focus of REDUCE-IT. As summarized from the primary results of REDUCE-IT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potential VASCEPA mechanisms of action at work in REDUCE-IT may include TG reduction, anti-thrombotic effects, antiplatelet or anticoagulant effects, membrane-stabilizing effects, effects on stabilization and/or regression of coronary plaque and inflammation reduction, each as supported by earlier stage mechanistic studies.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 w:name="page9"/>
    <w:bookmarkEnd w:id="8"/>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December 13, 2019, the U.S. FDA approved a new indication and label expansion for VASCEPA capsules. VASCEPA is the first and only drug approved by the U.S.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2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Annual Report, more than 50 clinical treatment guidelines, consensus statements, or scientific statements from global medical societies or journals have recognized the use of icosapent ethyl, or IPE, in appropriate at-risk patients for CV risk reductions, including those statements which we were informed of by our global partners in Canada, China, Southeast Asia, Australia, and the Middle East as well as guidelines which were newly received during the fourth quarter of 2024 as listed below:</w:t>
      </w:r>
    </w:p>
    <w:p>
      <w:pPr>
        <w:spacing w:after="0" w:line="72" w:lineRule="exact"/>
        <w:rPr>
          <w:sz w:val="20"/>
          <w:szCs w:val="20"/>
          <w:color w:val="auto"/>
        </w:rPr>
      </w:pPr>
    </w:p>
    <w:p>
      <w:pPr>
        <w:ind w:left="1020" w:right="3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the European Society of Cardiology, or ESC, updated their guidelines on the management of peripheral arterial and aortic disease to recommend IPE 2g twice daily in high-risk patients with comorbid hypertriglyceridemia (&gt;1.5 mmol/L) despite lifestyle changes and statin therapy.</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Taiwan Society of Cardiology updated their guidelines on the prevention of Atherosclerotic Cardiovascular Disease, or ASCVD, to recommend IPE 2-4g one daily to patients receiving statin therapy with TG levels ≥150 mg/dL. Patients with very high TG levels ≥500 mg/dL with pancreatic risk may also benefit from IPE or EPA.</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Royal College of Physicians of Thailand, or RCPT, updated their guidelines on the management of dyslipidemia for ASCVD prevention to recommend IPE for risk reduction in patients age &gt;40 years with type 2 diabetes, two or more risk factors for ASCVD, and persistently elevated TG levels even after achieving target LDL-C levels with statin therapy.</w:t>
      </w:r>
    </w:p>
    <w:p>
      <w:pPr>
        <w:spacing w:after="0" w:line="12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2024, we announced and supported the following data which added to our growing body of knowledge on VASCEPA as a result of our continued analysis of the REDUCE-IT trial results:</w:t>
      </w:r>
    </w:p>
    <w:p>
      <w:pPr>
        <w:spacing w:after="0" w:line="54" w:lineRule="exact"/>
        <w:rPr>
          <w:sz w:val="20"/>
          <w:szCs w:val="20"/>
          <w:color w:val="auto"/>
        </w:rPr>
      </w:pPr>
    </w:p>
    <w:p>
      <w:pPr>
        <w:ind w:left="1020" w:right="68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we supported our commercialization partners in Australia with an encore research presentation at the 4 Corners of Cardiology Meeting in Melbourne, Australia. This encore presentation included the REDUCE-IT mediation analysis report of the contribution of IPE and other biomarkers to major adverse cardiovascular events reduction.</w:t>
      </w:r>
    </w:p>
    <w:p>
      <w:pPr>
        <w:spacing w:after="0" w:line="67" w:lineRule="exact"/>
        <w:rPr>
          <w:rFonts w:ascii="Times New Roman" w:cs="Times New Roman" w:eastAsia="Times New Roman" w:hAnsi="Times New Roman"/>
          <w:sz w:val="18"/>
          <w:szCs w:val="18"/>
          <w:color w:val="auto"/>
        </w:rPr>
      </w:pPr>
    </w:p>
    <w:p>
      <w:pPr>
        <w:jc w:val="both"/>
        <w:ind w:left="1020" w:right="20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we highlighted four data presentations showcasing the mechanistic activity of EPA and one REUDCE-IT subgroup analysis presentation reporting the effect of VASCEPA in patients with elevated TG and high or low Lipoprotein(a) concentrations at the American College of Cardiology scientific session. These presentations advanced the understanding of how EPA and VASCEPA work to reduce CV events in at-risk patients.</w:t>
      </w:r>
    </w:p>
    <w:p>
      <w:pPr>
        <w:spacing w:after="0" w:line="7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supported two data presentations showcasing the mechanistic activity of EPA at the European Atherosclerosis Society, or EAS, scientific session in Lyon, France. These presentations may advance the understanding of how EPA and VASCEPA work to reduce CV events in at-risk patients.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supported a poster with real world, observational, safety data of IPE from a U.S. database at the National Lipid Association, or NLA, scientific session in Las Vegas, Nevada. This presentation may advance the understanding of the safety profile of IPE in the real world and how it compares to the safety listed in the approved labeling and those from the large REDUCE-IT CV outcomes trial.</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supported an economic analysis of the budget impact of icosapent ethyl in the prevention of cardiovascular events in Italy at the International Society for Pharmacoeconomics and Outcomes Research, or ISPOR, Italy meeting in Bologna, Italy.</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supported data presentations showcasing the mechanistic activity of EPA as well as encore data reporting on real world safety of IPE at the Heart UK scientific conference in Coventry, England.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provided support to our commercial partner in Australia to present sub-analyses from the REDUCE-IT study in endpoints such at ST-elevation myocardial infarction as well as analyses in patients with established cardiovascular disease and diabetes mellitus. These data presentations occurred at the Cardiac Society of Australia and New Zealand, or CSANZ, and at the Australian Diabetes Congress, or ADC.</w:t>
      </w:r>
    </w:p>
    <w:p>
      <w:pPr>
        <w:spacing w:after="0" w:line="71"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and September 2024, we supported data presentations at both the ESC in London, UK, and the European Association for the Study of Diabetes, or EASD in Madrid, Spain. These presentations included sub-analyses from the REDUCE-IT trial, EPA mechanistic data, and data from Spanish hospitals reporting on the residual cardiovascular risk of elevated TG levels in patients with acute coronary syndrome, or ACS, as well as the eligibility of IPE in patients with ACS.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9" w:name="page10"/>
    <w:bookmarkEnd w:id="9"/>
    <w:p>
      <w:pPr>
        <w:ind w:left="1020" w:right="4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supported HLS with an encore REDUCE-IT subgroup analysis presentation reporting the effect of VASCEPA in patients with elevated triglycerides and high or low Lipoprotein(a) concentrations at the Canadian Cardiovascular Congress, or CCC, in Vancouver, BC.</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supported three data presentation at the AHA Scientific Sessions in Chicago, IL. One data presentation was a subgroup analysis from REDUCE-IT in patients with prior CV events regardless of coronary artery disease history, and the other two data presentations showed the mechanistic activity of EPA.</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supported two health economics and outcomes research, or HEOR, presentations in Barcelona, Spain, at the International Society for Pharmacoeconomics and Outcomes Research, or ISPOR, Europe meeting. These data presentations highlighted the value add and cost-effectiveness of VASCEPA in patients with recent acute coronary syndrome in the Catalonia region of Spain.</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supported Biologix for a data presentation at the 20th International Symposium on Atherosclerosis, or ISA, in Muscat, Oman. The presentation reported on the effectiveness of VASCEPA in middle eastern patients with dyslipidemia within cardiology and endocrinology clinics.</w:t>
      </w:r>
    </w:p>
    <w:p>
      <w:pPr>
        <w:spacing w:after="0" w:line="12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total, Amarin and global medical and scientific collaborators supported close to 45 publications inclusive of accepted abstracts, posters, and manuscripts for the year 2024.</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MARINE Trial (first U.S. FDA-approved label for VASCEPA approved in July 2012)</w:t>
      </w:r>
    </w:p>
    <w:p>
      <w:pPr>
        <w:spacing w:after="0" w:line="8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MARINE trial was a Phase 3, multi-center, placebo-controlled, randomized, double-blind, 12-week study for patients with very high triglycerides which was completed in 2010.</w:t>
      </w:r>
    </w:p>
    <w:p>
      <w:pPr>
        <w:spacing w:after="0" w:line="10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 VASCEPA was well tolerated in the MARINE trial, with a safety profile comparable to placebo and there were no treatment-related serious adverse events observed.</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Observed Clinical Safety of VASCEPA in MARINE, ANCHOR and Early Development</w:t>
      </w:r>
    </w:p>
    <w:p>
      <w:pPr>
        <w:spacing w:after="0" w:line="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 There was no reported adverse reaction &gt; 3% and greater than placebo.</w:t>
      </w:r>
    </w:p>
    <w:p>
      <w:pPr>
        <w:spacing w:after="0" w:line="12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Prior to commencing the REDUCE-IT, MARINE and ANCHOR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 were dosed with VASCEPA in these studies, with over 100 receiving continuous treatment for a year or more. In all studies performed to date, VASCEPA has shown a favorable safety and tolerability profile.</w:t>
      </w:r>
    </w:p>
    <w:p>
      <w:pPr>
        <w:spacing w:after="0" w:line="12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REDUCE-IT, MARINE and ANCHOR trials, we completed a 28-day pharmacokinetic study in healthy volunteers, a 26-week study to evaluate the toxicity of VASCEPA in transgenic mice and multiple pharmacokinetic drug-drug 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Study in China</w:t>
      </w:r>
    </w:p>
    <w:p>
      <w:pPr>
        <w:spacing w:after="0" w:line="9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Edding completed a Phase 3 study of VASCEPA in China, the design of which was similar to, but larger than, our MARINE study. In November 2020, along with Edding, we announced statistically significant topline positive results.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23, 2022, the Hong Kong Department of Health completed their evaluation and approved the use of VASCEPA under the REDUCE-IT indication. On June 1, 2023, the Company announced that Edding received approval from NMPA for VASCEPA in Mainland China under the MARINE indication and launched commercially in October 2023. In October 2023, Edding's submission of a regulatory filing to the NMPA for VASCEPA under the REDUCE-IT indication was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accepted. On June 28, 2024, Edding received approval from the NMPA for VASCEPA in Mainland China under the REDUCE-IT indication.</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with Mochida</w:t>
      </w:r>
    </w:p>
    <w:p>
      <w:pPr>
        <w:spacing w:after="0" w:line="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Japan, ethyl-EPA is marketed under the product name of Epadel by Mochida Pharmaceutical Co., Ltd., or Mochida, and is indicated for hyperlipidemia and peripheral vascular disease.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primary prevention patients with triglyceride levels of  150 mg/dL (median of 272 mg/dL at entry) and HDL-C &lt;40 mg/dL.</w:t>
      </w:r>
    </w:p>
    <w:p>
      <w:pPr>
        <w:spacing w:after="0" w:line="1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U.S. and certain other territories. In addition, the parties will collaborate to research and develop new products and indications based on EPA for our commercialization in the U.S.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w:t>
      </w:r>
    </w:p>
    <w:p>
      <w:pPr>
        <w:spacing w:after="0" w:line="13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data related to RESPECT-EPA was presented at the American Heart Association, or AHA, 2022 Scientific Sessions, A Randomized Trial for Evaluation in Secondary Prevention Efficacy of Combination Therapy - Statin and Eicosapentaenoic Acid, or RESPECT-EPA. The RESPECT-EPA clinical trial is an independent study funded by the Japanese Heart Foundation and is the third study to show CV benefit consistent with REDUCE-IT and JELIS. The study achieved a borderline statistical significance with a 21.5% reduction in the primary composite endpoint measuring cardiovascular risk and achieved a statistically significant 26.6% reduction in the secondary composite endpoint.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and Market Opportunity for VASCEPA</w:t>
      </w:r>
    </w:p>
    <w:p>
      <w:pPr>
        <w:spacing w:after="0" w:line="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VASCEPA, encapsulated in 1-gram capsules, is 1-gram of icosapent ethyl, or ethyl-EPA, and contains no docosahexaenoic acid, or DHA. Icosapent ethyl is the only active ingredient. We believe that icosapent ethyl, in the stable form as it is presented in VASCEPA, is more effective than if combined with other omega-3 molecules. In particular, based on clinical evidence, we believe that the removal of DHA mitigates against the LDL-C raising effect observed in omega-3 compositions that include DHA. Based on the results of the REDUCE-IT trial, VASCEPA was the first omega-3 based product, or any type of product, to demonstrate a statistically significant reduction in cardiovascular risk beyond cholesterol lowering therapy in high-risk patients approved for treatment. Prior to REDUCE-IT, based on the MARINE trial, VASCEPA was the first omega-3 based product to demonstrate statistically significant triglyceride reduction without a statistically significant increase in LDL-C in this very high triglyceride population.</w:t>
      </w:r>
    </w:p>
    <w:p>
      <w:pPr>
        <w:spacing w:after="0" w:line="13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Guidelines for the management of very high triglyceride levels ( 500 mg/dL) suggest that reducing triglyceride levels is the primary treatment goal in these patients to reduce the risk of acute pancreatitis. Treating LDL-C remains an important secondary goal. Other important parameters to consider in patients with very high triglycerides include levels of apolipoprotein B, or apo B, non-HDL-C, and very low-density lipoprotein cholesterol, or VLDL-C. The effect of VASCEPA on the risk for pancreatitis in patients with hypertriglyceridemia has not been determined.</w:t>
      </w:r>
    </w:p>
    <w:p>
      <w:pPr>
        <w:spacing w:after="0" w:line="126"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color w:val="auto"/>
        </w:rPr>
        <w:t xml:space="preserve">We believe that the results of the REDUCE-IT, ANCHOR and MARINE clinical trials of VASCEPA and VASCEPA’s EPA only/DHA-free composition position VASCEPA to achieve a global “best-in-class” prescription therapy in studied patient populations. Potential mechanisms of action at work in the reduction of cardiovascular events seen in REDUCE-IT as discussed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publication of REDUCE-IT primary results include TG reduction, anti-thrombotic effects, antiplatelet or anticoagulant effects, membrane-stabilizing effects, effects on stabilization and/or regression of coronary plaque and inflammation reduction. Mechanisms responsible for the benefit shown in REDUCE-IT were not studied in REDUCE-IT as that was not the purpose of an outcomes study. While the mechanisms of action of VASCEPA have been broadly studied and continue to be studied, similar to other drugs with multifactorial mechanisms of action, such as aspirin, statins and metformin, we may never fully determine to what extent, if any, each of these effects or others may be responsible for the CV risk reduction benefit demonstrated in REDUCE-IT.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Heart attacks, strokes and other cardiovascular events represent the leading cause of death and disability among men and women in western societies. According to the </w:t>
      </w:r>
      <w:r>
        <w:rPr>
          <w:rFonts w:ascii="Times New Roman" w:cs="Times New Roman" w:eastAsia="Times New Roman" w:hAnsi="Times New Roman"/>
          <w:sz w:val="18"/>
          <w:szCs w:val="18"/>
          <w:i w:val="1"/>
          <w:iCs w:val="1"/>
          <w:color w:val="auto"/>
        </w:rPr>
        <w:t>Heart Disease and Stroke Statistics—2024 Update</w:t>
      </w:r>
      <w:r>
        <w:rPr>
          <w:rFonts w:ascii="Times New Roman" w:cs="Times New Roman" w:eastAsia="Times New Roman" w:hAnsi="Times New Roman"/>
          <w:sz w:val="18"/>
          <w:szCs w:val="18"/>
          <w:color w:val="auto"/>
        </w:rPr>
        <w:t xml:space="preserve"> from the AHA, CVD is the underlying cause of death in approximately one out of every three deaths – one death approximately every 34 seconds. Approximately 130 million adults in the U.S. live with one or more types of cardiovascular disease with an estimated one million new or recurrent coronary events and 795,000 new or recurrent strokes occurring each year. An estimated 25 million adults  20 years of age have high total serum cholesterol levels ( 240 mg/dL), and an estimated 65 million adults  20 years of age have borderline high or high low-density lipoprotein (“bad”) cholesterol, or LDL-C, levels ( 130 mg/dL). According to the Cardiovascular Disease: A Costly Burden for America Projections Through 2035 from the AHA, 45% of the U.S. population is projected to have some form of CVD by 2035 and total costs of CVD are expected to reach $1.1 trillion in 2035.</w:t>
      </w:r>
    </w:p>
    <w:p>
      <w:pPr>
        <w:spacing w:after="0" w:line="13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It is estimated that more than 50 million adults in the U.S. have elevated triglyceride levels ≥150 mg/dL. Additionally, approximately two to three million adults in the U.S. have very high triglyceride levels ( 500 mg/dL), the condition for which VASCEPA received its initial drug approval from the U.S. FDA in 2012 based on the MARINE clinical trial. There are approximately 5 to 15 million people in the U.S. that meet the specific REDUCE-IT inclusion criteria. Additionally, the U.S. FDA-approved label for VASCEPA mentions maximally tolerated statin therapy in the indication statement. Since 1976, mean triglyceride levels have increased, along with the growing epidemic of obesity, insulin resistance, and type 2 diabetes mellitus. In contrast, mean LDL-C levels have decreased. Multiple primary and secondary prevention trials have shown a significant RRR of 25% to 35% in the risk of cardiovascular events with statin therapy, leaving significant persistent residual CV risk despite the achievement of target LDL-C levels.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 and Rest of World</w:t>
      </w:r>
    </w:p>
    <w:p>
      <w:pPr>
        <w:spacing w:after="0" w:line="8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Cardiovascular diseases remain the leading cause of disease burden in the world. There are more than 500 million people reportedly living with cardiovascular diseases globally, with 290 million in China. In the EU, there are approximately 60 million people reportedly living with cardiovascular disease, including approximately 38 million diagnosed with ischemic heart disease, stroke or peripheral heart disease. The proportion of patients dying from cardiovascular disease is reportedly higher in Europe than in the U.S. and there are more patients on statin therapy in Europe in aggregate compared to the U.S. Caring for cardiovascular disease in Europe is expensive with annual spending estimated to currently exceed €200 billion annually.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for VASCEPA</w:t>
      </w:r>
    </w:p>
    <w:p>
      <w:pPr>
        <w:spacing w:after="0" w:line="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U.S. Not all of our suppliers approved by the U.S. FDA are approved in every other geography.</w:t>
      </w:r>
    </w:p>
    <w:p>
      <w:pPr>
        <w:spacing w:after="0" w:line="135" w:lineRule="exact"/>
        <w:rPr>
          <w:sz w:val="20"/>
          <w:szCs w:val="20"/>
          <w:color w:val="auto"/>
        </w:rPr>
      </w:pPr>
    </w:p>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auto"/>
        </w:rPr>
        <w:t>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Similar to U.S.</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FDA, regulators in other countries in which we, or our partners, sell or seek to sell VASCEPA, regulate manufacturer’s quality control and manufacturing procedures. For Europe, various suppliers have been inspected and approved by European regulatory authorities and we do not anticipate supply availability limiting our continued launch in Europe.</w:t>
      </w:r>
    </w:p>
    <w:p>
      <w:pPr>
        <w:spacing w:after="0" w:line="13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API material that constitutes ethyl-EPA is a chemical modification of a naturally occurring substance that is derived from specific fish sourced from qualified producers. The fishing from which the raw material for VASCEPA is derived is regulated by local government agencies under policies designed to ensure sustainability of the marine life supply. We have worked with our suppliers to build the required scale, quality and cost-efficiency needed to meet our current and anticipated future market requirements. Among the conditions for U.S. FDA approval of a pharmaceutical product is the requirement that the manufacturer’s quality control and manufacturing procedures are validated and conform to pharmaceutical current Good Manufacturing Practice, or cGMP, which, under applicable regulations, must be followed at all times. The U.S. FDA typically inspects manufacturing facilities before regulatory approval of a product candidate, such as VASCEPA, and on a periodic basis after the initial approval. Consistent with cGMP regulations, pharmaceutical manufacturers must expend resources and time to ensure compliance with product specifications as well as production, record keeping, quality control, reporting, and other regulatory requirements.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2" w:name="page13"/>
    <w:bookmarkEnd w:id="12"/>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Production of VASCEPA, from sourcing of raw materials through stocking of finished goods inventory requires significant coordination between companies and considerable lead-times. We are often making purchasing decisions for supply more than a year in advance of anticipated product sales. Planning for capacity expansion also requires significant lead-times as, for example, creation of new manufacturing facilities for API can require multiple years to construct, equip and qualify. The amount of supply we seek to purchase in future periods will depend on the level of growth of VASCEPA revenues and minimum purchase commitments with certain suppliers.</w:t>
      </w:r>
    </w:p>
    <w:p>
      <w:pPr>
        <w:spacing w:after="0" w:line="1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December 31, 2024, we had inventory of $230.8 million, of which approximately 60% is inventory approved for use in North America. We continue to negotiate with our contract suppliers to align our supply arrangements with current and future global market demand.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or within the same therapeutic category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more efficient than or superior to ours. For example, agents with longer dosing intervals inhibiting proprotein convertase subtilisin/kexin type 9 (“PCSK9”) have been approved. These agents include alirocumab (Praluent®), evolocumab (Repatha®), and inclisiran (Leqvio®). In addition, other technologies or products may be developed that have an entirely different approach or means of accomplishing the intended purposes of our products, which might render our technology and products noncompetitive or obsolete.</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4"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companies, and specialized cardiovascular treatment companies.</w:t>
      </w:r>
    </w:p>
    <w:p>
      <w:pPr>
        <w:spacing w:after="0" w:line="10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2020, following our unsuccessful appeals of a court ruling in favor of the Defendants, several of the Company's patents covering the MARINE indication were declared invalid. As a result, the following generic versions of icosapent ethyl have obtained U.S. FDA approval with labeling consistent with the MARINE indication of VASCEPA, have entered the U.S. market and represent our main competitors: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73"/>
        </w:trPr>
        <w:tc>
          <w:tcPr>
            <w:tcW w:w="38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November 2020</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2020</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January 2023</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2024</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Spriaso LLC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020" w:hanging="26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760" w:right="540" w:hanging="3"/>
        <w:spacing w:after="0" w:line="282" w:lineRule="auto"/>
        <w:tabs>
          <w:tab w:leader="none" w:pos="10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115" w:lineRule="exact"/>
        <w:rPr>
          <w:sz w:val="20"/>
          <w:szCs w:val="20"/>
          <w:color w:val="auto"/>
        </w:rPr>
      </w:pPr>
    </w:p>
    <w:p>
      <w:pPr>
        <w:ind w:right="240" w:firstLine="509"/>
        <w:spacing w:after="0" w:line="232" w:lineRule="auto"/>
        <w:rPr>
          <w:sz w:val="20"/>
          <w:szCs w:val="20"/>
          <w:color w:val="auto"/>
        </w:rPr>
      </w:pPr>
      <w:r>
        <w:rPr>
          <w:rFonts w:ascii="Times New Roman" w:cs="Times New Roman" w:eastAsia="Times New Roman" w:hAnsi="Times New Roman"/>
          <w:sz w:val="18"/>
          <w:szCs w:val="18"/>
          <w:color w:val="auto"/>
        </w:rPr>
        <w:t>Woodward Pharma Services LLC currently sells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it acquired from GlaxoSmithKline plc in the third quarter of 2021. Lovaza, a prescription-only omega-3 fatty acid indicated for patients with severe hypertriglyceridemia was approved by the U.S. FDA in 2004 and has been on the market in the U.S. since 2005. Multiple generic versions of Lovaza are available in the U.S. Other large companies with competitive products include AbbVie, Inc., which currently sells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U.S. We compete with</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3" w:name="page14"/>
    <w:bookmarkEnd w:id="13"/>
    <w:p>
      <w:pPr>
        <w:ind w:right="160"/>
        <w:spacing w:after="0" w:line="282" w:lineRule="auto"/>
        <w:rPr>
          <w:sz w:val="20"/>
          <w:szCs w:val="20"/>
          <w:color w:val="auto"/>
        </w:rPr>
      </w:pPr>
      <w:r>
        <w:rPr>
          <w:rFonts w:ascii="Times New Roman" w:cs="Times New Roman" w:eastAsia="Times New Roman" w:hAnsi="Times New Roman"/>
          <w:sz w:val="18"/>
          <w:szCs w:val="18"/>
          <w:color w:val="auto"/>
        </w:rPr>
        <w:t>these drugs, and in particular, multiple low-cost generic versions of these drugs, in our U.S. FDA-approved indicated uses, even though such products do not have U.S. FDA approval to reduce CV risk on top of statin therapy.</w:t>
      </w:r>
    </w:p>
    <w:p>
      <w:pPr>
        <w:spacing w:after="0" w:line="10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AstraZeneca conducted a long-term outcomes study to assess Statin Residual Risk Reduction With EpaNova in HiGh Cardiovascular Risk PatienTs With Hypertriglyceridemia, or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AHA’s Scientific Sessions in November 2020 confirming that Epanova failed to meet the primary endpoint of CV risk reduction, and published in Journal of the American Medical Association, or JAMA, in December 2020.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In April 2022, Kowa Research Institute announced the decision to not continue the PROMINENT study as the primary endpoint was unlikely to be met. Results of the PROMINENT trial were presented at the 2022 AHA Scientific Session in November 2022, confirming that pemafibrate did not lower the incidence of cardiovascular events among the studied population.</w:t>
      </w:r>
    </w:p>
    <w:p>
      <w:pPr>
        <w:spacing w:after="0" w:line="13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are also aware of other pharmaceutical companies that are developing products that, if successfully developed, approved and marketed, would compete with VASCEPA.</w:t>
      </w:r>
    </w:p>
    <w:p>
      <w:pPr>
        <w:spacing w:after="0" w:line="10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VASCEPA also faces competition from dietary supplement manufacturers marketing omega-3 products as nutritional supplements. Such products are classified as food, not as prescription drugs or as over-the-counter drugs, by the U.S. FDA in the U.S. Most regulatory authorities outside the U.S. are similar in this regard. Some of the promoters of such products have greater resources than us and are not restricted to the same standards as are prescription drugs with respect to promotional claims or manufacturing quality, consistency and subsequent product stability. We have taken successful legal action against supplement manufacturers attempting to use the REDUCE-IT results to promote their products. Still, we cannot be sure physicians and pharmacists will view the U.S. FDA-approved, prescription-only status, and EPA-only purity and stability of VASCEPA or the U.S. FDA’s stringent regulatory oversight, as significant advantages versus omega-3 dietary supplements regardless of clinical study results and other scientific data.</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 and Rest of World</w:t>
      </w:r>
    </w:p>
    <w:p>
      <w:pPr>
        <w:spacing w:after="0" w:line="1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March 26, 2021, the EC granted approval of the marketing authorization application in the EU for VAZKEPA as an approved therapy to reduce cardiovascular risk in high-risk statin-treated patients with elevated TG levels, which is based on the REDUCE-IT indication. There is currently no other drug that is approved for cardiovascular risk reduction in at-risk patients in Europe. In addition, there is currently no other direct competition for Canada and the Middle East. However, consistent with the U.S., our competitors globally include large, well-established pharmaceutical companies, specialty and generic pharmaceutical companies, marketing companies, and specialized cardiovascular treatment companies.</w:t>
      </w:r>
    </w:p>
    <w:p>
      <w:pPr>
        <w:spacing w:after="0" w:line="12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VASCEPA also faces competition from dietary supplement manufacturers marketing omega-3 productions as nutritional supplements.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Europe, such products are classified as food, not as prescription drugs or as over-the-counter drugs.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Current Therapies</w:t>
      </w:r>
    </w:p>
    <w:p>
      <w:pPr>
        <w:spacing w:after="0" w:line="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HTG is a prevalent lipid disorder in approximately 25% of the U.S. adult population. Both epidemiological and genetic data have shown associations between HTG and coronary heart disease. Many of those patients are taking statin therapy directed at lowering the risk of CVD by lowering their LDL-C levels, primarily. Recently, real world administrative database analyses have reported an increased CVD risk as well as direct healthcare costs associated with HTG despite statin therapy and controlled LDL-C compared to those with TG&lt;150 mg/dL.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Regulatory Matters</w:t>
      </w:r>
    </w:p>
    <w:p>
      <w:pPr>
        <w:spacing w:after="0" w:line="9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Any product development activities related to VASCEPA or products that we may develop or acquire in the future will be subject to extensive regulation by various government authorities, including the U.S. FDA and comparable regulatory authorities in other countries, which regulate the design, research, clinical and nonclinical development, testing, manufacturing, storage, distribution, import, export, labeling, advertising and marketing of pharmaceutical products. Generally, before a new drug can be sold, considerable data demonstrating its quality, safety and efficacy must be obtained, organized into a format specific to each regulatory authority, submitted for review and approved by the regulatory authority. The data are generated in two distinct development stages: preclinical and clinical. Drugs must be approved by regulatory authorities before they are first marketed for example, by the U.S. FDA through the new drug application, or NDA, process in the U.S. or the marketing authorization application, or MAA, process under the EMA in the EU. For new chemical entities, the preclinical development stage generally involves synthesizing the active component, developing the formulation, determining the manufacturing process and controls, as well as carrying out non-human toxicology, pharmacology and drug metabolism studies which support subsequent clinical testing.</w:t>
      </w:r>
    </w:p>
    <w:p>
      <w:pPr>
        <w:spacing w:after="0" w:line="14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and its safety in use, provide an adequate basis for physician labeling and may include comparisons with placebo and/or other comparator treatments. The duration of treatment is often extended to mimic the actual use of a product during marketing.</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 and Approval</w:t>
      </w:r>
    </w:p>
    <w:p>
      <w:pPr>
        <w:spacing w:after="0" w:line="9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the U.S.,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U.S. FDA’s refusal to approve pending applications, withdrawal of an approval, a clinical hold,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3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Prior to the start of human clinical studies for a new drug in the U.S., preclinical laboratory and animal tests are often performed under the U.S. FDA’s Good Laboratory Practices regulations, or GLP, and an Investigational New Drug filing, or IND, is filed with the U.S.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U.S. FDA prior to commencement of a clinical trial. If the U.S. FDA has concerns about the clinical plan or the safety of the proposed studies, it may suspend or terminate the study at any time. Studies must be conducted in accordance with Good Clinical Practice, or GCP, including the requirement that subjects provide their informed consent,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U.S. FDA Review Process</w:t>
      </w:r>
    </w:p>
    <w:p>
      <w:pPr>
        <w:spacing w:after="0" w:line="9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results of nonclinical studies and clinical trials, together with other information, including manufacturing information and information on the composition of the drug and proposed labeling, are submitted to the U.S. FDA in an NDA requesting approval to market the drug for one or more specified indications. Each NDA is typically accompanied by a user fee and there is also an annual prescription drug product program fee for human drugs. The U.S. FDA reviews an NDA to determine, among other things, whether a drug is safe and effective for its intended use and whether the product is being manufactured in accordance with Current Good Manufacturing Practices, or cGMP, requirements to assure and preserve the product’s identity, strength, quality and purity. The U.S. FDA will conduct a pre-approval inspection of the manufacturing facilities for the new drug and may audit data from clinical trials to ensure compliance with GCP requirements. Additionally, the U.S.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U.S. FDA is not bound by the recommendations of an advisory committee, but it considers such recommendations carefully when making decisions.</w:t>
      </w:r>
    </w:p>
    <w:p>
      <w:pPr>
        <w:spacing w:after="0" w:line="14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After the U.S.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and usually describes all the specific deficiencies in the NDA identified by the U.S. FDA. The complete response letter may require additional clinical data and/or additional clinical trial(s), and/or other information. If a complete response letter is issued, the applicant may either resubmit the NDA, addressing all of the deficiencies identified in the letter, withdraw the application, or request a hearing. Even if such data and information is submitted, the U.S. FDA may ultimately decide that the NDA does not satisfy the criteria for approval.</w:t>
      </w:r>
    </w:p>
    <w:p>
      <w:pPr>
        <w:spacing w:after="0" w:line="135"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8"/>
          <w:szCs w:val="18"/>
          <w:color w:val="auto"/>
        </w:rPr>
        <w:t>Following the approval process of any drug product, the U.S.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requirements or if problems occur following initial marketing.</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Off-label Promotion in the United States</w:t>
      </w:r>
    </w:p>
    <w:p>
      <w:pPr>
        <w:spacing w:after="0" w:line="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or off-label promotion. Companies that market drugs for unapproved uses or indications have been subject to related costly litigation, criminal penalties and civil liability under the FDCA and the False Claims Act. However, recent case law has called into question the extent to which government in the U.S., including the U.S. FDA, can, and is willing to seek to, prevent truthful and non-misleading speech related to off-label uses of U.S. FDA-approved products such as VASCEPA.</w:t>
      </w:r>
    </w:p>
    <w:p>
      <w:pPr>
        <w:spacing w:after="0" w:line="1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Post-Marketing Requirements in the United States</w:t>
      </w:r>
    </w:p>
    <w:p>
      <w:pPr>
        <w:spacing w:after="0" w:line="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Following approval of a new product, a pharmaceutical company generally must engage in numerous specific monitoring and recordkeeping activities, such as routine safety surveillance, and must continue to submit periodic and other reports to the applicable regulatory agencies, including any cases of adverse events and appropriate quality control records. Such reports submitted to the U.S. FDA may result in changes to the label and/or other post-marketing requirements or actions, including product withdrawal. Additionally, under the Food and Drug Omnibus Reform Act of 2022, or FDORA, sponsors of approved drugs must provide six months’ notice to the FDA of any changes in marketing status, such as the withdrawal of a drug, and failure to do so could result in the FDA placing the product on a list of discontinued products, which would revoke the product’s ability to be marketed. These are viable risks once a product is on the market. Additionally, modifications or enhancements to the products or labeling or changes of site of manufacture are often subject to the approval of the U.S. FDA and other regulators, which may or may not be received or may result in a lengthy review process.</w:t>
      </w:r>
    </w:p>
    <w:p>
      <w:pPr>
        <w:spacing w:after="0" w:line="138"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Prescription drug advertising is subject to federal, state and foreign regulations. In the U.S., the U.S. FDA regulates prescription drug promotion, including direct-to-consumer advertising. Prescription drug promotional materials must be submitted to the U.S. FDA in conjunction with their first use. Any distribution of prescription drug products and pharmaceutical samples must comply with the U.S. Prescription Drug Marketing Act, or the PDMA, a part of the FDCA.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6" w:name="page17"/>
    <w:bookmarkEnd w:id="16"/>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U.S., once a product is approved, its manufacture is subject to comprehensive and continuing regulation by the U.S. FDA. U.S. FDA regulations require that products be manufactured in specific approved facilities and in accordance with pharmaceutical cGMPs, and NDA holders must list their products and register their manufacturing establishments with the U.S. FDA and certain state agencies. Third-party manufacturers and other entities involved in the manufacture and distribution of approved drugs, and those supplying products, ingredients, and components of them, are also required to register their establishments with the U.S. FDA and certain state agencies.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U.S. FDA at any time, and the discovery of violative conditions, including failure to conform to cGMPs, could result in enforcement actions that interrupt the operation of any such facilities or the ability to distribute products manufactured, processed or tested by them. In addition, manufacturers and other parties involved in the drug supply chain for prescription drug products must also comply with product tracking and tracing requirements and for notifying the U.S. FDA of counterfeit, diverted, stolen and intentionally adulterated products or products that are otherwise unfit for distribution in the U.S..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U.S. FDA Marketing Exclusivity and Generic Competition</w:t>
      </w:r>
    </w:p>
    <w:p>
      <w:pPr>
        <w:spacing w:after="0" w:line="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New chemical entity, or NCE, marketing exclusivity precludes approval during the five-year exclusivity period of certain 505(b)(2) applications and Abbreviated New Drug Application, or ANDAs, submitted by another company for another version of the drug. The timelines and conditions under the ANDA process that permit the start of patent litigation and allow the U.S. FDA to approve generic versions of brand name drugs like VASCEPA differ based on whether a drug receives three-year, or five-year, NCE marketing exclusivity.</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In May 2016, after litigation, the U.S. FDA determined that VASCEPA was entitled to NCE marketing exclusivity. The related 30-month stay expired on January 26, 2020, seven-and-a-half years after U.S. FDA approval of VASCEPA.</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three-year period of exclusivity under the Hatch-Waxman Amendments is generally granted for a drug product that contains an active moiety that has been previously approved,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We received such three-year regulatory exclusivity in connection with the approval based on the REDUCE-IT outcomes study results. Such three-year exclusivity protection precludes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for a period of three years from the date of U.S. FDA approval. The U.S.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U.S. FDA from approving an NDA that relies only on its own data to support the change or innovation.</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 of New Drug Compounds</w:t>
      </w:r>
    </w:p>
    <w:p>
      <w:pPr>
        <w:spacing w:after="0" w:line="9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U.S., we may be subject to a variety of regulations in other jurisdictions governing, among other things, clinical trials and any commercial sales and distribution of our products.</w:t>
      </w:r>
    </w:p>
    <w:p>
      <w:pPr>
        <w:spacing w:after="0" w:line="10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Whether or not we obtain U.S. FDA approval for a product, we must obtain the requisite approvals from regulatory authorities in all or most foreign countries prior to the commencement of clinical trials or marketing of the product in those countries. Certain countries outside of the U.S. have a similar process that requires the submission of a clinical trial application, or CTA, much like the IND prior to the commencement of human clinical trials. In Europe, for example, a CTA must be submitted to each country’s national health authority and an independent ethics committee, much like the U.S. FDA and IRB, respectively. Once the CTA is approved in accordance with a country’s requirements, clinical trial development may proceed. Similarly, clinical trials conducted in countries such as Australia, Canada, and New Zealand, require review and approval of clinical trial proposals by an ethics committee, which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7" w:name="page18"/>
    <w:bookmarkEnd w:id="17"/>
    <w:p>
      <w:pPr>
        <w:ind w:right="220"/>
        <w:spacing w:after="0" w:line="282" w:lineRule="auto"/>
        <w:rPr>
          <w:sz w:val="20"/>
          <w:szCs w:val="20"/>
          <w:color w:val="auto"/>
        </w:rPr>
      </w:pPr>
      <w:r>
        <w:rPr>
          <w:rFonts w:ascii="Times New Roman" w:cs="Times New Roman" w:eastAsia="Times New Roman" w:hAnsi="Times New Roman"/>
          <w:sz w:val="18"/>
          <w:szCs w:val="18"/>
          <w:color w:val="auto"/>
        </w:rPr>
        <w:t>provides a combined ethical and scientific review process. Most countries in which clinical studies are conducted require the approval of the clinical trial proposals by both the national regulatory body and an ethics committee.</w:t>
      </w:r>
    </w:p>
    <w:p>
      <w:pPr>
        <w:spacing w:after="0" w:line="10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which have their origin in the World Medical Association’s Declaration of Helsinki, the applicable regulatory requirements, and guidelines developed by the International Conference on Harmonization, or ICH, for GCP practices in clinical trials.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 and Approval</w:t>
      </w:r>
    </w:p>
    <w:p>
      <w:pPr>
        <w:spacing w:after="0" w:line="9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below EU rules relating to drug development, approval and post-approval are generally applicable in the European Economic Area, or EEA, which consists of the EU Member States, Norway, Liechtenstein and Iceland.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Trials Regulation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April 2014, the EU adopted Clinical Trials Regulation (EU) No 536/2014, which was replaced by the Clinical Trials Directive 2001/20/EC on January 31, 2022 and overhauled the system of approvals for clinical trials. Specifically, the new Regulation, which is directly applicable in all EU Member States, such that no national implementing legislation in each EU Member State is required, aims to simplify and streamline the approval of clinical trials in the EU. For example, the Regulation provides for a streamlined application procedure through a single entry point and strictly defined deadlines for the assessment of clinical trial applications.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Drug Review and Approval</w:t>
      </w:r>
    </w:p>
    <w:p>
      <w:pPr>
        <w:spacing w:after="0" w:line="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Medicinal products can only be commercialized after obtaining a marketing authorization. To obtain regulatory approval of a medicinal product in the EU, a company must submit a marketing authorization application, or MAA. Centralized marketing authorizations are issued by the EC through the centralized procedure based on the opinion of the Committee for Medicinal Products for Human Use, or CHMP, of the EMA and are valid throughout the EU as well as Iceland, Norway and Lichtenstein. The centralized procedure is mandatory for certain types of products, such as biotechnology medicinal products, orphan medicinal products, advanced-therapy medicinal products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3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EC, who makes the final decision to grant a marketing authorization, which is issued within 67 days of receipt of the EMA's recommendation. Accelerated assessments may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3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National marketing authorizations,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marketing authorization can be recognized in other EU Member States through the mutual recognition procedure. If the product has not received a national marketing authorization in any EU Member State at the time of application, it can be approved simultaneously in various Member States through the decentralized procedure.</w:t>
      </w:r>
    </w:p>
    <w:p>
      <w:pPr>
        <w:spacing w:after="0" w:line="1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Now that the UK, which comprises Great Britain and Northern Ireland, has left the EU, Great Britain is no longer covered by EU centralized marketing authorizations. While originally under the Northern Ireland Protocol, EU centralized marketing authorizations continued to be recognized in Northern Ireland, the UK has revised its system for marketing authorizations applicable as from January 1, 2025. Among others, EU centralized marketing authorizations will no longer be effective in Northern Ireland. As from January 1, 2025, the marketing of medicines in the UK, including Northern Ireland, will be governed either by UK applicable marketing authorizations or by separate marketing authorizations applicable only in Great Britain or Northern Ireland, in each case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8" w:name="page19"/>
    <w:bookmarkEnd w:id="18"/>
    <w:p>
      <w:pPr>
        <w:ind w:right="200"/>
        <w:spacing w:after="0" w:line="282" w:lineRule="auto"/>
        <w:rPr>
          <w:sz w:val="20"/>
          <w:szCs w:val="20"/>
          <w:color w:val="auto"/>
        </w:rPr>
      </w:pPr>
      <w:r>
        <w:rPr>
          <w:rFonts w:ascii="Times New Roman" w:cs="Times New Roman" w:eastAsia="Times New Roman" w:hAnsi="Times New Roman"/>
          <w:sz w:val="18"/>
          <w:szCs w:val="18"/>
          <w:color w:val="auto"/>
        </w:rPr>
        <w:t>granted by the UK MHRA. Depending on which marketing authorization a company it may need to take the relevant steps required by the UK MHRA to transform the existing EU/GB marketing authorizations to the correct new MHRA issued marketing authorization.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Periods of Authorization and Renewals</w:t>
      </w:r>
    </w:p>
    <w:p>
      <w:pPr>
        <w:spacing w:after="0" w:line="7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 marketing authorization in the EU is valid for five years, in principle, and it may be renewed after five years on the basis of a re-evaluation of the risk benefit balance by the EMA for a centrally authorized product, or by the competent authority of the authorizing Member State for a nationally authorized product. Once renewed, the marketing authorization is valid for an unlimited period, unless the EC or the competent authority decides, on justified grounds relating to pharmacovigilance, to proceed with one additional five-year renewal period. Any authorization that is not followed by the placement of the product on the EU market, in the case of the centralized procedure, or on the market of the authorizing Member State for a nationally authorized product, within three years after authorization, or if the product is removed from the market for three consecutive years, ceases to be valid.</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Data and Market Exclusivity</w:t>
      </w:r>
    </w:p>
    <w:p>
      <w:pPr>
        <w:spacing w:after="0" w:line="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EU, upon receiving marketing authorization,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marketing authorization application can be submitted, and the innovator's data may be referenced, but no generic or biosimilar product can be marketed until the expiration of the market exclusivity. The overall 10 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to the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may market another version of the product if such company obtained a marketing authorization based on an MAA with a complete and independent data package of pharmaceutical tests, preclinical tests and clinical trials. Following the expiry of regulatory exclusivity for a product (or if a product does not qualify for regulatory exclusivity), a generic or biosimilar of the applicable product may be authorized and marketed in the EU and we would therefore need to rely upon enforcement of any surviving European patents covering the applicable product to protect against generic competition in the EU.</w:t>
      </w: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Regulatory Requirements after obtaining Marketing Authorization</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Where a marketing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4" w:lineRule="exact"/>
        <w:rPr>
          <w:sz w:val="20"/>
          <w:szCs w:val="20"/>
          <w:color w:val="auto"/>
        </w:rPr>
      </w:pPr>
    </w:p>
    <w:p>
      <w:pPr>
        <w:ind w:left="1020" w:right="1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3"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5"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medical products, including industry-sponsored continuing medical education and advertising directed toward the prescribers of medical products and/or the general public, are strictly regulated in the EU. Direct-to-consumer advertising of prescription medicines is prohibited across the EU.</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aforementioned European Union rules are generally applicable in the EEA.</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Reform of the Regulatory Framework in the European Union</w:t>
      </w:r>
    </w:p>
    <w:p>
      <w:pPr>
        <w:spacing w:after="0" w:line="17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EC introduced legislative proposals in April 2023 that, if implemented, will replace the current regulatory framework in the EU for all medicines (including those for rare diseases and for children). The EC has provided the legislative proposals to the European Parliament and the European Council for their review and approval. In October 2023, the European Parliament published draft reports proposing amendments to the legislative proposals, which were initially debated by the European Parliament in April 2024. Once the EC's legislative proposals have been initially voted on by the European Parliament and the European Council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9" w:name="page20"/>
    <w:bookmarkEnd w:id="19"/>
    <w:p>
      <w:pPr>
        <w:ind w:right="240"/>
        <w:spacing w:after="0" w:line="282" w:lineRule="auto"/>
        <w:rPr>
          <w:sz w:val="20"/>
          <w:szCs w:val="20"/>
          <w:color w:val="auto"/>
        </w:rPr>
      </w:pPr>
      <w:r>
        <w:rPr>
          <w:rFonts w:ascii="Times New Roman" w:cs="Times New Roman" w:eastAsia="Times New Roman" w:hAnsi="Times New Roman"/>
          <w:sz w:val="18"/>
          <w:szCs w:val="18"/>
          <w:color w:val="auto"/>
        </w:rPr>
        <w:t>following initial review, been negotiated and discussed among those bodies, final approved texts (with or without amendment), they will be adopted into EU law.</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Brexit and the Regulatory Framework in the United Kingdom</w:t>
      </w:r>
    </w:p>
    <w:p>
      <w:pPr>
        <w:spacing w:after="0" w:line="17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UK formally left the EU on January 31, 2020, and for the initial period post-Brexit, the EU and the UK have concluded a trade and cooperation agreement, or TCA, which was provisionally applicable since January 1, 2021 and has been formally applicable since May 1, 2021. On February 27, 2023, the UK government and the EC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As part of the Windsor Framework, the MHRA has revised the market access regulations for medicines in the UK.</w:t>
      </w:r>
    </w:p>
    <w:p>
      <w:pPr>
        <w:spacing w:after="0" w:line="13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from January 1, 2025, among others, EU centralized marketing authorizations will no longer be effective in Northern Ireland. As from January 1, 2025, the marketing of medicines in the UK, including Northern Ireland, will be governed either by UK wide applicable marketing authorizations or by separate marketing authorizations applicable only in Great Britain or Northern Ireland, in each case granted by the UK MHRA. Depending on which marketing authorization a company has it may need to take the relevant steps required by the UK MHRA to transform the existing EU/GB marketing authorizations to the correct new MHRA issued marketing authorization.</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 and Data Regulation</w:t>
      </w:r>
    </w:p>
    <w:p>
      <w:pPr>
        <w:spacing w:after="0" w:line="9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to U.S.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0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knowingly and willfully offering, paying, soliciting, or receiving remuneration, directly or indirectly, in cash or in kind,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 On November 20, 2020, the United States Department of Health and Human Services, or HHS, Office of Inspector General, or OIG, finalized further modifications to the federal Anti-Kickback Statute. Under the final rules, OIG added safe harbor protections under the Anti-Kickback Statute for certain coordinated care and value-based arrangements among clinicians, providers, and others. We continue to evaluate what effect, if any, these rules will have on our business.</w:t>
      </w:r>
    </w:p>
    <w:p>
      <w:pPr>
        <w:spacing w:after="0" w:line="14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federal civil and criminal false claim laws, including the civil monetary penalty laws and the civil False Claims Act prohibits, among other things, any person or entity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or transmit properly to the federal government. Manufacturers can be held liable under the False Claims Act even when they do not submit claims directly to government payors if they are deemed to “cause” the submission of false or fraudulent claims. The False Claims Act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federal civil False Claims Act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133"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by the Health Information Technology for Economic and Clinical Health Act of 2009, or HITECH, including the Final Omnibus Rule published in January 2013, collectively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0" w:name="page21"/>
    <w:bookmarkEnd w:id="20"/>
    <w:p>
      <w:pPr>
        <w:ind w:right="60"/>
        <w:spacing w:after="0" w:line="253" w:lineRule="auto"/>
        <w:rPr>
          <w:sz w:val="20"/>
          <w:szCs w:val="20"/>
          <w:color w:val="auto"/>
        </w:rPr>
      </w:pPr>
      <w:r>
        <w:rPr>
          <w:rFonts w:ascii="Times New Roman" w:cs="Times New Roman" w:eastAsia="Times New Roman" w:hAnsi="Times New Roman"/>
          <w:sz w:val="18"/>
          <w:szCs w:val="18"/>
          <w:color w:val="auto"/>
        </w:rPr>
        <w:t>referred to herein as HIPAA,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 In addition, HITECH imposes certain requirements relating to the privacy, security and transmission of individually identifiable health information. It requires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Similar to the federal Anti-Kickback Statute, a person or entity does not need to have actual knowledge of the statute or specific intent to violate it in order to have committed a violation.</w:t>
      </w:r>
    </w:p>
    <w:p>
      <w:pPr>
        <w:spacing w:after="0" w:line="14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federal Physician Payment Sunshine Act, implemented as the Open Payments Program, requires manufacturers of drugs, devices, biologics, and medical supplies for which payment is available under Medicare, Medicaid or the Children’s Health Insurance Program (with certain exceptions) to report annually to the Centers for Medicare and Medicaid Services, or CMS, information related to direct or indirect payments and other transfers of value to physicians (defined to include doctors, dentists, optometrists, podiatrists and chiropractors), certain other licensed healthcare practitioners and teaching hospitals, as well as ownership and investment interests held in the company by physicians and their immediate family members.</w:t>
      </w:r>
    </w:p>
    <w:p>
      <w:pPr>
        <w:spacing w:after="0" w:line="12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federal government price reporting laws require us to calculate and report complex pricing metrics in an accurate and timely manner to government programs. Additionally, federal consumer protection and unfair competition laws broadly regulate marketplace activities and activities that potentially harm consumers.</w:t>
      </w:r>
    </w:p>
    <w:p>
      <w:pPr>
        <w:spacing w:after="0" w:line="12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Many foreign countries and the majority of states also have statutes or regulations similar to the federal Anti-Kickback Statute and False Claims Act, which may apply to sales or marketing arrangements and claims involving healthcare items or services reimbursed by non-governmental third-party payors, including private insurers. Other states or localities may have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relate to insurance fraud in the case of claims involving private insurers; and/or require identification or licensing of sales representatives.</w:t>
      </w:r>
    </w:p>
    <w:p>
      <w:pPr>
        <w:spacing w:after="0" w:line="13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healthcare providers, marketing expenditures, and drug pricing information. Certain state and local laws require the registration of pharmaceutical sales representatives. State and foreign laws, including for example the California Consumer Privacy Act, or CCPA, and the European Union General Data Protection Regulation, or EU GDPR, and the UK equivalent of the same, or the UK GDPR, also govern the privacy and security of health information in some circumstances, many of which differ from each other in significant ways and often are not preempted by HIPAA, thus complicating compliance efforts.</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CCPA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the California Attorney General has commenced enforcement against violators as of July 1, 2020. While there is currently an exception for protected health information that is subject to HIPAA and clinical trial regulations, as currently written, the CCPA may impact our business activities.</w:t>
      </w:r>
    </w:p>
    <w:p>
      <w:pPr>
        <w:spacing w:after="0" w:line="13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With respect to Europe, the EU GDPR and UK GDPR (collectively referred to as the GDPR in this Annual Report on Form 10-K), as well as other national data protection legislation in force in relevant EU and European Economic Area, or EEA member states and the UK (including the UK Data Protection Act 2018 in the UK) govern the collection, use, storage, disclosure, transfer, or other processing of personal data that is (i) carried out in the context of the activities of our establishment in any EU and EEA member state or the UK or (ii) collected in the course of offering services to or involving behavior-monitoring of individuals located in the EU/UK. Currently, the EU GDPR and UK GDPR remain largely aligned. The GDPR is wide-ranging in scope and imposes numerous requirements on companies that process personal data, including requirements relating to processing health and other sensitive data, legal basis for processing personal data which may include obtaining consent of the individuals to whom the personal data relates, providing detailed information to individuals regarding data processing activities, implementing safeguards to protect the security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1" w:name="page22"/>
    <w:bookmarkEnd w:id="21"/>
    <w:p>
      <w:pPr>
        <w:ind w:right="40"/>
        <w:spacing w:after="0" w:line="252" w:lineRule="auto"/>
        <w:rPr>
          <w:sz w:val="20"/>
          <w:szCs w:val="20"/>
          <w:color w:val="auto"/>
        </w:rPr>
      </w:pPr>
      <w:r>
        <w:rPr>
          <w:rFonts w:ascii="Times New Roman" w:cs="Times New Roman" w:eastAsia="Times New Roman" w:hAnsi="Times New Roman"/>
          <w:sz w:val="18"/>
          <w:szCs w:val="18"/>
          <w:color w:val="auto"/>
        </w:rPr>
        <w:t>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(£17.5 million for the UK GDPR) or 4% of annual global turnover,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The GDPR and other applicable data protection laws, impose restrictions in relation to the international transfer of personal data. For example, in order to transfer data outside of the EEA or the UK to a non-adequate country, the GDPR requires us to enter into an appropriate transfer mechanism, and may require us to take additional steps to ensure an essentially equivalent level of data protection, including carrying out transfer impact assessments. These transfer mechanisms are subject to change, and implementing new or revised transfer mechanisms or ensuring an essentially equivalent protection may involve additional expense and potentially increased compliance risk. In the event a legislator, government, regulator or court imposes additional restrictions on international transfers, there may be operational interruption in the performance of services for customers and internal processing of employee information. Such restrictions may also increase our obligations in relation to carrying out international transfers of personal data, and incur additional expense and increased regulatory liabilities. On June 28, 2021, the EC adopted an adequacy decision in respect of transfers of personal data to the UK for a four year period until June 27, 2025. Similarly, the UK has determined that it considers all of the EEA to be adequate for the purposes of data protection. This ensures that data flows between the UK and the EEA remain unaffected.</w:t>
      </w:r>
    </w:p>
    <w:p>
      <w:pPr>
        <w:spacing w:after="0" w:line="13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EU GDPR and UK GDPR remain largely aligned. Currently, the most impactful point of divergence between the GDPR and the UK GDPR relates to these transfer mechanisms as explained above. There may be further divergence in the future, including with regard to administrative burdens.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1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exceptions or safe harbors, it is possible that some of our business activities could be subject to challenge under one or more of such laws. Such a challenge could have a material adverse effect on our business, financial condition and results of operations. These laws may impact, among other things, our proposed sales, marketing and education programs. In addition, we may be subject to patient privacy regulation by both the federal government and the states in which we conduct our business.</w:t>
      </w:r>
    </w:p>
    <w:p>
      <w:pPr>
        <w:spacing w:after="0" w:line="126"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If our promotional activities or other operations are found to be in violation of any of the laws described above or any other governmental regulations or guidance that apply to us through existing or new interpretations, we may be subject to prolonged litigation,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U.S., to help patients afford our approved product, we may utilize programs to assist them, including patient assistance programs, or PAPs and co-pay coupon programs for eligible patients. PAPs are regulated by and subject to guidance from HHS OIG. In addition, at least one insurer has directed its network pharmacies to no longer accept co-pay coupons for certain specialty drugs identified by the insurer. Our co-pay coupon programs could become the target of similar insurer actions. In addition, in November 2013, the CMS issued guidance to the issuers of qualified health plans sold through the ACA's, as defined herein,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Healthcare Reform and Legislation</w:t>
      </w:r>
    </w:p>
    <w:p>
      <w:pPr>
        <w:spacing w:after="0" w:line="9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the U.S. and foreign jurisdictions, there have been a number of legislative and regulatory changes to the healthcare system that could affect our future results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2" w:name="page23"/>
    <w:bookmarkEnd w:id="22"/>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March 11, 2021, the American Rescue Plan Act of 2021 went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3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August 2022, the Inflation Reduction Act of 2022, or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3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in the U.S. to fundamental changes. There have been, and we expect there will continue to be, legislative and regulatory proposals to change the healthcare system in ways that could impact our ability to sell our products profitably. We anticipate that the U.S. Congress, state legislatures and the private sector will continue to consider and may adopt healthcare policies intended to curb rising healthcare costs. These cost containment measures include: controls on government funded reimbursement for drugs; new or increased requirements to pay prescription drug rebates to government healthcare programs;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third-party payors to make coverage and payment decisions. Further, federal budgetary concerns could result in the implementation of significant federal spending cuts, including cuts in Medicare and other health related spending in the near term.</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Pricing and Reimbursement</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U.S. and markets in other countries, patients who are prescribed treatments for their conditions and providers performing the prescribed services generally rely on third-party payors to reimburse all or part of the associated healthcare costs. Our ability to successfully commercialize our product therefore depends significantly on the availability of adequate financial coverage and reimbursement from third-party payors, including, in the U.S., governmental payors such as Medicare and Medicaid, as well as managed care organizations, private health insurers and other organizations. Third-party payors decide which drugs they will pay for and establish reimbursement and copayment levels. Third-party payors are increasingly challenging the prices charged for medicines and examining their cost effectiveness, in addition to their safety and efficacy. In the U.S., the principal decisions about reimbursement for new medicines are typically made by CMS, an agency within the HHS. CMS decides whether and to what extent a new medicine will be covered and reimbursed under Medicare and private payors tend to follow CMS to a substantial degree.</w:t>
      </w:r>
    </w:p>
    <w:p>
      <w:pPr>
        <w:spacing w:after="0" w:line="13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drug products exists among third-party payors.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w:t>
      </w:r>
    </w:p>
    <w:p>
      <w:pPr>
        <w:spacing w:after="0" w:line="12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3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Payors also are increasingly considering new metrics as the basis for reimbursement rates, such as average sales price, average manufacturer price and actual acquisition cost. CMS surveys and publishes retail community pharmacy acquisition cost information in the form of National Average Drug Acquisition Cost files to provide state Medicaid agencies with a basis of comparison for their own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3" w:name="page24"/>
    <w:bookmarkEnd w:id="23"/>
    <w:p>
      <w:pPr>
        <w:ind w:right="40"/>
        <w:spacing w:after="0" w:line="258" w:lineRule="auto"/>
        <w:rPr>
          <w:sz w:val="20"/>
          <w:szCs w:val="20"/>
          <w:color w:val="auto"/>
        </w:rPr>
      </w:pPr>
      <w:r>
        <w:rPr>
          <w:rFonts w:ascii="Times New Roman" w:cs="Times New Roman" w:eastAsia="Times New Roman" w:hAnsi="Times New Roman"/>
          <w:sz w:val="18"/>
          <w:szCs w:val="18"/>
          <w:color w:val="auto"/>
        </w:rPr>
        <w:t>reimbursement and pricing methodologies and rates. It is difficult to project the impact of these evolving reimbursement mechanics on the willingness of payors to cover our products. Although we have withdrawn effective October 1, 2024 from the Medicaid Drug Rebate program and the 340B drug pricing program, during the year ended December 31, 2024, we participated in such programs. Under the Medicaid Drug Rebate program, we were required to pay a rebate to each state Medicaid program for our covered outpatient drugs that were dispensed to Medicaid beneficiaries and paid for by a state Medicaid program as a condition of having federal funds being made available to the states for our drugs under Medicaid and Part B of the Medicare program.</w:t>
      </w:r>
    </w:p>
    <w:p>
      <w:pPr>
        <w:spacing w:after="0" w:line="1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There have been several changes to the 340B drug pricing program. On November 3, 2023, the U.S. District Court of South Carolina issued an opinion in Genesis Healthcare Inc. v. Becerra et al. that may lead to an expansion.</w:t>
      </w:r>
    </w:p>
    <w:p>
      <w:pPr>
        <w:spacing w:after="0" w:line="1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currently participate in the U.S. Department of Veterans Affairs, or VA, Federal Supply Schedule, or FSS, pricing program. Under this program, we are obligated to make our products available for procurement on an FSS contract and charge a price to four federal agencies - the VA, U.S. Department of Defense, Public Health Service and U.S. Coast Guard -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w:t>
      </w:r>
    </w:p>
    <w:p>
      <w:pPr>
        <w:spacing w:after="0" w:line="13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Medicaid Drug Rebate program, 340B program, and VA/FSS pricing program, and the risks relating to price reporting and other obligations under these programs, are further discussed under the heading “</w:t>
      </w:r>
      <w:r>
        <w:rPr>
          <w:rFonts w:ascii="Times New Roman" w:cs="Times New Roman" w:eastAsia="Times New Roman" w:hAnsi="Times New Roman"/>
          <w:sz w:val="18"/>
          <w:szCs w:val="18"/>
          <w:i w:val="1"/>
          <w:iCs w:val="1"/>
          <w:color w:val="auto"/>
        </w:rPr>
        <w:t>If we fail to comply with our reporting and payment obligations under the Medicaid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Rebate 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Times New Roman" w:cs="Times New Roman" w:eastAsia="Times New Roman" w:hAnsi="Times New Roman"/>
          <w:sz w:val="18"/>
          <w:szCs w:val="18"/>
          <w:color w:val="auto"/>
        </w:rPr>
        <w:t>” in Part I, Item 1A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w:t>
      </w:r>
    </w:p>
    <w:p>
      <w:pPr>
        <w:spacing w:after="0" w:line="1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Outside the U.S.,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2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particularly when for the same product and the same indication as in the U.S., tend to be significantly lower.</w:t>
      </w:r>
    </w:p>
    <w:p>
      <w:pPr>
        <w:spacing w:after="0" w:line="13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Price negotiations are conducted in the UK and each EU country for new medicines between the manufacturer and the national government pricing committee, or the parties. In many cases, there is no specific timeline for negotiation conclusion and the dynamics depends on the discussions between both parties. Analyzing a benchmark of innovative cardiovascular and metabolic products in recent years, the average time to price negotiation from marketing authorization ranged from 12 months in England to 52 months in countries like France. Recent macro-economic context has put additional pressure on EU authorities in their ability to allocate large budgets for innovative medicines. After this negotiation phase concludes between the parties, a confidential agreement is signed for usually three to five years with a specific public budget allocation and a price is published, or the list price. For retail products like VAZKEPA in the UK, Sweden or Finland there are no confidential deals with authorities impacting net prices.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Manufacturing, sales, promotion, importation, and other activities related to approved products are also subject to regulation by numerous regulatory authorities, including, in the U.S., the U.S. FDA,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comply with the Food, Drug, and Cosmetic Act,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24" w:name="page25"/>
    <w:bookmarkEnd w:id="24"/>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Anti-Kickback Statute, and the False Claims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Products must meet applicable child-resistant packaging requirements under the U.S.</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Poison Prevention Packaging Act. 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U.S. FDA and other requirements, new information regarding the safety or effectiveness of a product could lead the U.S. FDA to modify or withdraw a product approval. Prohibitions or restrictions on sales or withdrawal of future products marketed by us could materially affect our business in an adverse way.</w:t>
      </w:r>
    </w:p>
    <w:p>
      <w:pPr>
        <w:spacing w:after="0" w:line="13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or statutes or the interpretation of existing regulations could impact our business in the future by requiring, the following: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Proprietary Technology, Trade Secrets</w:t>
      </w:r>
    </w:p>
    <w:p>
      <w:pPr>
        <w:spacing w:after="0" w:line="94"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U.S., it remains the case that our ability to successfully implement our business plan and to protect our products with our intellectual property will depend in large part on our ability to:</w:t>
      </w:r>
    </w:p>
    <w:p>
      <w:pPr>
        <w:spacing w:after="0" w:line="72" w:lineRule="exact"/>
        <w:rPr>
          <w:sz w:val="20"/>
          <w:szCs w:val="20"/>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7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Annual Report on Form 10-K, we had more than 100 patent applications in the U.S. that have been either issued or allowed, most of which are listed in the FDA publication entitled Approved Drug Products with Therapeutic Equivalence Evaluations also known as the FDA Orange Book.</w:t>
      </w:r>
    </w:p>
    <w:p>
      <w:pPr>
        <w:spacing w:after="0" w:line="12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Currently-issued U.S. patents will expire between 2027 and 2033 and contain claims directed to the methods of using icosapent ethyl to treat hypertriglyceridemia, severe hypertriglyceridemia and cardiovascular risk reduction. Our VASCEPA patent portfolio also includes many granted patents in foreign jurisdictions including pending foreign and Patent Cooperation Treaty, or PCT patent applications. Currently-granted European patents directed to the same subject matter as above will expire between 2027 and 2039, and may be subject to a potential further extension of a patent right. Granted patents in other foreign jurisdictions will expire between 2030 and 2039 and may be subject to a potential further patent term extension, depending on the country. Pending applications covering VASCEPA/VAZKEPA may, if granted, provide exclusivity for the drug until 2039.</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Patents and applications described above are either owned by Amarin or exclusively licensed from others.</w:t>
      </w:r>
    </w:p>
    <w:p>
      <w:pPr>
        <w:spacing w:after="0" w:line="17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have pending patent applications worldwide related to potential new uses of icosapent ethyl or other derivatives of EPA and potential new formulations thereof. Patents maturing from such pending applications would expire between 2030 and 2043.</w:t>
      </w:r>
    </w:p>
    <w:p>
      <w:pPr>
        <w:spacing w:after="0" w:line="10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0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Geographies outside the U.S. in which VASCEPA is sold or under regulatory review are not subject to the U.S. patent litigation and judgment. No litigation involving potential generic versions of icosapent ethyl is pending outside the U.S. Outside the U.S., VASCEPA is currently available by prescription in certain European countries, Australia and New Zealand, Canada, China, the Middle East and North Africa, South Korea, Southeast Asia, Greece and Israel. In Canada, VASCEPA has the benefit of data protection afforded through Health Canada until the end of 2027, in addition to separate patent protection with expiration dates that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ind w:right="40"/>
        <w:spacing w:after="0" w:line="258" w:lineRule="auto"/>
        <w:rPr>
          <w:sz w:val="20"/>
          <w:szCs w:val="20"/>
          <w:color w:val="auto"/>
        </w:rPr>
      </w:pPr>
      <w:r>
        <w:rPr>
          <w:rFonts w:ascii="Times New Roman" w:cs="Times New Roman" w:eastAsia="Times New Roman" w:hAnsi="Times New Roman"/>
          <w:sz w:val="18"/>
          <w:szCs w:val="18"/>
          <w:color w:val="auto"/>
        </w:rPr>
        <w:t>could extend into 2039. We are pursuing additional regulatory approvals for VASCEPA in Europe, Asia and the Middle East. In Asia and the Middle East, we are pursuing such regulatory approvals and subsequent commercialization of VASCEPA with commercial partners. The EC approval provides 10 years of market protection in the EU. Furthermore, patent protection in Europe includes: one granted patent related to the use of a pharmaceutical composition comprised of 4g of 96% EPA ethyl ester to treat the REDUCE-IT population expiring in 2033 and another related to treating the REDUCE-IT population expiring in 2039. In addition, pending patent applications in Europe may, if granted, also provide exclusivity into 2039.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a diverse and inclusive workforce helps us better connect our work with the needs of our patients, physicians, partners and other stakeholders. In our hiring and recruiting of prospective candidates, we give priority to attitude, intelligence, competency for the position and assessment of what they can contribute to our company. We promote employees based on merit with emphasis on accomplishments over effort while supporting the benefits of diversity. While we acknowledge and support the benefits of diversity and seek ways to continually improve in this area, individual hiring, promotion, compensation, retention and other employment decisions are made irrespective of personal characteristics such as race, disability, gender, sexual orientation, religion, or age.</w:t>
      </w:r>
    </w:p>
    <w:p>
      <w:pPr>
        <w:spacing w:after="0" w:line="5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Attracting, developing and retaining key scientific, technical, research, marketing, sales and other personnel is critical to our ability to implement and execute our business plan and is key to our success. Our ability to recruit and retain such talent depends on a number of factors, including compensation and benefits, talent development, career opportunities and work environment. As of December 31, 2024, we had approximately 275 full-time employees located in 15 countries, of which 25% are located in the U.S. and 75% are located throughout Europe. For the 25% of our total employees located in the U.S., our workforce diversity representation for gender and race is 38% and 32%, respectively.</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&amp; Engagement</w:t>
      </w:r>
    </w:p>
    <w:p>
      <w:pPr>
        <w:spacing w:after="0" w:line="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believe in a direct management-employee engagement model by which managers and employees maintain a regular dialogue about working conditions, compensation, compliance, safety and advancement opportunities. We communicate frequently and transparently with our employees through a variety of communication methods, including written and video communications and quarterly town hall meetings. We believe these engagement efforts keep our employees informed about our strategy, purpose and priorities, which is consistent with our core values of integrity, operational excellence, collaboration and commitment to quality and we believe this engagement motivates our employees to do their best work. We conduct an annual global employment engagement survey to obtained feedback from our employees on our employment engagement and development practices, among other areas. The participation and results of this survey were positive and allows management to continuously focus on improvements in this area. Our core values promote an empowering, supportive atmosphere where we work together to put patients first and improve patient care through our actions and products. We encourage employees to share ideas and learn from each other, while expecting high standards of quality and continuous improvement.</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9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committed to rewarding, supporting, and developing our employees who make it possible to deliver on our strategy. To that end, we offer a comprehensive rewards program aimed at the varying health and financial needs of our employees. Our program includes market-competitive salaries and wages, bonuses and broad-based stock grants, healthcare benefits, retirement plans with employer matching provisions, paid time off and family leave and a strong commitment to corporate wellness. In addition, we have implemented a hybrid workplace model for our offices throughout the world. We utilize independent consultants to help us ensure that our compensation and benefits are competitive with market practices and compliant with laws and regulations in the various geographies in which we operate.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12, 2025, we had the following subsidiaries:</w:t>
      </w:r>
    </w:p>
    <w:p>
      <w:pPr>
        <w:spacing w:after="0" w:line="9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28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3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28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 Interest and</w:t>
            </w:r>
          </w:p>
        </w:tc>
        <w:tc>
          <w:tcPr>
            <w:tcW w:w="0" w:type="dxa"/>
            <w:vAlign w:val="bottom"/>
          </w:tcPr>
          <w:p>
            <w:pPr>
              <w:spacing w:after="0"/>
              <w:rPr>
                <w:sz w:val="1"/>
                <w:szCs w:val="1"/>
                <w:color w:val="auto"/>
              </w:rPr>
            </w:pPr>
          </w:p>
        </w:tc>
      </w:tr>
      <w:tr>
        <w:trPr>
          <w:trHeight w:val="173"/>
        </w:trPr>
        <w:tc>
          <w:tcPr>
            <w:tcW w:w="58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Registration</w:t>
            </w:r>
          </w:p>
        </w:tc>
        <w:tc>
          <w:tcPr>
            <w:tcW w:w="28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Power Held</w:t>
            </w:r>
          </w:p>
        </w:tc>
        <w:tc>
          <w:tcPr>
            <w:tcW w:w="0" w:type="dxa"/>
            <w:vAlign w:val="bottom"/>
          </w:tcPr>
          <w:p>
            <w:pPr>
              <w:spacing w:after="0"/>
              <w:rPr>
                <w:sz w:val="1"/>
                <w:szCs w:val="1"/>
                <w:color w:val="auto"/>
              </w:rPr>
            </w:pPr>
          </w:p>
        </w:tc>
      </w:tr>
      <w:tr>
        <w:trPr>
          <w:trHeight w:val="23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32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280" w:type="dxa"/>
            <w:vAlign w:val="bottom"/>
            <w:shd w:val="clear" w:color="auto" w:fill="CFF0FC"/>
          </w:tcPr>
          <w:p>
            <w:pPr>
              <w:spacing w:after="0"/>
              <w:rPr>
                <w:sz w:val="20"/>
                <w:szCs w:val="20"/>
                <w:color w:val="auto"/>
              </w:rPr>
            </w:pP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Pharma, Inc.</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Israel</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Germany GmbH</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France SAS</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UK Limited</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Italy S.r.l.</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Sucursal Espana</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Austrian branch</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Belgium, branch of Amarin Switzerland GmbH</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Belgium</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Denmark, filial af Amarin Switzerland GmbH</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Suomen sivuliike</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Finland</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Greek branch</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Greece</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Dutch branch</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Norwegian branch</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Sucursal em Portugal</w:t>
            </w: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Portugal</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Sweden filial</w:t>
            </w: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on Form 10-K, our principal operating activities were being conducted by Amarin Corporation plc, together with Amarin Pharmaceuticals Ireland Limited and Amarin Pharma, Inc. Operating activity being conducted by the European subsidiaries were in support of Amarin Pharmaceuticals Ireland Limited. Ester Neurosciences Limited had no operating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Annual Report on Form 10-K, Quarterly Reports on Form 10-Q, Current Reports on Form 8-K (including exhibits), and amendments to reports filed pursuant to Sections 13(a) and 15(d) of the Securities Exchange Act of 1934, as amended, or the Exchange Act, are made available free of charge on or through our website at </w:t>
      </w:r>
      <w:r>
        <w:rPr>
          <w:rFonts w:ascii="Times New Roman" w:cs="Times New Roman" w:eastAsia="Times New Roman" w:hAnsi="Times New Roman"/>
          <w:sz w:val="18"/>
          <w:szCs w:val="18"/>
          <w:i w:val="1"/>
          <w:iCs w:val="1"/>
          <w:u w:val="single" w:color="auto"/>
          <w:color w:val="auto"/>
        </w:rPr>
        <w:t>www.amarincorp.com</w:t>
      </w:r>
      <w:r>
        <w:rPr>
          <w:rFonts w:ascii="Times New Roman" w:cs="Times New Roman" w:eastAsia="Times New Roman" w:hAnsi="Times New Roman"/>
          <w:sz w:val="18"/>
          <w:szCs w:val="18"/>
          <w:color w:val="auto"/>
        </w:rPr>
        <w:t xml:space="preserve"> as soon as reasonably practicable after such reports are filed with, or furnished to, the Securities and Exchange Commission, or SEC. The SEC also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and other information regarding issuers that file electronically with the SEC. We are not, however, including the information contained on our website, or information that may be accessed through links on our website, as part of, or incorporating such information by reference into, this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79"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8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270" w:lineRule="exact"/>
        <w:rPr>
          <w:sz w:val="20"/>
          <w:szCs w:val="20"/>
          <w:color w:val="auto"/>
        </w:rPr>
      </w:pPr>
    </w:p>
    <w:p>
      <w:pPr>
        <w:ind w:left="1020" w:right="5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 (icosapent ethyl), its commercialization in the U.S. and its development, launch and commercialization in Europe and other major markets;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we compete with and may face increasing competition from generic drug companies and our revenues and results could continue to be materially and adversely affected;</w:t>
      </w:r>
    </w:p>
    <w:p>
      <w:pPr>
        <w:spacing w:after="0" w:line="53"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relevant pricing approvals in various countries; however, we may not be successful in obtaining such approvals in a timely manner, or at all and, even if successfully obtained, we may not be successful in commercializing VAZKEPA in major markets outside the U.S.;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of VASCEPA outside the U.S. may be smaller than we anticipate, particularly if we are unable to secure favorable product pricing and reimbursement levels, which vary from country to country. If we are unable to realize product reimbursement rates at reasonable price levels, or at all, patient access to VASCEPA may be limited and our revenues and results could be adversely affected;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at levels sufficient to achieve commercial success;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Restructuring Program, or ORP, effected in July 2023, and any similar efforts we may undertake in the future, may not be successful in mitigating risks and challenges associated with our U.S. business and establishing a more significant international footprint;</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supply and commercialization, including promotional activities, of VASCEPA and VAZKEPA are subject to regulatory oversight and scrutiny in each of the markets in which we are active;</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a multitude of regulatory frameworks in the development, manufacture, distribution and marketing of our products, any changes to the relevant regulations, changes in healthcare laws, or operation of the relevant government agencies or departments may adversely impact our business;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commercializing VASCEPA outside the U.S., and we may not be successful in building an infrastructure, including a sales force, that can navigate the regulatory and other dynamics outside of the U.S..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obligations of our employees, agents, business partners and third parties to protect the commercial value and potential of VASCEPA. Enforcing our patent rights is challenging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8" w:name="page29"/>
    <w:bookmarkEnd w:id="28"/>
    <w:p>
      <w:pPr>
        <w:ind w:left="1020" w:right="100"/>
        <w:spacing w:after="0" w:line="282" w:lineRule="auto"/>
        <w:rPr>
          <w:sz w:val="20"/>
          <w:szCs w:val="20"/>
          <w:color w:val="auto"/>
        </w:rPr>
      </w:pPr>
      <w:r>
        <w:rPr>
          <w:rFonts w:ascii="Times New Roman" w:cs="Times New Roman" w:eastAsia="Times New Roman" w:hAnsi="Times New Roman"/>
          <w:sz w:val="18"/>
          <w:szCs w:val="18"/>
          <w:color w:val="auto"/>
        </w:rPr>
        <w:t>and costly and, even if we are able to successfully enforce our patent rights, our issued patents may not prevent competitors from competing with VASCEPA;</w:t>
      </w:r>
    </w:p>
    <w:p>
      <w:pPr>
        <w:spacing w:after="0" w:line="54" w:lineRule="exact"/>
        <w:rPr>
          <w:sz w:val="20"/>
          <w:szCs w:val="20"/>
          <w:color w:val="auto"/>
        </w:rPr>
      </w:pPr>
    </w:p>
    <w:p>
      <w:pPr>
        <w:jc w:val="both"/>
        <w:ind w:left="1020" w:right="26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in the future may be, party to litigation and government investigations. Litigation, investigations or threats thereof, regardless of merit or outcome, are costly and can require significant time and resources from our management and employees;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we have incurred operating losses and we may not be able to generate significant revenue to achieve steady profitability. We may not be able to obtain financing or additional resources on favorable terms, or at all;</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return capital to our shareholders and increase shareholder value, including our share repurchase program, may not be implemented in a timely manner or at all, or may not have the expected results;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meet the listing requirements of the NASDAQ Stock Market, or NASDAQ, our stock may be delisted.</w:t>
      </w:r>
    </w:p>
    <w:p>
      <w:pPr>
        <w:spacing w:after="0" w:line="17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our Annual Report on Form 10-K,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77"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(icosapent ethyl), its commercialization in the United States and its development, launch and commercialization in Europe and other major markets.</w:t>
      </w:r>
    </w:p>
    <w:p>
      <w:pPr>
        <w:spacing w:after="0" w:line="2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currently derive substantially all of our revenue from sales of VASCEPA. We may be substantially dependent on sales of VASCEPA for many years. Our financial condition and the success of our company will be materially adversely affected, we may have to further restructure our current operations, and our business prospects will be limited, if we experience any negative developments relating to VASCEPA. In the first quarter of 2020, the U.S. District Court for the District of Nevada issued a ruling in favor of two generic drug companies, Dr. Reddy's Laboratories, Inc., or Dr. Reddy's, and Hikma Pharmaceuticals USA Inc., or Hikma, and certain of their affiliates, that declared as invalid several patents of ours protecting the first U.S. FDA-approved use of our drug, to reduce severely high triglyceride levels, or the MARINE indication, or the ANDA litigation. We were unsuccessful in our appeals and our stock price was adversely and materially impacted by the ruling, the results of the appeals process and the introduction of generic competition. If other proprietary rights protecting VASCEPA or its use are challenged, our stock price could further decline, particularly if such challenges, which are costly to defend, are successful.</w:t>
      </w:r>
    </w:p>
    <w:p>
      <w:pPr>
        <w:spacing w:after="0" w:line="4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Although we are exploring ways to broaden our development and commercial pipeline, such efforts are likely to be time consuming, costly and may utilize resources that could otherwise be focused on commercializing VASCEPA. It took over a decade of product development before we received marketing approval for VAZKEPA in March 2021 from the European Commission, or the EC.</w:t>
      </w:r>
    </w:p>
    <w:p>
      <w:pPr>
        <w:spacing w:after="0" w:line="12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 consuming, may be dilutive to existing shareholdings, and may be initially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24"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compete with, and may face increasing competition from, generic drug companies and our revenues and results of operations could continue to be materially and adversely affected.</w:t>
      </w:r>
    </w:p>
    <w:p>
      <w:pPr>
        <w:spacing w:after="0" w:line="1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Following the ANDA litigation rulings against the Company, generic versions of icosapent ethyl began launching in the U.S. in November 2020, and several generic versions are currently available, including for both the 0.5-gram and 1-gram capsules, and we expect that VASCEPA could face more competition from generic companies in the U.S. Increasing sales of generic versions of icosapent ethyl could continue to have a material and adverse impact on our revenues and results of operations in the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9" w:name="page30"/>
    <w:bookmarkEnd w:id="29"/>
    <w:p>
      <w:pPr>
        <w:ind w:firstLine="509"/>
        <w:spacing w:after="0" w:line="261" w:lineRule="auto"/>
        <w:rPr>
          <w:sz w:val="20"/>
          <w:szCs w:val="20"/>
          <w:color w:val="auto"/>
        </w:rPr>
      </w:pPr>
      <w:r>
        <w:rPr>
          <w:rFonts w:ascii="Times New Roman" w:cs="Times New Roman" w:eastAsia="Times New Roman" w:hAnsi="Times New Roman"/>
          <w:sz w:val="18"/>
          <w:szCs w:val="18"/>
          <w:color w:val="auto"/>
        </w:rPr>
        <w:t>Generally, once a generic version of a drug is available in the market, the generic version is typically used by pharmacies across the U.S. to fill prescriptions for any use of the drug, subject to state substitution laws. Although, we intend to continue to vigorously defend our intellectual property rights related to VASCEPA, there can be no assurance that we will be successful in preventing use of generic versions of icosapent ethyl in indications for which they have not been approved by the U.S. FDA, even if such use is determined to infringe certain of our patent claims.</w:t>
      </w:r>
    </w:p>
    <w:p>
      <w:pPr>
        <w:spacing w:after="0" w:line="216"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seeking relevant pricing approvals in various countries; however, we may not be successful in obtaining such approvals in a timely manner or at all and even if successfully obtained, we may not be successful in commercializing VAZKEPA in major markets outside the United States.</w:t>
      </w:r>
    </w:p>
    <w:p>
      <w:pPr>
        <w:spacing w:after="0" w:line="1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continue our development efforts to support commercialization of VASCEPA in major markets outside the U.S., particularly in light of the level of competition, including from generic products, in the U.S.. This process is conducted on a country-by-country basis and is time consuming and complex, and, even though the EC approved the marketing authorization for VAZKEPA in March 2021, and we have received positive national pricing and reimbursement decisions in various countries, there is no guarantee that we will be able to negotiate and obtain further reimbursement and pricing terms on favorable terms, or at all, in the other countries where we are pursuing commercialization. Further, successful progress or pricing terms in one country may not be indicative of our outcomes in other jurisdictions. We may not be successful in obtaining additional approvals in a timely manner with acceptable terms, or in additional countries, and if we are unable to do so, and continue to face increased competition in the U.S., our financial position could be materially and adversely impacted.</w:t>
      </w:r>
    </w:p>
    <w:p>
      <w:pPr>
        <w:spacing w:after="0" w:line="13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been developing VAZKEPA on our own in Europe, where we have limited experience. We are exploring possible strategic collaborations within Europe and in other major markets, which will increase our reliance on third parties, over whom we have limited control. We currently have multiple partners for the development and commercialization of VASCEPA in select geographies and are assessing potential partners to commercialize VASCEPA in other parts of the world. We have strategic collaborations for the development and commercialization of VASCEPA in Australia and New Zealand, Canada, China, the Middle East and North Africa, South Korea, Southeast Asia, Greece and Israel. However, we cannot make any guarantees as to the success of these efforts or that our beliefs about the value potential are accurate, or that we will be able to rely upon these third parties; if commercialization plans for VASCEPA do not meet expectations in major markets such as Europe, our business and prospects could be materially and adversely affected.</w:t>
      </w:r>
    </w:p>
    <w:p>
      <w:pPr>
        <w:spacing w:after="0" w:line="215"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of VASCEPA outside the United States may be smaller than we anticipate, particularly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4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as to the market for VASCEPA outside the U.S., and we may face challenges in successfully achieving market opportunities available to us. Despite having received EC approval to commercialize VAZKEPA in Europe and approval elsewhere around the world, applicable regulatory agencies may impose restrictions on the product’s conditions for use, distribution or marketing, and in some cases may impose ongoing requirements for post-market surveillance, post-approval studies or clinical trials, any of which could limit the market opportunity, or our ability to capitalize on such opportunity, for VASCEPA.</w:t>
      </w:r>
    </w:p>
    <w:p>
      <w:pPr>
        <w:spacing w:after="0" w:line="12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Further, securing adequate reimbursement is critical for commercial success of any therapeutic, and pricing and reimbursement levels of medications in markets outside the U.S.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and these negotiations are not always successful.</w:t>
      </w:r>
    </w:p>
    <w:p>
      <w:pPr>
        <w:spacing w:after="0" w:line="1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Further, in countries outside the U.S., securing product reimbursement is a requisite to commercial launch. To obtain reimbursement or pricing approval in some countries, we may be required to conduct a pharmacoeconomic study that compares the cost effectiveness of VASCEPA to other available therapies. Such pharmacoeconomic studies can be costly and the results uncertain. The time required to secure reimbursement tends to vary from country to country and cannot be reliably predicted at this time.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13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or our partners, may choose to not proceed with marketing VASCEPA in a market, even after obtaining all necessary regulatory approval, due to negative commercial dynamics. Further, with regard to any indications for which we may gain approval in territories outside the U.S.,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U.S. or in jurisdictions in which we do not have exclusivity from regulations or intellectual property. If any of these market dynamics exist, the commercial potential in these territories for our product would suffer.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30" w:name="page31"/>
    <w:bookmarkEnd w:id="30"/>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1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be unsuccessful in expanding our global footprint. We are launching VAZKEPA on our own in the most commercially significant markets in Europe, and have redesigned our commercial infrastructure in Europe. The commercial launch of a new pharmaceutical product is a complex and resource heavy undertaking for a company to manage and may be impacted by decisions by and interactions with local regulators. We have limited prior experience as a company operating a commercial-stage pharmaceutical business in Europe.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inhibit our efforts to successfully commercialize VASCEPA include:</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regulatory exclusivities and entry into the market of additional generic versions of icosapent ethyl;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 and senior management, particularly in light of our recent reductions in force, including our ORP, and turnover on the management team;</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applicable regulatory and other legal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access to or persuade adequate numbers of physicians to prescribe or patients to use VASCEPA;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overestimating the addressable market for VASCEPA;</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 outside of the U.S..</w:t>
      </w:r>
    </w:p>
    <w:p>
      <w:pPr>
        <w:spacing w:after="0" w:line="171" w:lineRule="exact"/>
        <w:rPr>
          <w:sz w:val="20"/>
          <w:szCs w:val="20"/>
          <w:color w:val="auto"/>
        </w:rPr>
      </w:pPr>
    </w:p>
    <w:p>
      <w:pPr>
        <w:ind w:right="300" w:firstLine="509"/>
        <w:spacing w:after="0" w:line="313" w:lineRule="auto"/>
        <w:rPr>
          <w:sz w:val="20"/>
          <w:szCs w:val="20"/>
          <w:color w:val="auto"/>
        </w:rPr>
      </w:pPr>
      <w:r>
        <w:rPr>
          <w:rFonts w:ascii="Times New Roman" w:cs="Times New Roman" w:eastAsia="Times New Roman" w:hAnsi="Times New Roman"/>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72" w:lineRule="exact"/>
        <w:rPr>
          <w:sz w:val="20"/>
          <w:szCs w:val="20"/>
          <w:color w:val="auto"/>
        </w:rPr>
      </w:pPr>
    </w:p>
    <w:p>
      <w:pPr>
        <w:ind w:right="8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1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ability to generate meaningful revenues of VASCEPA outside of the U.S.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generics. Refer to </w:t>
      </w:r>
      <w:r>
        <w:rPr>
          <w:rFonts w:ascii="Times New Roman" w:cs="Times New Roman" w:eastAsia="Times New Roman" w:hAnsi="Times New Roman"/>
          <w:sz w:val="18"/>
          <w:szCs w:val="18"/>
          <w:i w:val="1"/>
          <w:iCs w:val="1"/>
          <w:color w:val="auto"/>
        </w:rPr>
        <w:t>Item 1. Business - Government Regulation – Pharmaceutical Pricing and Reimbursement</w:t>
      </w:r>
      <w:r>
        <w:rPr>
          <w:rFonts w:ascii="Times New Roman" w:cs="Times New Roman" w:eastAsia="Times New Roman" w:hAnsi="Times New Roman"/>
          <w:sz w:val="18"/>
          <w:szCs w:val="18"/>
          <w:color w:val="auto"/>
        </w:rPr>
        <w:t xml:space="preserve"> for further details.</w:t>
      </w:r>
    </w:p>
    <w:p>
      <w:pPr>
        <w:spacing w:after="0" w:line="135"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In many countries outside the U.S.,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 effectiveness to determine prices, coverage and reimbursement of new therapies; and these organizations are expanding in established and emerging markets. Many countries also limit coverage to populations narrower than the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31" w:name="page32"/>
    <w:bookmarkEnd w:id="31"/>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12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dynamics and developments discussed above serve to create pressure on the pricing and potential usage of products throughout the pharmaceutical industry, including VASCEPA.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If reimbursement of VASCEPA is unavailable or limited in scope or amount, or if pricing is set at unsatisfactory levels, our ability to successfully commercialize VASCEPA outside of the U.S. may be harmed, which could have a material and negative impact on our overall business.</w:t>
      </w:r>
    </w:p>
    <w:p>
      <w:pPr>
        <w:spacing w:after="0" w:line="224"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and commercial payor actions outside of the United States have affected and will continue to affect access to and sales of our products.</w:t>
      </w:r>
    </w:p>
    <w:p>
      <w:pPr>
        <w:spacing w:after="0" w:line="1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Outside of the U.S., we expect countries will continue to take actions to reduce their drug expenditures. International reference pricing, or IRP, has been widely used by many countries outside the U.S.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of the U.S.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U.S.. We as an organization have limited experience in navigating the pricing and reimbursement regimes outside of the U.S.. The foreign regimes are varied and complex, and this might hinder our effectiveness in establishing satisfactory pricing, coverage and reimbursement levels in a timely manner or at all.</w:t>
      </w:r>
    </w:p>
    <w:p>
      <w:pPr>
        <w:spacing w:after="0" w:line="23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achieve commercial success.</w:t>
      </w:r>
    </w:p>
    <w:p>
      <w:pPr>
        <w:spacing w:after="0" w:line="1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be unable to increase or maintain market acceptance by physicians, patients, healthcare payors and others in the medical community, especially in light of generic competition. If VASCEPA does not achieve an adequate level of acceptance, we may not generate product revenues sufficient to become profitable, or, even if we do achieve profitability, we may not be able to generate consistent profitability. The degree of market acceptance of VASCEPA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adjudicated, settled and pending patent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versions of icosapent ethyl;</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warnings in VASCEPA's approved labeling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data supporting our REDUCE-IT indication over time;</w:t>
      </w:r>
    </w:p>
    <w:p>
      <w:pPr>
        <w:spacing w:after="0" w:line="117" w:lineRule="exact"/>
        <w:rPr>
          <w:rFonts w:ascii="Times New Roman" w:cs="Times New Roman" w:eastAsia="Times New Roman" w:hAnsi="Times New Roman"/>
          <w:sz w:val="18"/>
          <w:szCs w:val="18"/>
          <w:color w:val="auto"/>
        </w:rPr>
      </w:pPr>
    </w:p>
    <w:p>
      <w:pPr>
        <w:ind w:left="1020" w:right="9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our clinical data supporting our REDUCE-IT indication by regulatory authorities internationally;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our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2" w:name="page33"/>
    <w:bookmarkEnd w:id="32"/>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U.S. consistent with U.S. FDA-approved labeling and the related perception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prescribed uses, on-label and off-label;</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international conflicts and political unrest, all of which could negatively impact our supply chain or inhibit our ability to promote VASCEPA regionally and which could negatively affect product demand by creating obstacles for patients to seek treatment and fill prescriptions;</w:t>
      </w:r>
    </w:p>
    <w:p>
      <w:pPr>
        <w:spacing w:after="0" w:line="6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spacing w:after="0" w:line="10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 above factors could have a negative impact on our ability to successfully commercialize VASCEPA, which would in turn have a negative impact on our financial condition.</w:t>
      </w:r>
    </w:p>
    <w:p>
      <w:pPr>
        <w:spacing w:after="0" w:line="185"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data or related interpretations that are generated or arise over time related to REDUCE-IT might not meet expectations, and the perception of REDUCE-IT results and VASCEPA revenue potential may suffer and our stock price may decline.</w:t>
      </w:r>
    </w:p>
    <w:p>
      <w:pPr>
        <w:spacing w:after="0" w:line="1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Additional data assessment by international regulatory authorities or otherwise could yield additional information to inform greater understanding of study outcome, which information could impact the perception of VASCEPA. Such data or interpretations may not be favorable for us.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12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as when Health Canada approved an indication based on our REDUCE-IT trial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12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U.S. and Europe may consider the following additional factors, which could lead to evaluations of the totality of the efficacy and safety data from REDUCE-IT that differ from those of the U.S. FDA or the EC:</w:t>
      </w:r>
    </w:p>
    <w:p>
      <w:pPr>
        <w:spacing w:after="0" w:line="54" w:lineRule="exact"/>
        <w:rPr>
          <w:sz w:val="20"/>
          <w:szCs w:val="20"/>
          <w:color w:val="auto"/>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those related to adverse events, including bleeding and atrial fibrillation generally and in different sub-populations);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3" w:name="page34"/>
    <w:bookmarkEnd w:id="33"/>
    <w:p>
      <w:pPr>
        <w:ind w:right="2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new clinical data or analysis of existing data from clinical trials involving VASCEPA and similar moderate-to-high doses of eicosapentaenoic acid or icosapent ethyl could adversely impact public perception of VASCEPA’s clinical profile and the commercial and regulatory prospects of VASCEPA.</w:t>
      </w:r>
    </w:p>
    <w:p>
      <w:pPr>
        <w:spacing w:after="0" w:line="2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Analysis of data from trials of moderate-to-high doses of VASCEPA and icosapent ethyl, or a similar eicosapentaenoic acid product, could render new or adverse information on the effects of VASCEPA and its commercial and regulatory prospects.</w:t>
      </w:r>
    </w:p>
    <w:p>
      <w:pPr>
        <w:spacing w:after="0" w:line="10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Results from this study were presented during the 2022 American Heart Association Scientific Sessions in November 2022 and published online in the journal Circulation in June 2024 and were consistent with the evidence from the REDUCE-IT study.</w:t>
      </w:r>
    </w:p>
    <w:p>
      <w:pPr>
        <w:spacing w:after="0" w:line="12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China’s National Medical Products Administration, or NMPA, approved VASCEPA as an adjunct to diet to reduce the levels of triglyceride in adult patients suffering from severe hypertriglyceridemia (≥500mg/dL) and in October 2023 Edding submitted a regulatory filing to the NMPA and was approved on June 28, 2024. Following approval, Edding is working to secure National Reimbursement Drug Listing for VASCEPA in Mainland China under the REDUCE-IT indication. Even though the results from these trials were positive, additional clinical development efforts may be necessary in these markets to demonstrate the effectiveness and safety of VASCEPA, which may be costly to pursue, or may not produce the desired or expected results.</w:t>
      </w:r>
    </w:p>
    <w:p>
      <w:pPr>
        <w:spacing w:after="0" w:line="13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outcomes of any new studies involving VASCEPA and icosapent ethyl, or further analysis of existing trial data, is unfavorable, the perception of existing clinical results of VASCEPA, such as MARINE or REDUCE-IT, or the perceived clinical profile and commercial value of VASCEPA and its regulatory status, or perceptions about the potential for VASCEPA, including as a treatment for broader indications, may suffer. If this occurs our revenue and business could suffer and our stock price could significantly decline.</w:t>
      </w:r>
    </w:p>
    <w:p>
      <w:pPr>
        <w:spacing w:after="0" w:line="203"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ORP and any similar efforts we may undertake in the future, may not be successful in mitigating risks and challenges associated with our U.S. business and establishing a more significant international footprint.</w:t>
      </w:r>
    </w:p>
    <w:p>
      <w:pPr>
        <w:spacing w:after="0" w:line="2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are not successful in our efforts to continue to market and sell VASCEPA in the U.S., including following our ORP announced in July 2023 which eliminated all remaining sales force positions in the U.S., with the managed care and trade organization remaining to support U.S. commercial efforts, and approximately 30% of non-sales positions, our anticipated revenues or our expenses could be materially adversely affected, and we may not maintain profitability in the U.S. or obtain profitability internationally. Further, we may need to cut back on research and development activities or we may need to implement other cost-containment measures, or we may need to raise additional funding that could result in substantial dilution or impose considerable restrictions on our business.</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supply and commercialization, including promotional activities, of VASCEPA is subject to regulatory scrutiny.</w:t>
      </w:r>
    </w:p>
    <w:p>
      <w:pPr>
        <w:spacing w:after="0" w:line="8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False Claims Act, or FCA. However, case law over the last several years has called into question the extent to which the U.S. government, including the U.S. FDA, can, and is willing to seek to, prevent truthful and non-misleading speech related to off-label uses of U.S. FDA-approved products such as VASCEPA.</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of a lawsuit that we and a group of independent physicians filed against the U.S. FDA in 2015, we were granted preliminary relief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The U.S. FDA did not appeal the court’s ruling and ultimately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12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For example, we were recently the subject of two civil investigative demands, or CIDs, from the U.S. Federal Trade Commission and a subpoena from the New York Attorney General, or the Investigations. Although we are cooperating with the government and completed document production in mid-2023, we cannot predict when these Investigations will be resolved, the outcome of the Investigations or their potential impact on our business.</w:t>
      </w:r>
    </w:p>
    <w:p>
      <w:pPr>
        <w:spacing w:after="0" w:line="12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we may be subject to enhanced scrutiny to ensure that our promotion remains within the scope covered by the settlement.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1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or as a result of the findings of the Investigations,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10"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2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We expect that the number of companies seeking to develop products and therapies similar to VASCEPA may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3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generic versions of icosapent ethyl launched in the U.S. by companies that could have greater resources than us, and with the potential for further generic versions being launched possibly in the near term, it may not be viable for us to continue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icosapent ethyl.</w:t>
      </w:r>
    </w:p>
    <w:p>
      <w:pPr>
        <w:spacing w:after="0" w:line="133" w:lineRule="exact"/>
        <w:rPr>
          <w:sz w:val="20"/>
          <w:szCs w:val="20"/>
          <w:color w:val="auto"/>
        </w:rPr>
      </w:pPr>
    </w:p>
    <w:p>
      <w:pPr>
        <w:ind w:right="320" w:firstLine="509"/>
        <w:spacing w:after="0" w:line="236" w:lineRule="auto"/>
        <w:rPr>
          <w:sz w:val="20"/>
          <w:szCs w:val="20"/>
          <w:color w:val="auto"/>
        </w:rPr>
      </w:pPr>
      <w:r>
        <w:rPr>
          <w:rFonts w:ascii="Times New Roman" w:cs="Times New Roman" w:eastAsia="Times New Roman" w:hAnsi="Times New Roman"/>
          <w:sz w:val="18"/>
          <w:szCs w:val="18"/>
          <w:color w:val="auto"/>
        </w:rPr>
        <w:t>We also face considerable competition in the U.S. from branded products and generic versions of competing branded products and formulations, including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all of which have multiple generic competing versions. We compete with these drugs in our U.S. FDA-approved indicated uses, even though such products do not have U.S. FDA approval to reduce CV risk on top of statin therapy.</w:t>
      </w:r>
    </w:p>
    <w:p>
      <w:pPr>
        <w:spacing w:after="0" w:line="14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For a more detailed discussion of our competitors, and potential competing drugs in development, in the U.S. and the rest of the world, see our discussion above in </w:t>
      </w:r>
      <w:r>
        <w:rPr>
          <w:rFonts w:ascii="Times New Roman" w:cs="Times New Roman" w:eastAsia="Times New Roman" w:hAnsi="Times New Roman"/>
          <w:sz w:val="18"/>
          <w:szCs w:val="18"/>
          <w:i w:val="1"/>
          <w:iCs w:val="1"/>
          <w:color w:val="auto"/>
        </w:rPr>
        <w:t>Item 1. Business - Competition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Further, drugs in development that are expected to compete with VASCEPA if they are ultimately approved and commercialized, and the perceived safety and efficacy of such commercialized drugs or drug products, could have a negative impact on the perceived safety and efficacy of VASCEPA.</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CV risk based on biomarker modification without cardiovascular outcomes study data, with the potential exception of therapies which lower LDL-C,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5" w:name="page36"/>
    <w:bookmarkEnd w:id="35"/>
    <w:p>
      <w:pPr>
        <w:ind w:right="280"/>
        <w:spacing w:after="0" w:line="261" w:lineRule="auto"/>
        <w:rPr>
          <w:sz w:val="20"/>
          <w:szCs w:val="20"/>
          <w:color w:val="auto"/>
        </w:rPr>
      </w:pPr>
      <w:r>
        <w:rPr>
          <w:rFonts w:ascii="Times New Roman" w:cs="Times New Roman" w:eastAsia="Times New Roman" w:hAnsi="Times New Roman"/>
          <w:sz w:val="18"/>
          <w:szCs w:val="18"/>
          <w:color w:val="auto"/>
        </w:rPr>
        <w:t>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CV risk reduction indication without the need in advance to conduct a long and expensive CV outcomes study.</w:t>
      </w:r>
    </w:p>
    <w:p>
      <w:pPr>
        <w:spacing w:after="0" w:line="12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VASCEPA also faces competition from dietary supplement manufacturers marketing omega-3 products as nutritional supplements. Such products are classified as food, not as prescription drugs or over-the-counter drugs, by the U.S. FDA and other regulators.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13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Consistent with the competitive landscape in the U.S., our competitors outside of the U.S. include large, well-established and experienced pharmaceutical companies, specialty and generic pharmaceutical companies, marketing companies, and specialized cardiovascular treatment companies and we have limited experience as a company self-commercializing a product outside of the U.S..</w:t>
      </w:r>
    </w:p>
    <w:p>
      <w:pPr>
        <w:spacing w:after="0" w:line="122"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19"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generic competitors seek to compete with VASCEPA in the United States and elsewhere, we could face additional challenges to our patents and additional patent litigation.</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could face patent litigation related to the patents filed related to the REDUCE-IT study.</w:t>
      </w:r>
    </w:p>
    <w:p>
      <w:pPr>
        <w:spacing w:after="0" w:line="17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cannot predict the outcome of the pending lawsuits, any appeals, or any subsequently filed lawsuits or inter partes review.</w:t>
      </w:r>
    </w:p>
    <w:p>
      <w:pPr>
        <w:spacing w:after="0" w:line="17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Generic versions of icosapent ethyl made available in the market, even if based on a MARINE indication, are often used to fill a prescription for any intended use of the drug. If any approved ANDA filers are able to supply the product in significant commercial quantities, generic companies could introduce generic versions of icosapent ethyl in the market, as Hikma, Dr. Reddy's, Apotex, Teva and others have done. Although any such introduction of a generic version of icosapent ethyl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1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generic market entries beginning in 2020 have limited our U.S. sales and had an adverse impact on our business and results of operations.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icosapent ethyl to date, but may elect to do so in the future.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6" w:name="page37"/>
    <w:bookmarkEnd w:id="36"/>
    <w:p>
      <w:pPr>
        <w:ind w:right="2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active pharmaceutical ingredient in VASCEPA is difficult and time consuming to manufacture. It often requires considerable advanced planning and long-term financial commitments to ensure sufficient capacity is available when needed. Certain generic competitors filed lawsuits against us claiming we have engaged in anticompetitive practices related to our building of adequate supply for our needs, and government agencies are investigating our business as it relates to the supply of the active pharmaceutical ingredient in VASCEPA. Consumer lawsuits with similar allegations have also been filed. This dynamic and resulting regulatory scrutiny could be costly for us and could negatively and materially interfere with our business plans.</w:t>
      </w:r>
    </w:p>
    <w:p>
      <w:pPr>
        <w:spacing w:after="0" w:line="3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and often requires considerable advanced planning and necessitates long-term financial commitments to ensure sufficient capacity is available when needed. We have invested over a decade of resources and expenses to develop this active pharmaceutical ingredient, or API, with our third-party suppliers, and to otherwise build our supply chain, improve our technical know-how, establish manufacturing processes and obtain related regulatory approvals to help enable our suppliers to meet our clinical and commercial needs globally. Despite such efforts, the stability of the supply chain is largely out of our control and is subject to market and supply volatility and the actions of third parties. Any disruption to the supply chain, including the manufacturing processes and availability of API, would be disruptive to our business and would have a negative impact on our results of operations.</w:t>
      </w:r>
    </w:p>
    <w:p>
      <w:pPr>
        <w:spacing w:after="0" w:line="13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April 2021, Dr. Reddy’s filed a complaint against us in the U.S. District Court District of New Jersey (case no. 2:21-cv-10309) alleging various antitrust violations stemming from alleged anticompetitive practices related to the supply of API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that such alleged violations resulted in higher prices to consumers. In addition, in February 2023, March 2024 and June 2024, Hikma, Teva and Apotex, respectively, filed complaints against us in the U.S. District Court District of New Jersey (case nos. 23-cv-01016, 24-cv-04341 and 24-cv-07041, respectively) making allegations consistent with the Dr. Reddy's complaint. Such litigation can be lengthy, costly and could materially affect and disrupt our business.</w:t>
      </w:r>
    </w:p>
    <w:p>
      <w:pPr>
        <w:spacing w:after="0" w:line="212"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24"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omega-3 fatty acid dietary supplements, which are subject to less stringent regulatory oversight.</w:t>
      </w:r>
    </w:p>
    <w:p>
      <w:pPr>
        <w:spacing w:after="0" w:line="1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Times New Roman" w:cs="Times New Roman" w:eastAsia="Times New Roman" w:hAnsi="Times New Roman"/>
          <w:sz w:val="18"/>
          <w:szCs w:val="18"/>
          <w:i w:val="1"/>
          <w:iCs w:val="1"/>
          <w:color w:val="auto"/>
        </w:rPr>
        <w:t>Supportive but not conclusive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shows that consumption of EPA and DHA omega-3 fatty acids may reduce the risk of coronary heart disease</w:t>
      </w:r>
      <w:r>
        <w:rPr>
          <w:rFonts w:ascii="Times New Roman" w:cs="Times New Roman" w:eastAsia="Times New Roman" w:hAnsi="Times New Roman"/>
          <w:sz w:val="18"/>
          <w:szCs w:val="18"/>
          <w:color w:val="auto"/>
        </w:rPr>
        <w:t>. Such companies are not,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based on U.S. FDA enforcement activity, to make claims that suggest or imply treatment of cardiovascular disease.</w:t>
      </w:r>
    </w:p>
    <w:p>
      <w:pPr>
        <w:spacing w:after="0" w:line="12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net price of VASCEPA to patients even after insurance reimbursement and offered discounts could be significantly higher than the prices of commercially available omega-3 fatty acids marketed by other companies as dietary supplements (through the lack of coverage by insurers or otherwise). Physicians and pharmacists may recommend these dietary supplement alternatives instead of writing or filling prescriptions for VASCEPA or patients may elect on their own to take commercially available omega-3 fatty acids. Also, insurance plans may increasingly impose policies that directly or indirectly favor supplement use over VASCEPA. VASCEPA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VASCEPA or VASCEPA’s market acceptance may be less than expected, which would have a negative impact on our revenues and results of operations.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7" w:name="page38"/>
    <w:bookmarkEnd w:id="37"/>
    <w:p>
      <w:pPr>
        <w:ind w:firstLine="509"/>
        <w:spacing w:after="0" w:line="252"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U.S. FDA rules in addition to other applicable federal and local laws in the U.S. and in other countries. The result of our litigation and settlement with the U.S. FDA, as discussed above, may cause the government to scrutinize our promotional efforts or otherwise monitor our business more closely. Industry-sponsored scientific and educational activities also must comply with U.S. FDA and other requirements. In the U.S.,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Drug manufacturers and other entities involved in the manufacture and distribution of approved drugs are also subject to periodic unannounced inspections by the U.S.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U.S. FDA of counterfeit, diverted, stolen and intentionally adulterated products or other products that are otherwise unfit for distribution in the U.S.. In addition, under the Food and Drug Omnibus Reform Act of 2022, or FDORA, sponsors of approved drugs and biologics must provide six months’ notice to the U.S. FDA of any changes in marketing status, such as the withdrawal of a drug, and failure to do so could result in the U.S. FDA placing the product on a list of discontinued products, which would revoke the product’s ability to be marketed.</w:t>
      </w:r>
    </w:p>
    <w:p>
      <w:pPr>
        <w:spacing w:after="0" w:line="14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over whom we have limited or no control.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13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all of the above factors may also apply to any regulatory approval for VASCEPA obtained in territories outside the U.S.. In Europe, for example, restrictions regarding off-label promotion are in some ways more stringent than in the U.S., including restrictions covering certain communications with shareholders. Given our inexperience with marketing and commercializing products outside the U.S., in certain territories we may need to rely on third parties, such as our partners in Canada, China and the Middle East, to assist us in dealing with any such issues and we will have limited or no control over such partners.</w:t>
      </w:r>
    </w:p>
    <w:p>
      <w:pPr>
        <w:spacing w:after="0" w:line="206" w:lineRule="exact"/>
        <w:rPr>
          <w:sz w:val="20"/>
          <w:szCs w:val="20"/>
          <w:color w:val="auto"/>
        </w:rPr>
      </w:pPr>
    </w:p>
    <w:p>
      <w:pPr>
        <w:jc w:val="both"/>
        <w:ind w:right="5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4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 For example, the Inflation Reduction Act, or IRA, enacted in the U.S. in an effort to manage certain drug prices, includes provisions such as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or PBMs, can charge. This could have an adverse impact on our future revenues. Refer to </w:t>
      </w:r>
      <w:r>
        <w:rPr>
          <w:rFonts w:ascii="Times New Roman" w:cs="Times New Roman" w:eastAsia="Times New Roman" w:hAnsi="Times New Roman"/>
          <w:sz w:val="18"/>
          <w:szCs w:val="18"/>
          <w:i w:val="1"/>
          <w:iCs w:val="1"/>
          <w:color w:val="auto"/>
        </w:rPr>
        <w:t>Item 1. Business - United States Healthcare Reform and Legislation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1. Business - Pharmaceutical Pricing and Reimbursement</w:t>
      </w:r>
      <w:r>
        <w:rPr>
          <w:rFonts w:ascii="Times New Roman" w:cs="Times New Roman" w:eastAsia="Times New Roman" w:hAnsi="Times New Roman"/>
          <w:sz w:val="18"/>
          <w:szCs w:val="18"/>
          <w:color w:val="auto"/>
        </w:rPr>
        <w:t xml:space="preserve"> for further details.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8" w:name="page39"/>
    <w:bookmarkEnd w:id="38"/>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the Affordable Care Act, or ACA, and by other healthcare reforms that may be enacted or adopted in the future. In addition, increasing emphasis on managed care in the U.S. will continue to put pressure on the pricing of pharmaceutical products.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3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These and similar regulatory dynamics, including the entry of generic versions of icosapent ethyl into the market, and the potential for additional generic versions in the near term, can affect our ability to commercialize VASCEPA on commercially reasonable terms and limit the commercial value of VASCEPA.</w:t>
      </w:r>
    </w:p>
    <w:p>
      <w:pPr>
        <w:spacing w:after="0" w:line="199"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2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Although we have withdrawn from the Medicaid Drug Rebate program and the 340B drug pricing program effective October 1, 2024, during the year ended December 31, 2024, we participated in such programs. Under the Medicaid Drug Rebate program, we were required to pay a rebate to each state Medicaid program for our covered outpatient drugs that were dispensed to Medicaid beneficiaries and paid for by a state Medicaid program as a condition of having federal funds being made available to the states for our drugs under Medicaid. Those rebates were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have complied with these price reporting and rebate payment obligations could negatively impact our financial results.</w:t>
      </w:r>
    </w:p>
    <w:p>
      <w:pPr>
        <w:spacing w:after="0" w:line="13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3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2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also participate in the VA’s FSS pricing program. As part of this program, we are obligated to make our products available for procurement on a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33"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9" w:name="page40"/>
    <w:bookmarkEnd w:id="39"/>
    <w:p>
      <w:pPr>
        <w:spacing w:after="0" w:line="261" w:lineRule="auto"/>
        <w:rPr>
          <w:sz w:val="20"/>
          <w:szCs w:val="20"/>
          <w:color w:val="auto"/>
        </w:rPr>
      </w:pPr>
      <w:r>
        <w:rPr>
          <w:rFonts w:ascii="Times New Roman" w:cs="Times New Roman" w:eastAsia="Times New Roman" w:hAnsi="Times New Roman"/>
          <w:sz w:val="18"/>
          <w:szCs w:val="18"/>
          <w:color w:val="auto"/>
        </w:rPr>
        <w:t>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For example, a large national PBM notified the Company that, effective July 1, 2024, the PBM would no longer cover VASCEPA as the exclusive icosapent ethyl product for its commercial national formularies and would be transitioning VASCEPA to not covered status. While this decision did not impact VASCEPA coverage within Medicare Part D formularies of the PBM, the PBM's decision not to cover VASCEPA as the exclusive icosapent ethyl product for its commercial formularies limited our ability to market and sell VASCEPA.</w:t>
      </w:r>
    </w:p>
    <w:p>
      <w:pPr>
        <w:spacing w:after="0" w:line="5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Third-party payors also establish reimbursement rates for those products and services. Increasingly, third-party payors are challenging the prices charged for medical products and services. Some third-party payor benefit packages restrict reimbursement, charge copayments or coinsurance to patients, or do not provide coverage for specific drugs, uses, or drug classes.</w:t>
      </w:r>
    </w:p>
    <w:p>
      <w:pPr>
        <w:spacing w:after="0" w:line="12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certain U.S.-based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 which may not be favorable to us.</w:t>
      </w:r>
    </w:p>
    <w:p>
      <w:pPr>
        <w:spacing w:after="0" w:line="12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icosapent ethyl.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the U.S.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Changes in regulations, statutes or the interpretation of existing regulations could impact our business in the future by requiring: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Refer to </w:t>
      </w:r>
      <w:r>
        <w:rPr>
          <w:rFonts w:ascii="Times New Roman" w:cs="Times New Roman" w:eastAsia="Times New Roman" w:hAnsi="Times New Roman"/>
          <w:sz w:val="18"/>
          <w:szCs w:val="18"/>
          <w:i w:val="1"/>
          <w:iCs w:val="1"/>
          <w:color w:val="auto"/>
        </w:rPr>
        <w:t>Item 1. Business - Current and Future Legislation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1. 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Healthcare Reform and Legislation.</w:t>
      </w:r>
    </w:p>
    <w:p>
      <w:pPr>
        <w:spacing w:after="0" w:line="18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162" w:lineRule="exact"/>
        <w:rPr>
          <w:sz w:val="20"/>
          <w:szCs w:val="20"/>
          <w:color w:val="auto"/>
        </w:rPr>
      </w:pPr>
    </w:p>
    <w:p>
      <w:pPr>
        <w:ind w:left="900" w:hanging="51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0" w:name="page41"/>
    <w:bookmarkEnd w:id="40"/>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7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6"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3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operating results and business.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European data protection regulations, where we collect and use personal data relating to Europe, including in relation to our personnel in the European Economic Area, or the EEA, or in the United Kingdom, or the UK. This regulatory regime includes the European Union General Data Protection Regulation, or the EU GDPR, and the UK equivalent of the same, or the UK GDPR (collectively referred to as the GDPR in this Annual Report on Form 10-K), as well as other national data protection legislation in force in relevant EU and EEA member states and the UK (including the UK Data Protection Act 2018 in the UK), which govern the collection, use, storage, disclosure, transfer, or other processing of personal data (including health data processed in the context of clinical trials): (i) carried out in the context of the activities of our establishment in any EU and EEA member state or the UK or (ii) collected in the course of offering services to or involving behavior-monitoring of individuals in the EU/UK. Currently, the EU GDPR and UK GDPR remain largely aligned. The GDPR imposes several requirements on companies that process personal data, including requirements relating to the processing of health and other sensitive data, legal basis for processing personal data which may include obtaining the consent of the individuals to whom the personal data relates, providing detailed information to individuals about how their personal data is used, notification of personal data breaches to data protection authorities and individuals, and implementing safeguards to protect the security and confidentiality of the personal data. The GDPR also imposes strict rules on the transfer of personal data out of the EEA and UK to third-party countries, including the U.S. in certain circumstances, unless a derogation exists or a valid GDPR transfer mechanism (e.g., the European Commission approved Standard Contractual Clauses, or SCCs, and the UK International Data Transfer Agreement/Addendum, or UK IDTA) have been put in place. Where relying on the SCCs /UK IDTA for data transfers, we may also be required to carry out transfer impact assessments to assess whether the recipient is subject to local laws which allow public authority access to personal data. Any inability to transfer personal data from the EEA and UK to the U.S. in compliance with data protection laws may impede our business operations and may adversely affect our business and financial position.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UK government has introduced a Data Protection and Digital Information Bill, or Data Reform Bill, into the UK legislative process to reform the UK’s data protection regime, and if passed, the final version of the Data Reform Bill may have the effect of further altering the similarities between the UK and EEA data protection regimes and threaten the UK international transfers adequacy decision from the European Commission, which may lead to additional compliance costs for us and could increase our overall risk. It is unclear how UK data protection laws and regulations will develop in the medium to longer term, and how data transfers to and from the UK will be regulated in the long term.</w:t>
      </w:r>
    </w:p>
    <w:p>
      <w:pPr>
        <w:spacing w:after="0" w:line="4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Failure to comply with the requirements of the GDPR and related national data protection laws of the EEA Member States or the UK may result in substantial fines of up to €20 million or 4% of a company’s global annual turnover for the preceding financial year, whichever is higher. Moreover, the GDPR grants data subjects and consumer associations the right to claim material and non-material damages resulting from infringement of the GDPR. The GDPR imposes additional responsibility and liability in relation to personal data that we process, where such processing is subject to the GDPR and we may be required to put in place additional mechanisms ensuring compliance with these and/or new data protection rules. This may be costly, onerous and adversely affect our business, financial condition, prospects and results of operations. Although the EU GDPR and the UK GDPR currently impose substantially similar obligations, it is possible that over time the UK GDPR could become less aligned with the EU GDPR.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programs could require us to amend our processes and procedures to implement different compliance measures for the UK and the EEA.</w:t>
      </w:r>
    </w:p>
    <w:p>
      <w:pPr>
        <w:spacing w:after="0" w:line="22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3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U.S. FDA and other regulatory agencies strictly regulate the promotional claims that may be made about prescription products.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the REDUCE-IT indication,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The government may also seek to hold us responsible for the non-compliance of our former co-promotion partner, Kowa America, or our commercialization partners outside the U.S. or other third parties that we retain to help us implement our business plan.</w:t>
      </w:r>
    </w:p>
    <w:p>
      <w:pPr>
        <w:spacing w:after="0" w:line="13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210"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2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ind w:right="180"/>
        <w:spacing w:after="0" w:line="256" w:lineRule="auto"/>
        <w:rPr>
          <w:sz w:val="20"/>
          <w:szCs w:val="20"/>
          <w:color w:val="auto"/>
        </w:rPr>
      </w:pPr>
      <w:r>
        <w:rPr>
          <w:rFonts w:ascii="Times New Roman" w:cs="Times New Roman" w:eastAsia="Times New Roman" w:hAnsi="Times New Roman"/>
          <w:sz w:val="18"/>
          <w:szCs w:val="18"/>
          <w:color w:val="auto"/>
        </w:rPr>
        <w:t>to sell such products once approved. The development, manufacture and marketing of pharmaceutical products are subject to extensive regulation by governmental authorities in the U.S. and elsewhere. In the U.S.,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7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17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w:t>
      </w:r>
    </w:p>
    <w:p>
      <w:pPr>
        <w:spacing w:after="0" w:line="12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2019, in connection with U.S. FDA’s review of REDUCE-IT data and the supplemental New Drug Application, or sNDA,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low-density lipoprotein, or LDL cholesterol values on the time to the primary endpoint was numerically small and unlikely to change the overall conclusion of treatment benefit. The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13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15"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continue to scale our infrastructure for commercializing VASCEPA based on market dynamics for VASCEPA in the United States and commercial initiatives and plans for VAZKEPA in Europe and other parts of the world, we may encounter difficulties in managing the size and adaptability of our operations successfully.</w:t>
      </w:r>
    </w:p>
    <w:p>
      <w:pPr>
        <w:spacing w:after="0" w:line="4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process of establishing, maintaining, expanding and streamlining a commercial infrastructure is difficult, expensive and time consuming, particularly when such efforts need to adapt to changing market and business dynamics. As a result of our ORP,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43" w:name="page44"/>
    <w:bookmarkEnd w:id="43"/>
    <w:p>
      <w:pPr>
        <w:ind w:right="260"/>
        <w:spacing w:after="0" w:line="282" w:lineRule="auto"/>
        <w:rPr>
          <w:sz w:val="20"/>
          <w:szCs w:val="20"/>
          <w:color w:val="auto"/>
        </w:rPr>
      </w:pPr>
      <w:r>
        <w:rPr>
          <w:rFonts w:ascii="Times New Roman" w:cs="Times New Roman" w:eastAsia="Times New Roman" w:hAnsi="Times New Roman"/>
          <w:sz w:val="18"/>
          <w:szCs w:val="18"/>
          <w:color w:val="auto"/>
        </w:rPr>
        <w:t>do not have a sales team to promote VASCEPA to physicians and other healthcare professionals in the U.S., and will rely on only our managed care and trade organization to support sales of VASCEPA in the U.S..</w:t>
      </w:r>
    </w:p>
    <w:p>
      <w:pPr>
        <w:spacing w:after="0" w:line="10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the elimination of our sales force in the U.S., we continue to work on our own and with our international partners to support regulatory efforts outside the U.S. based on REDUCE-IT results. If we are successful in obtaining sufficient approvals and adequate pricing and reimbursement levels in major markets in Europe and elsewhere, we will need to ensure that our operations are adequate to support a commercial launch and continued promotion. We redesigned our commercial infrastructure in Europe to better align with pricing and reimbursement status and commercial potential. We will be operating with streamlined teams in Europe and elsewhere outside the U.S.; however, we will anticipate the need to expand internally and expect that we will need to manage additional relationships with various collaborative partners, suppliers and other third parties as we progress in Europe and elsewhere outside the U.S.. Future growth and streamlining efforts will impose significant added responsibilities on members of management, including the need to identify, recruit, maintain and integrate the right number of employees. In Europe, we have built out our team subsequent to EC approval of the marketing authorization acceptance in 2021, with plans to continue to expand our European staff as deemed appropriate on a country-by-country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depending on successful life-cycle management efforts.</w:t>
      </w:r>
    </w:p>
    <w:p>
      <w:pPr>
        <w:spacing w:after="0" w:line="9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drug development efforts are subject to the risks and uncertainties inherent in any drug development program. Due to the risks and uncertainties involved in progressing through development and bioequivalence or even potential additional trials (as may be required by specific regulatory agencies), and the time and cost involved in obtaining regulatory approvals, we cannot reasonably estimate the timing, completion dates and costs, or range of costs, of our drug development program, or of the successful development of any particular derivative, combination or next generation product candidate. The potential success of any derivative, combination or next generation product candidate will depend on a number of factors, including the scope of and our success with manufacturing, obtaining regulatory approvals and achieving sufficient (or any) levels of market acceptance if approved.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90"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2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no in-house manufacturing capacity and rely entirely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or if they insist on burdensome terms, such as excessive minimum supply commitments, we may not be able to obtain adequate quantities of product in a timely manner, at cost efficient levels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13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API (drug substance) or encapsulated bulk product (drug product), it would have a material adverse effect on our ability to continue to commercialize VASCEPA.</w:t>
      </w:r>
    </w:p>
    <w:p>
      <w:pPr>
        <w:spacing w:after="0" w:line="13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We continue to take steps to negotiate our contract supply agreements to align supply arrangements with current and future global market demand.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Australia and New Zealand, Canada, China, the Middle East and North Africa, South Korea, Southeast Asia, Greece and Israel,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of commercial launch, including in China and various European countries. Our aggregate capacity to produce API is dependent upon the continued qualification of our API suppliers and, depending on the ability of existing suppliers to meet our supply demands, the ability to qualify any new suppliers. If no additional API supplier is approved by the U.S. FDA as part of an sNDA, our API supply will be limited to the API we purchase from previously approved suppliers. For example, the EMA has not yet approved use of each of our suppliers used for VASCEPA in the U.S. for supply of VAZKEPA in the EU.</w:t>
      </w:r>
    </w:p>
    <w:p>
      <w:pPr>
        <w:spacing w:after="0" w:line="14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Further, 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2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If our third-party manufacturing capacity is not appropriately qualified and/or compliant with applicable regulatory requirements, we may not be able to supply sufficient quantities of VASCEPA to meet anticipated demand.</w:t>
      </w:r>
    </w:p>
    <w:p>
      <w:pPr>
        <w:spacing w:after="0" w:line="10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we can contract with any future manufacturer on acceptable terms or that any such alternative supplier will not require capital investment from us in order for them to meet our requirements. Alternatively, our purchase of supply, or any minimum purchase requirements, may exceed actual demand for VASCEPA.</w:t>
      </w:r>
    </w:p>
    <w:p>
      <w:pPr>
        <w:spacing w:after="0" w:line="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w:t>
      </w:r>
    </w:p>
    <w:p>
      <w:pPr>
        <w:spacing w:after="0" w:line="4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our minimum purchase commitments exceed our supply needs for VASCEPA, we may have to renegotiate with partners in our supply chain who may not be incentivized to renegotiate terms that are favorable to us, or at all. If we are unable to secure adequate levels of supply to meet demand, our financial condition could be negatively and materially impacted.</w:t>
      </w:r>
    </w:p>
    <w:p>
      <w:pPr>
        <w:spacing w:after="0" w:line="199"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1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required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PBMs may implement plans that act as disincentives for VASCEPA use, such as increasingly higher deductibles. One practical impact of higher deductibles is that they may cause patients to delay filling prescriptions for asymptomatic, chronic care medications such as hypertriglyceridemia, for which VASCEPA may be prescribed, earlier in the year, until patients meet their deductible and the cost of VASCEPA is then borne more by their insurance carrier. PBMs also have discretion to no longer cover the Company's products. For example, a large national PBM notified the Company that effective July 1, 2024, the PBM would no longer cover VASCEPA as the exclusive icosapent ethyl product for its commercial national formularies, as further discussed above. Collectively, these dynamics adversely affect our profitability for the sale of VASCEPA and could increase over time further impacting our operating results. Consolidation among these industry participants could increase the pressure on us from these market dynamics.</w:t>
      </w:r>
    </w:p>
    <w:p>
      <w:pPr>
        <w:spacing w:after="0" w:line="219"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2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5" w:name="page46"/>
    <w:bookmarkEnd w:id="45"/>
    <w:p>
      <w:pPr>
        <w:ind w:right="280"/>
        <w:spacing w:after="0" w:line="255" w:lineRule="auto"/>
        <w:rPr>
          <w:sz w:val="20"/>
          <w:szCs w:val="20"/>
          <w:color w:val="auto"/>
        </w:rPr>
      </w:pPr>
      <w:r>
        <w:rPr>
          <w:rFonts w:ascii="Times New Roman" w:cs="Times New Roman" w:eastAsia="Times New Roman" w:hAnsi="Times New Roman"/>
          <w:sz w:val="18"/>
          <w:szCs w:val="18"/>
          <w:color w:val="auto"/>
        </w:rPr>
        <w:t>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3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a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comparable foreign requirements under ICH guidelines.</w:t>
      </w:r>
    </w:p>
    <w:p>
      <w:pPr>
        <w:spacing w:after="0" w:line="171"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w:t>
      </w:r>
    </w:p>
    <w:p>
      <w:pPr>
        <w:spacing w:after="0" w:line="12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w:t>
      </w:r>
    </w:p>
    <w:p>
      <w:pPr>
        <w:spacing w:after="0" w:line="206"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4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U.S. through several contractual arrangements in territories including Australia and New Zealand, Canada, China, the Middle East and North Africa, South Korea, Southeast Asia, Greece and Israel. We continue to assess other opportunities to develop VASCEPA commercialization outside of the U.S. through similar arrangements.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6" w:name="page47"/>
    <w:bookmarkEnd w:id="46"/>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Edding is responsible for development and commercialization activities in the China Territory and associated expenses under our development, commercialization and supply agreement with them. Additionally, Edding is required to conduct clinical trials in the China Territory to secure regulatory approval in certain territories. Edding has successfully undertaken clinical trials and approval initiatives under our arrangement with them, including the announcement of statistically significant positive topline results from Edding’s Phase 3 clinical trial of VASCEPA and has obtained approval for VASCEPA in Hong Kong under the REDUCE-IT indication and in Mainland China under the MARINE indication. In June 2024, Edding received approval for the REDUCE-IT indication in Mainland China. However, Edding may face challenges or be unsuccessful in commercial launch. Further, any development and regulatory efforts in the China Territory may be negatively impacted by the lingering effects of the coronavirus pandemic. Any development and regulatory efforts in the China Territory may be negatively impacted by heightened political tension between China and the U.S., including issues expressed between the countries regarding trade practices, tariffs and honoring intellectual property rights. If Edding is not able to effectively commercialize VASCEPA in the China Territory, we may not be able to generate revenue from our agreement with Edding resulting from the sale of VASCEPA in the China Territory.</w:t>
      </w:r>
    </w:p>
    <w:p>
      <w:pPr>
        <w:spacing w:after="0" w:line="138"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7"/>
          <w:szCs w:val="17"/>
          <w:color w:val="auto"/>
        </w:rPr>
        <w:t>We are party to arrangements with Biologix FZCo, or Biologix, to register and commercialize VASCEPA in several Middle Eastern and North African countries, with HLS Therapeutics Inc., or HLS, to register, commercialize and distribute VASCEPA in Canada, with CSL Seqirus, or CSL, to secure pricing and reimbursement, commercialize and distribute VASCEPA in Australia and New Zealand, Lotus Pharmaceuticals, or Lotus, to register, commercialize and distribute VASCEPA in several countries in Southeast Asia, Vianex S.A. to import, register, distribute and commercialize VAZKEPA in Greece, and Neopharm (Israel) 1996 Ltd., or Neopharm, to distribute VASCEPA in Israel. Although Biologix is currently actively commercializing VASCEPA in the United Arab Emirates, Lebanon, Kuwait and Saudi Arabia, and HLS is currently commercializing VASCEPA in Canada, we are completely reliant on these third parties to successfully commercialize the product in those markets, which markets can be complex and challenging.</w:t>
      </w:r>
    </w:p>
    <w:p>
      <w:pPr>
        <w:spacing w:after="0" w:line="117"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If Edding, Biologix, HLS, CSL, Lotus, Neopharm or Vianex, or other third parties who we rely on for development and commercialization of VASCEPA, do not successfully carry out their contractual obligations or meet expected deadlines, our recourse and remedies against these parties is limited.</w:t>
      </w:r>
    </w:p>
    <w:p>
      <w:pPr>
        <w:spacing w:after="0" w:line="12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efforts to launch and support commercialization of VAZKEPA on our own in Europe is a complex undertaking for a company that, other than the launch of VAZKEPA in certain countries in the last two years, has not launched or otherwise commercialized a product in Europe and could be subject to significant risks of execution to our successful development and revenue generation of VAZKEPA in Europe.</w:t>
      </w:r>
    </w:p>
    <w:p>
      <w:pPr>
        <w:spacing w:after="0" w:line="12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U.S. to develop and market our products in non-U.S. jurisdictions. In order for our partners to market and sell VASCEPA in any country outside of the U.S.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U.S.. Any failure by us or our partners to obtain approval for VASCEPA in non-U.S. jurisdictions in a timely manner may limit the commercial success of VASCEPA and our ability to grow our revenues.</w:t>
      </w:r>
    </w:p>
    <w:p>
      <w:pPr>
        <w:spacing w:after="0" w:line="206"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2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Refer to </w:t>
      </w:r>
      <w:r>
        <w:rPr>
          <w:rFonts w:ascii="Times New Roman" w:cs="Times New Roman" w:eastAsia="Times New Roman" w:hAnsi="Times New Roman"/>
          <w:sz w:val="18"/>
          <w:szCs w:val="18"/>
          <w:i w:val="1"/>
          <w:iCs w:val="1"/>
          <w:color w:val="auto"/>
        </w:rPr>
        <w:t>Item 1. Business - Government Regulation - Fraud and Abuse Laws and Data Regulation</w:t>
      </w:r>
      <w:r>
        <w:rPr>
          <w:rFonts w:ascii="Times New Roman" w:cs="Times New Roman" w:eastAsia="Times New Roman" w:hAnsi="Times New Roman"/>
          <w:sz w:val="18"/>
          <w:szCs w:val="18"/>
          <w:color w:val="auto"/>
        </w:rPr>
        <w:t xml:space="preserve"> for further details.</w:t>
      </w:r>
    </w:p>
    <w:p>
      <w:pPr>
        <w:spacing w:after="0" w:line="13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7" w:name="page48"/>
    <w:bookmarkEnd w:id="47"/>
    <w:p>
      <w:pPr>
        <w:ind w:firstLine="509"/>
        <w:spacing w:after="0" w:line="268" w:lineRule="auto"/>
        <w:rPr>
          <w:sz w:val="20"/>
          <w:szCs w:val="20"/>
          <w:color w:val="auto"/>
        </w:rPr>
      </w:pPr>
      <w:r>
        <w:rPr>
          <w:rFonts w:ascii="Times New Roman" w:cs="Times New Roman" w:eastAsia="Times New Roman" w:hAnsi="Times New Roman"/>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including the Investigations referenced above.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(e.g.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2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52423"/>
        </w:rPr>
        <w:t>In the U.S., to help patients afford our approved product, we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13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2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with the approval and commercialization of any of our products outside the U.S., we will also likely be subject to foreign equivalents of the healthcare laws mentioned above, among other foreign laws.</w:t>
      </w:r>
    </w:p>
    <w:p>
      <w:pPr>
        <w:spacing w:after="0" w:line="18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5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investigator-initiated trials, or IITs, which are scientific research that is initiated, sponsored, and conducted by an independent investigator(s) and/or institution(s) not affiliated with us, are being, and additional IITs, may be conducted involving potential product candidates. The investigator, sponsor, and/or investigator/sponsor remains responsible for conception, design, data analysis, publication, and compliance with applicable law. Investigator initiated trials can contribute towards enhancing the understanding of products (such as mechanism of action) and sparking new ideas for further research; however, IITs are generally not supported by pharmaceutical companies for the purposes of generating data that can lead to product labelling changes. Even if an IIT has positive results, additional studies, along with regulatory agency guidance and approval, would be required to advance a pharmaceutical product to the next stage of development and new potential labelling changes or indications. If we are unable to confirm or replicate the results from an IIT or if negative results are obtained, we would likely be further delayed or prevented from advancing further clinical development. Further, if the data proves to be inadequate compared to the firsthand knowledge we might have gained had the IIT been sponsored and conducted by us, then our ability to design and conduct any future clinical trials ourselves may be adversely affected. Negative results in IITs could have a material adverse effect on our efforts to obtain regulatory approval for such product candidates and the public perception of such product candidates. In addition, third parties that are investigating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90" w:lineRule="exact"/>
        <w:rPr>
          <w:sz w:val="20"/>
          <w:szCs w:val="20"/>
          <w:color w:val="auto"/>
        </w:rPr>
      </w:pPr>
    </w:p>
    <w:p>
      <w:pPr>
        <w:jc w:val="both"/>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40"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Refer to “</w:t>
      </w:r>
      <w:r>
        <w:rPr>
          <w:rFonts w:ascii="Times New Roman" w:cs="Times New Roman" w:eastAsia="Times New Roman" w:hAnsi="Times New Roman"/>
          <w:sz w:val="18"/>
          <w:szCs w:val="18"/>
          <w:i w:val="1"/>
          <w:iCs w:val="1"/>
          <w:color w:val="auto"/>
        </w:rPr>
        <w:t>Item 1. Business - Patents, Proprietary Technology, Trade Secrets</w:t>
      </w:r>
      <w:r>
        <w:rPr>
          <w:rFonts w:ascii="Times New Roman" w:cs="Times New Roman" w:eastAsia="Times New Roman" w:hAnsi="Times New Roman"/>
          <w:sz w:val="18"/>
          <w:szCs w:val="18"/>
          <w:color w:val="auto"/>
        </w:rPr>
        <w:t xml:space="preserve"> for further details.</w:t>
      </w:r>
    </w:p>
    <w:p>
      <w:pPr>
        <w:spacing w:after="0" w:line="12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however such defense activities can be costly to pursue and may not have the desired results. On November 30, 2020, we filed a patent infringement lawsuit against Hikma for making, selling, offering to sell and importing generic icosapent ethyl capsules in and into the U.S. in a manner that we allege has induced the infringement of patents covering the use of VASCEPA to reduce specified CV risk. On January 4, 2022, the district court for the District of Delaware granted a motion to dismiss our lawsuit for failure to state a claim. Thereafter, we appealed the district court dismissal to the Court of Appeals for the Federal Circuit. On June 25, 2024, the Federal Circuit issued a decision reversing the district court's ruling, finding that our allegations against Hikma plausibly state a claim alleging Hikma actively induced infringement of the asserted patents. Hikma filed a petition for rehearing en banc on August 22, 2024. which was denied on October 17, 2024. The case was remanded to the district court and will proceed accordingly, but we cannot predict the outcome or the impact on its business. The Company intends to continue to vigorously enforce its intellectual property rights relating to VASCEPA, but cannot predict the outcome of these lawsuits or any subsequently filed lawsuits.</w:t>
      </w:r>
    </w:p>
    <w:p>
      <w:pPr>
        <w:spacing w:after="0" w:line="13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any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icosapent ethyl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3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99"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1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U.S. and internationally with claims designed to protect the proprietary position of VASCEPA/VAZKEPA.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However, our pending patent applications may not be granted or, if they are granted, there is no certainty that they will prevent competitors from competing with VASCEPA.</w:t>
      </w:r>
    </w:p>
    <w:p>
      <w:pPr>
        <w:spacing w:after="0" w:line="1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0" w:right="399" w:bottom="1440" w:gutter="0" w:footer="0" w:header="0"/>
        </w:sectPr>
      </w:pPr>
    </w:p>
    <w:bookmarkStart w:id="49" w:name="page50"/>
    <w:bookmarkEnd w:id="49"/>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2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Because of the inherent nature of estimates, including during the uncertainty of our European launch and the impact from U.S. generic competition, we have suspended providing net revenue guidance, as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 particularly in light of recent senior management changes.</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The departure of any key person could have a significant impact and would be potentially disruptive to our business until such time as a suitable replacement is hired. In addition, we must successfully manage transition issues that may result from the departure or retirement of members of our leadership team. For example, our Chief Executive Officer resigned in June 2024 and was succeeded by our former Executive Vice President, President U.S., and our Chief Financial Officer resigned in October 2024 and was succeeded by our former Global Controller.</w:t>
      </w:r>
    </w:p>
    <w:p>
      <w:pPr>
        <w:spacing w:after="0" w:line="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because of the specialized nature of our business, as our business plan progresses, we will be highly dependent upon our ability to attract and retain qualified scientific, technical and key management personnel. As we continue to expand our commercialization efforts globally we may experience continued or increased turnover among members of our senior management team. We may have difficulty identifying, attracting and integrating new executives to replace any such losses. As we pursue commercialization efforts in Europe, we need to rapidly hire employees and ensure that they are well trained and working cohesively with core values which are consistent with our existing operations and which, we believe, help improve our position for success. In the U.S., where we have recently eliminated all sales force positions, employees are increasingly being recruited by other companies. The current and potential threat of generic competition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80" w:lineRule="exact"/>
        <w:rPr>
          <w:sz w:val="20"/>
          <w:szCs w:val="20"/>
          <w:color w:val="auto"/>
        </w:rPr>
      </w:pPr>
    </w:p>
    <w:p>
      <w:pPr>
        <w:ind w:right="60" w:firstLine="509"/>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-223520</wp:posOffset>
            </wp:positionV>
            <wp:extent cx="6413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 w:lineRule="exact"/>
        <w:rPr>
          <w:sz w:val="20"/>
          <w:szCs w:val="20"/>
          <w:color w:val="auto"/>
        </w:rPr>
      </w:pPr>
    </w:p>
    <w:p>
      <w:pPr>
        <w:ind w:right="20" w:firstLine="509"/>
        <w:spacing w:after="0" w:line="226"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4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Our and our partners use of smart products, Internet of Things and artificial intelligence subjects us to increased cyber and technology risks. The secure operation of these information technology systems and networks is critical to our business operations and strategy. The risk of cybersecurity attacks may increase as artificial intelligence capabilities improve and are increasingly used to identify vulnerabilities and construct increasingly sophisticated cybersecurity attacks, with the possibility of additional vulnerabilities being introduced through our own use of artificial intelligence and its use by our stakeholders, including vendors.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0" w:name="page51"/>
    <w:bookmarkEnd w:id="50"/>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4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0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face an increased risk of securities class action litigation.</w:t>
      </w:r>
    </w:p>
    <w:p>
      <w:pPr>
        <w:spacing w:after="0" w:line="9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Securities class action litigation has often been brought against a company following a decline in the market price of its securities. This risk is especially relevant for us due to our current stock price, as well as general market volatility experienced in recent years.</w:t>
      </w:r>
    </w:p>
    <w:p>
      <w:pPr>
        <w:spacing w:after="0" w:line="108"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Any lawsuit that we or our directors or officers are a party to, regardless of merit, may result in an unfavorable judgment. Additionally, we may decide to settle lawsuits on unfavorable terms. Any such lawsuit may result in payments of substantial damages or fines, damage to our reputation or adverse changes to our offerings or business practices, which could adversely affect our business. Any proceeding in which we are or may become involved could result in substantial costs, penalties and files as well as a diversion of management's attention and resources, which could harm our business. Please refer to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xml:space="preserve"> for additional information regarding litigation to which the Company is a party.</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and/or tax laws could have a negative effect on our future profitability.</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have at all times sought to conduct our affairs in such a way so as to be solely resident in Ireland for tax purposes by virtue of having our place of effective management situated in Ireland.</w:t>
      </w:r>
    </w:p>
    <w:p>
      <w:pPr>
        <w:spacing w:after="0" w:line="13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Organisation for Economic Co-operation and Development's, or OECD’s, Multilateral Instrument, or MLI. Under the modified Ireland-UK DTA, from January 1, 2020, we would be solely tax resident in Ireland and not tax resident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1" w:name="page52"/>
    <w:bookmarkEnd w:id="51"/>
    <w:p>
      <w:pPr>
        <w:ind w:right="60"/>
        <w:spacing w:after="0" w:line="261" w:lineRule="auto"/>
        <w:rPr>
          <w:sz w:val="20"/>
          <w:szCs w:val="20"/>
          <w:color w:val="auto"/>
        </w:rPr>
      </w:pPr>
      <w:r>
        <w:rPr>
          <w:rFonts w:ascii="Times New Roman" w:cs="Times New Roman" w:eastAsia="Times New Roman" w:hAnsi="Times New Roman"/>
          <w:sz w:val="18"/>
          <w:szCs w:val="18"/>
          <w:color w:val="auto"/>
        </w:rPr>
        <w:t>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12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cannot assure you, however,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3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 tax authorities.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U.S. gross product sales. Customers A, B, and C accounted for 32%, 27%, and 30%, respectively, of gross product sales for the year ended December 31, 2024 and represented 25%, 13%, and 45%, respectively, of the gross accounts receivable balance as of December 31, 2024. Customers A, B, and C accounted for 36%, 28%, and 29%, respectively, of gross product sales for the year ended December 31, 2023 and represented 36%, 18%, and 38%, respectively, of the gross accounts receivable balance as of December 31, 2023.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94"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years ended December 31, 2024, 2023 and 2022, we reported net losses of approximately $82.2 million, $59.1 million and $105.8 million, respectively. We had an accumulated deficit as of December 31, 2024 of $1.7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commercialization and research and development,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never generate sufficient revenue to achieve a steady state of profitability.</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though VASCEPA has been approved by the U.S. FDA for marketing in the U.S.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commercialization efforts in the U.S. and Europe. If we are unable to consistently generate robust product revenues, we will not become profitable on a sustained basis in the near term, if ever, and may be unable to continue operations without continued funding.</w:t>
      </w:r>
    </w:p>
    <w:p>
      <w:pPr>
        <w:spacing w:after="0" w:line="210"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2" w:name="page53"/>
    <w:bookmarkEnd w:id="52"/>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quarter-to-quarter and year-to-year, and VASCEPA prescription figures will likely fluctuate from month to month. VASCEPA sales are difficult to predict from period to period and as a result, you should not rely on VASCEPA sales results in any period as being indicative of future performance. We believe that our quarterly and annual results of operations may be affected by a variety of factors, including those risks and uncertainties described in this Part II, Item 1A and the following:</w:t>
      </w:r>
    </w:p>
    <w:p>
      <w:pPr>
        <w:spacing w:after="0" w:line="7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and future potential launches of additional generic versions of icosapent ethyl;</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U.S.</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to develop, register and commercialize VASCEPA, including obtaining necessary regulatory approvals, favorable pricing and establishing marketing channels;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6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our cost and reorganization efforts, including our ORP announced in July 2023, and the resulting effectiveness of those efforts;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48"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$121.0 million and short-term investment balance of $173.2 million as of December 31, 2024, aggregating $294.2 million, will be sufficient to fund our projected operations for at least 12 months from the issuance date of consolidated financial statements included elsewhere in this Annual Report on Form 10-K.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and VASCEPA promotional and educational activities, including launch activities in Europe, on our operations and those of our customers and any current or potential generic competition.</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U.S.,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 and governmental inquiries;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Tax law and policies in the U.S. and Ireland are unsettled and may be subject to significant change, including based on adjustments in political perspectives and administration shifts. In the U.S. and internationally, the method of taxation of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U.S., the majority of our consolidated operations have been in the U.S..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U.S., do not change in a manner that limit our future ability to offset earnings with these operating loss carryforwards for tax purposes.</w:t>
      </w:r>
    </w:p>
    <w:p>
      <w:pPr>
        <w:spacing w:after="0" w:line="13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U.S. and Ireland, could also impact our assessment of deferred taxes. Any change in our assessment of the realizability or the timing for realizing deferred taxes could have a negative impact our future profitability.</w:t>
      </w:r>
    </w:p>
    <w:p>
      <w:pPr>
        <w:spacing w:after="0" w:line="12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or socialized by the Trump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90" w:lineRule="exact"/>
        <w:rPr>
          <w:sz w:val="20"/>
          <w:szCs w:val="20"/>
          <w:color w:val="auto"/>
        </w:rPr>
      </w:pPr>
    </w:p>
    <w:p>
      <w:pPr>
        <w:ind w:right="7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return capital to our shareholders and increase shareholder value, including our share repurchase program, may not be implemented in a timely manner or at all, or may not have the expected results.</w:t>
      </w:r>
    </w:p>
    <w:p>
      <w:pPr>
        <w:spacing w:after="0" w:line="2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implementation of our announced share repurchase agreement was conditional upon shareholder and UK court approval, as required under UK company law. We received shareholder approval during our annual general meeting of shareholders in April 2024. We received court approval to undertake a reduction of capital in order to create the necessary distributable profits for the funding of the repurchases in May 2024. We have not commenced any share repurchases to date, but we will continue to monitor business and market conditions. Further, the share repurchase program and other efforts to return capital to shareholders may not have the anticipated effect or increase shareholder value in the long term.</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meet the listing requirements of the NASDAQ Stock Market, our stock may be delisted.</w:t>
      </w:r>
    </w:p>
    <w:p>
      <w:pPr>
        <w:spacing w:after="0" w:line="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NASDAQ Stock Market, or NASDAQ, on which our ADSs are listed and traded, has listing requirements that include a $1.00 minimum closing bid price requirement, or the Minimum Bid Requirement. NASDAQ will issue a deficiency notice if an issuer is in violation of a listing standard for a period of 30 business consecutive days. Such deficiency letter does not result in the immediate delisting of an issuer as there is a period of 180 calendar days from the deficiency notice to regain compliance with NASDAQ's minimum bid price requirement. If an issuer is unable to comply with NASDAQ's minimum bid price requirement after this 180 day calendar period, NASDAQ may elect, subject to any potential additional cure periods, to initiate a process that could delist the issuer from trading on the NASDAQ. We received a deficiency letter from NASDAQ in October 2023, as our ADSs had traded below $1.00 for 30 consecutive business days. In January 2024, we regained compliance with the NASDAQ listing requirements as our ADSs had traded above $1.00 for 10 consecutive business days. We received an additional deficiency letter in May 2024, as our ADSs had traded below $1.00 for 30 consecutive business days and to date continue to trade below $1.00. On November 22, 2024, we received notice NASDAQ granted the Company an additional 180 calendar days, or until May 19, 2025, to regain compliance with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ind w:right="20"/>
        <w:spacing w:after="0" w:line="282" w:lineRule="auto"/>
        <w:rPr>
          <w:sz w:val="20"/>
          <w:szCs w:val="20"/>
          <w:color w:val="auto"/>
        </w:rPr>
      </w:pPr>
      <w:r>
        <w:rPr>
          <w:rFonts w:ascii="Times New Roman" w:cs="Times New Roman" w:eastAsia="Times New Roman" w:hAnsi="Times New Roman"/>
          <w:sz w:val="18"/>
          <w:szCs w:val="18"/>
          <w:color w:val="auto"/>
        </w:rPr>
        <w:t>Minimum Bid Requirement. While we are monitoring the bid price for our ADS and considering available options to resolve the deficiency, we may not be able to regain compliance with the Minimum Bid Requirement within the required time frame.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such a delisting occur, it would adversely impact the liquidity and price of our ADSs and would impede our ability to raise capital.</w:t>
      </w:r>
    </w:p>
    <w:p>
      <w:pPr>
        <w:spacing w:after="0" w:line="24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9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2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February 28, 2025, we had 414,186,296 common shares outstanding including 405,383,488 shares held as ADSs and 8,802,808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Our planned share repurchase program, would, if implemented, reduce the number of shares outstanding and could result in reduced trading volumes.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U.S. affecting our VASCEPA promotional rights, and regulatory developments in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the Deposit Agreement or changes to the ADS to ordinary share ratio;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ordinary shares, we believe that we will not be classified as a PFIC for the taxable year ended December 31, 2024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9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8" w:lineRule="exact"/>
        <w:rPr>
          <w:sz w:val="20"/>
          <w:szCs w:val="20"/>
          <w:color w:val="auto"/>
        </w:rPr>
      </w:pPr>
    </w:p>
    <w:p>
      <w:pPr>
        <w:ind w:left="1020" w:right="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3"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subject to certain exceptions and disapplications (including, without limitation, the disapplication by at least 75% of the shareholders who vote(in person or by proxy)),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71"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5"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(and 90% of the voting rights carried by those ordinary shares/ADSs) under the offer, under English law, the bidder cannot complete a “squeeze out” to obtain 100% control of us. Accordingly, acceptances of 90% of our outstanding ordinary shares/ADSs (and 90% of the voting rights)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 as well as the approval of the UK High Court.</w:t>
      </w:r>
    </w:p>
    <w:p>
      <w:pPr>
        <w:spacing w:after="0" w:line="83"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75"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9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place of central management and control is not currently in the UK (or the Channel Islands or the Isle of Man) for the purposes of the jurisdictional criteria of the Takeover Code. Accordingly, we believe that we are not currently subject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6" w:name="page57"/>
    <w:bookmarkEnd w:id="56"/>
    <w:p>
      <w:pPr>
        <w:ind w:right="620"/>
        <w:spacing w:after="0" w:line="282" w:lineRule="auto"/>
        <w:rPr>
          <w:sz w:val="20"/>
          <w:szCs w:val="20"/>
          <w:color w:val="auto"/>
        </w:rPr>
      </w:pPr>
      <w:r>
        <w:rPr>
          <w:rFonts w:ascii="Times New Roman" w:cs="Times New Roman" w:eastAsia="Times New Roman" w:hAnsi="Times New Roman"/>
          <w:sz w:val="18"/>
          <w:szCs w:val="18"/>
          <w:color w:val="auto"/>
        </w:rPr>
        <w:t>the Takeover Code and, as a result, our shareholders are not currently entitled to the benefit of certain takeover offer protections provided under the Takeover Code, including the rules regarding mandatory takeover bids.</w:t>
      </w:r>
    </w:p>
    <w:p>
      <w:pPr>
        <w:spacing w:after="0" w:line="108"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this changes, or if the interpretation and application of the Takeover Code by the Panel on Takeovers and Mergers, or Takeover Panel, changes (including changes to the way in which the Takeover Panel assesses the application of the Takeover Code to English companies whose shares are listed outside of the UK), the Takeover Code may apply to us in the future.</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72" w:lineRule="exact"/>
        <w:rPr>
          <w:sz w:val="20"/>
          <w:szCs w:val="20"/>
          <w:color w:val="auto"/>
        </w:rPr>
      </w:pPr>
    </w:p>
    <w:p>
      <w:pPr>
        <w:ind w:left="1020" w:right="1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67"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75"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75"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mandatory offer triggered in the circumstances described in the preceding two paragraphs above must be in cash (or be accompanied by a cash alternative) and at not less than the highest price paid within the preceding 12 months to acquire any interest in shares of that class in the company by the person required to make the offer or any person acting in concert with him or her.</w:t>
      </w:r>
    </w:p>
    <w:p>
      <w:pPr>
        <w:spacing w:after="0" w:line="67"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voluntary offer (i.e., any offer which is not a mandatory offer), when interests in shares of any class representing 10% or more of shares of that class have been acquired for cash by an offeror (i.e., a bidder) and any person acting in concert with it during the offer period (i.e., broadly speaking, the period after the potential offer has been made public) and within 12 months prior to commencement of the offer period, the offer must be in cash or be accompanied by a cash alternative for all shareholders of that class at not less than the highest price paid for any interest in shares of that class by the offeror or any person acting in concert with it in that period. Further, if an offeror or any person acting in concert with it acquires any interest in shares for cash during the offer period, the offer for that class of shares must be in cash or accompanied by a cash alternative at a price at not less than the highest price paid by the offeror or any person acting in concert with it for shares of that class acquired during the offer period.</w:t>
      </w:r>
    </w:p>
    <w:p>
      <w:pPr>
        <w:spacing w:after="0" w:line="8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of a firm intention to make an offer is made and before the offer closes for acceptance, the offeror or any person acting in concert with them acquires an interest in shares in an offeree company (i.e., a target) at a price higher than the then current value of the offer, the offer must be increased to not less than the highest price paid for the interest in shares so acquired.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or favorable deals for selected shareholders are not permitted, except in certain circumstances where independent shareholder approval is given and the arrangements are regarded as fair and reasonable in the opinion of the independent adviser to the offeree.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published in connection with an offer by or on behalf of the offeror or offeree must state that the directors of the offeror or the offeree, as the case may be, accept responsibility for the information contained therein and that, to the best of their knowledge and belief (having taken all reasonable care to ensure that such is the case) the information contained therein is in accordance with the facts and does not omit anything likely to affect the import of such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left="1020" w:right="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 to the extent such actions are not in the ordinary course of the offeree company's business.</w:t>
      </w:r>
    </w:p>
    <w:p>
      <w:pPr>
        <w:spacing w:after="0" w:line="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9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England and Wales, and our subsidiaries are incorporated in various jurisdictions, including foreign jurisdictions. A number of the officers and directors of each of our subsidiaries are not residents of the U.S., and all or a substantial portion of the assets of such persons are located outside the U.S.. As a result, it may not be possible for investors to affect service of process within the U.S. upon such persons or to enforce against them judgments obtained in U.S. courts predicated upon the civil liability provisions of the U.S. federal securities laws. We have been advised by our English solicitors that there is doubt as to the enforceability in England in original actions, or in actions for enforcement of judgments of U.S. courts, of civil liabilities to the extent predicated upon the U.S. federal securities laws.</w:t>
      </w:r>
    </w:p>
    <w:p>
      <w:pPr>
        <w:spacing w:after="0" w:line="210"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2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9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We may also have to scale back or further restructure our operations. If we are unable to obtain additional funding when needed, we may be required to curtail or terminate some or all of our research or development programs or our commercialization strategies.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2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9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7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99"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additional collaborations, licenses and other strategic transactions and may not be successful in doing so, and even if we are, we may relinquish valuable rights and may not realize the benefits of such relationships.</w:t>
      </w:r>
    </w:p>
    <w:p>
      <w:pPr>
        <w:spacing w:after="0" w:line="2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seek to enter into additional collaborations, licenses and other strategic transactions for the development or commercialization of our product candidates, due to capital costs required to develop or commercialize and market the product candidate. In addition, we may have to relinquish valuable rights to our future revenue streams, research programs or product candidates, or we may have to grant licenses on terms that may not be favorable to us, as part of any such arrangements,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spacing w:after="0" w:line="129" w:lineRule="exact"/>
        <w:rPr>
          <w:sz w:val="20"/>
          <w:szCs w:val="20"/>
          <w:color w:val="auto"/>
        </w:rPr>
      </w:pPr>
    </w:p>
    <w:p>
      <w:pPr>
        <w:ind w:right="60" w:firstLine="554"/>
        <w:spacing w:after="0" w:line="261" w:lineRule="auto"/>
        <w:rPr>
          <w:sz w:val="20"/>
          <w:szCs w:val="20"/>
          <w:color w:val="auto"/>
        </w:rPr>
      </w:pPr>
      <w:r>
        <w:rPr>
          <w:rFonts w:ascii="Times New Roman" w:cs="Times New Roman" w:eastAsia="Times New Roman" w:hAnsi="Times New Roman"/>
          <w:sz w:val="18"/>
          <w:szCs w:val="18"/>
          <w:color w:val="auto"/>
        </w:rPr>
        <w:t>Even if we are successful in our efforts to establish such collaborations, licenses and other strategic transactions, the terms that we agree upon may not be favorable to us, and we may not be able to maintain such collaborations, licenses and other strategic transactions if, for example, the development or approval of a product candidate, such as VASCEPA, is delayed, the safety of a product candidate is questioned or the sales of an approved product candidate are unsatisfactory.</w:t>
      </w:r>
    </w:p>
    <w:p>
      <w:pPr>
        <w:spacing w:after="0" w:line="126" w:lineRule="exact"/>
        <w:rPr>
          <w:sz w:val="20"/>
          <w:szCs w:val="20"/>
          <w:color w:val="auto"/>
        </w:rPr>
      </w:pPr>
    </w:p>
    <w:p>
      <w:pPr>
        <w:ind w:right="60" w:firstLine="554"/>
        <w:spacing w:after="0" w:line="256" w:lineRule="auto"/>
        <w:rPr>
          <w:sz w:val="20"/>
          <w:szCs w:val="20"/>
          <w:color w:val="auto"/>
        </w:rPr>
      </w:pPr>
      <w:r>
        <w:rPr>
          <w:rFonts w:ascii="Times New Roman" w:cs="Times New Roman" w:eastAsia="Times New Roman" w:hAnsi="Times New Roman"/>
          <w:sz w:val="18"/>
          <w:szCs w:val="18"/>
          <w:color w:val="auto"/>
        </w:rPr>
        <w:t>In addition, any collaborations, licenses or strategic transactions may be terminable by our strategic partners, and we may not be able to adequately protect our rights under these agreements. Furthermore, our strategic partners may negotiate for certain rights to control decisions regarding the development, commercialization and marketing of our product candidates and may not conduct those activities in the same manner as we do. Any termination of or delay in entering into such collaborations, licenses and other strategic transactions could delay the development and commercialization of our product candidates and reduce their competitiveness if they reach the market, which could have a material adverse effect on our business, financial condition and results of operations.</w:t>
      </w:r>
    </w:p>
    <w:p>
      <w:pPr>
        <w:spacing w:after="0" w:line="210"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in Europe.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4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Europe and the Middle East, caused by political instability and conflict, such as Russia's invasion of Ukraine and current armed conflict in Israel and the Gaza Strip, changes in the majority party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9" w:name="page60"/>
    <w:bookmarkEnd w:id="59"/>
    <w:p>
      <w:pPr>
        <w:ind w:right="40"/>
        <w:spacing w:after="0" w:line="266" w:lineRule="auto"/>
        <w:rPr>
          <w:sz w:val="20"/>
          <w:szCs w:val="20"/>
          <w:color w:val="auto"/>
        </w:rPr>
      </w:pPr>
      <w:r>
        <w:rPr>
          <w:rFonts w:ascii="Times New Roman" w:cs="Times New Roman" w:eastAsia="Times New Roman" w:hAnsi="Times New Roman"/>
          <w:sz w:val="18"/>
          <w:szCs w:val="18"/>
          <w:color w:val="auto"/>
        </w:rPr>
        <w:t>governing countries around the world, including the U.S., and economic challenges caused by pandemics or other health crises, such as the recent COVID-19 pandemic, have led to market disruptions, including significant volatility in commodity prices, credit and capital market instability and supply chain interruptions, which have caused record inflation globally.</w:t>
      </w:r>
    </w:p>
    <w:p>
      <w:pPr>
        <w:spacing w:after="0" w:line="12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conflicts, including those between Russia and Ukraine and the current armed conflict in Israel and the Gaza Strip, geopolitical tensions, inflation, market volatility or otherwise, are impossible to predict, but could be substantial. Any such disruptions may also magnify the impact of other risks described in this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recognize the importance of safeguarding the security of our computer systems, software, networks, and other technology assets. Our security efforts are aimed at preserving the confidentiality, integrity, and continued availability of information under our ownership or care with the aim to continually improve security features in order to keep pace with the evolving cybersecurity threat landscape.</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 of Cybersecurity Risk Management and Strategy</w:t>
      </w:r>
    </w:p>
    <w:p>
      <w:pPr>
        <w:spacing w:after="0" w:line="9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Based on our business model, we rely on the outsourcing of certain key business functions, including laboratory work, clinical research, and the manufacturing and distribution of our product. We utilize the vetted processes and procedures of these partners and ensure proper cybersecurity and risk mitigation strategies are in place and functioning, which is accessed through our Vendor Risk Assessment process prior to engaging with our partners. Our cybersecurity risk identification, assessment and management response process is a critical part of our overall enterprise risk management, or ERM, program. Within our ERM framework, we adhere to our Global Information Technology Policy, or IT Policy, among a host of other policies and procedures aimed at providing guidelines and standards to ensure the security, integrity, reliability and recoverability of our systems and infrastructure.</w:t>
      </w:r>
    </w:p>
    <w:p>
      <w:pPr>
        <w:spacing w:after="0" w:line="5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employ and manage various third-party partnerships to help protect us from cybersecurity threats. These organizations provide services such as penetration testing, security assessments, as well as 24 hours per day monitoring, alerting and response, including incident responses, all of which adhere to our overall ERM framework. Our partners evaluate and rank our cybersecurity maturity and coverage as part of their services and keep us informed of emerging global threats. Our digital infrastructure undergoes both internal and external audits as part of our Sarbanes-Oxley audit process and is designed to address the requirements of applicable information security standards and an evolving cyber landscape.</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of Risks from Cybersecurity Threats</w:t>
      </w:r>
    </w:p>
    <w:p>
      <w:pPr>
        <w:spacing w:after="0" w:line="9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has delegated to the Audit Committee oversight of risks from cybersecurity threats. The management team provides quarterly reports to the Audit Committee which cover cybersecurity and other information technology-related risks, based on our ERM framework. These quarterly updates keep the Audit Committee apprised of our ongoing cybersecurity enhancements and any emerging global threats. The Audit Committee keeps the remaining Board of Directors apprised of material risks from cybersecurity threats. The Board and management have made cybersecurity education and training a part of our overall corporate objectives, setting the tone for the organization about the importance of cybersecurity.</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in Assessing and Managing Material Risks from Cybersecurity Threats</w:t>
      </w:r>
    </w:p>
    <w:p>
      <w:pPr>
        <w:spacing w:after="0" w:line="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Information Technology and Security team is responsible for the management, maintenance, monitoring and response of our critical internal digital assets. This team is led by our Senior Director of Global Information Technology and Security, who has 25 years of cyber and Enterprise IT management experience. This position monitors current cyber risk trends, engages with third party cyber security experts, and meets with the Infrastructure and Security team regularly to stay apprised of internal cyber risks.</w:t>
      </w:r>
    </w:p>
    <w:p>
      <w:pPr>
        <w:spacing w:after="0" w:line="4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internal cybersecurity testing and reporting processes allow us to rank our overall risk on a periodic basis so as to enable us to identify and respond to internal risk trends. Further, we follow escalation procedures to support the communication of cyber-related events.</w:t>
      </w:r>
    </w:p>
    <w:p>
      <w:pPr>
        <w:spacing w:after="0" w:line="2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of the date of this report, we do not believe that cybersecurity threats, including as a result of any previous cybersecurity incidents, have materially affected or are reasonably likely to affect the Company, including our business strategy, results of operations or financial condition for the reporting period covered by this report. For information regarding cybersecurity risks, see our discussion above in </w:t>
      </w:r>
      <w:r>
        <w:rPr>
          <w:rFonts w:ascii="Times New Roman" w:cs="Times New Roman" w:eastAsia="Times New Roman" w:hAnsi="Times New Roman"/>
          <w:sz w:val="18"/>
          <w:szCs w:val="18"/>
          <w:i w:val="1"/>
          <w:iCs w:val="1"/>
          <w:color w:val="auto"/>
        </w:rPr>
        <w:t>Item 1A. 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 Our internal computer systems, or those of our third party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clinical research organizations or other contractors or consultants, may fail or suffer security breaches, which could result in a material disruption of our commercial, research and development and other programs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lists the location, use and ownership interest of our principal properties as of March 12,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900" w:type="dxa"/>
            <w:vAlign w:val="bottom"/>
            <w:tcBorders>
              <w:bottom w:val="single" w:sz="8" w:color="auto"/>
            </w:tcBorders>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Use</w:t>
            </w:r>
          </w:p>
        </w:tc>
        <w:tc>
          <w:tcPr>
            <w:tcW w:w="22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60" w:type="dxa"/>
            <w:vAlign w:val="bottom"/>
          </w:tcPr>
          <w:p>
            <w:pPr>
              <w:spacing w:after="0"/>
              <w:rPr>
                <w:sz w:val="15"/>
                <w:szCs w:val="15"/>
                <w:color w:val="auto"/>
              </w:rPr>
            </w:pPr>
          </w:p>
        </w:tc>
        <w:tc>
          <w:tcPr>
            <w:tcW w:w="19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Size (sq. ft.)</w:t>
            </w:r>
          </w:p>
        </w:tc>
        <w:tc>
          <w:tcPr>
            <w:tcW w:w="100" w:type="dxa"/>
            <w:vAlign w:val="bottom"/>
          </w:tcPr>
          <w:p>
            <w:pPr>
              <w:spacing w:after="0"/>
              <w:rPr>
                <w:sz w:val="15"/>
                <w:szCs w:val="15"/>
                <w:color w:val="auto"/>
              </w:rPr>
            </w:pPr>
          </w:p>
        </w:tc>
      </w:tr>
      <w:tr>
        <w:trPr>
          <w:trHeight w:val="23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Dublin, Ireland</w:t>
            </w:r>
          </w:p>
        </w:tc>
        <w:tc>
          <w:tcPr>
            <w:tcW w:w="2900" w:type="dxa"/>
            <w:vAlign w:val="bottom"/>
            <w:shd w:val="clear" w:color="auto" w:fill="CFF0FC"/>
          </w:tcPr>
          <w:p>
            <w:pPr>
              <w:jc w:val="center"/>
              <w:ind w:left="795"/>
              <w:spacing w:after="0"/>
              <w:rPr>
                <w:sz w:val="20"/>
                <w:szCs w:val="20"/>
                <w:color w:val="auto"/>
              </w:rPr>
            </w:pPr>
            <w:r>
              <w:rPr>
                <w:rFonts w:ascii="Times New Roman" w:cs="Times New Roman" w:eastAsia="Times New Roman" w:hAnsi="Times New Roman"/>
                <w:sz w:val="18"/>
                <w:szCs w:val="18"/>
                <w:color w:val="auto"/>
              </w:rPr>
              <w:t>Offices</w:t>
            </w:r>
          </w:p>
        </w:tc>
        <w:tc>
          <w:tcPr>
            <w:tcW w:w="220" w:type="dxa"/>
            <w:vAlign w:val="bottom"/>
            <w:shd w:val="clear" w:color="auto" w:fill="CFF0FC"/>
          </w:tcPr>
          <w:p>
            <w:pPr>
              <w:spacing w:after="0"/>
              <w:rPr>
                <w:sz w:val="20"/>
                <w:szCs w:val="20"/>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FF0FC"/>
          </w:tcPr>
          <w:p>
            <w:pPr>
              <w:spacing w:after="0"/>
              <w:rPr>
                <w:sz w:val="20"/>
                <w:szCs w:val="20"/>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Bridgewater, New Jersey, USA</w:t>
            </w:r>
          </w:p>
        </w:tc>
        <w:tc>
          <w:tcPr>
            <w:tcW w:w="2900" w:type="dxa"/>
            <w:vAlign w:val="bottom"/>
          </w:tcPr>
          <w:p>
            <w:pPr>
              <w:jc w:val="center"/>
              <w:ind w:left="795"/>
              <w:spacing w:after="0"/>
              <w:rPr>
                <w:sz w:val="20"/>
                <w:szCs w:val="20"/>
                <w:color w:val="auto"/>
              </w:rPr>
            </w:pPr>
            <w:r>
              <w:rPr>
                <w:rFonts w:ascii="Times New Roman" w:cs="Times New Roman" w:eastAsia="Times New Roman" w:hAnsi="Times New Roman"/>
                <w:sz w:val="18"/>
                <w:szCs w:val="18"/>
                <w:color w:val="auto"/>
              </w:rPr>
              <w:t>Offices</w:t>
            </w:r>
          </w:p>
        </w:tc>
        <w:tc>
          <w:tcPr>
            <w:tcW w:w="22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67,747</w:t>
            </w:r>
          </w:p>
        </w:tc>
        <w:tc>
          <w:tcPr>
            <w:tcW w:w="100" w:type="dxa"/>
            <w:vAlign w:val="bottom"/>
          </w:tcPr>
          <w:p>
            <w:pPr>
              <w:spacing w:after="0"/>
              <w:rPr>
                <w:sz w:val="21"/>
                <w:szCs w:val="2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Zug, Switzerland</w:t>
            </w:r>
          </w:p>
        </w:tc>
        <w:tc>
          <w:tcPr>
            <w:tcW w:w="2900" w:type="dxa"/>
            <w:vAlign w:val="bottom"/>
            <w:shd w:val="clear" w:color="auto" w:fill="CFF0FC"/>
          </w:tcPr>
          <w:p>
            <w:pPr>
              <w:jc w:val="center"/>
              <w:ind w:left="795"/>
              <w:spacing w:after="0"/>
              <w:rPr>
                <w:sz w:val="20"/>
                <w:szCs w:val="20"/>
                <w:color w:val="auto"/>
              </w:rPr>
            </w:pPr>
            <w:r>
              <w:rPr>
                <w:rFonts w:ascii="Times New Roman" w:cs="Times New Roman" w:eastAsia="Times New Roman" w:hAnsi="Times New Roman"/>
                <w:sz w:val="18"/>
                <w:szCs w:val="18"/>
                <w:color w:val="auto"/>
              </w:rPr>
              <w:t>Offices</w:t>
            </w:r>
          </w:p>
        </w:tc>
        <w:tc>
          <w:tcPr>
            <w:tcW w:w="220" w:type="dxa"/>
            <w:vAlign w:val="bottom"/>
            <w:shd w:val="clear" w:color="auto" w:fill="CFF0FC"/>
          </w:tcPr>
          <w:p>
            <w:pPr>
              <w:spacing w:after="0"/>
              <w:rPr>
                <w:sz w:val="21"/>
                <w:szCs w:val="21"/>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FF0FC"/>
          </w:tcPr>
          <w:p>
            <w:pPr>
              <w:spacing w:after="0"/>
              <w:rPr>
                <w:sz w:val="21"/>
                <w:szCs w:val="21"/>
                <w:color w:val="auto"/>
              </w:rPr>
            </w:pPr>
          </w:p>
        </w:tc>
      </w:tr>
    </w:tbl>
    <w:p>
      <w:pPr>
        <w:spacing w:after="0" w:line="18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On April 26, 2024, we entered into a license agreement for office space in Dublin, Ireland, effective September 1, 2024 which terminates on August 31, 2026, and can be extended automatically for successive one-month periods.</w:t>
      </w:r>
    </w:p>
    <w:p>
      <w:pPr>
        <w:spacing w:after="0" w:line="10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Effective February 5, 2019, we entered into a lease agreement for approximately 67,747 square feet of office space in Bridgewater, New Jersey. The lease commenced on August 15, 2019, for an 11-year period, with two five-year renewal options. On January 20, 2023, we entered into a sublease agreement to sublease 50,000 square feet of the leased 67,747 square feet of office space in Bridgewater, New Jersey. The sublease commenced on February 1, 2023 and terminates as of the date of the head lease.</w:t>
      </w:r>
    </w:p>
    <w:p>
      <w:pPr>
        <w:spacing w:after="0" w:line="126"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On October 10, 2021, we entered into a lease agreement for approximately 4,511 square feet of office space in Zug, Switzerland. The lease commenced on February 1, 2022 for a five-year period, with one five-year renewal option.</w:t>
      </w:r>
    </w:p>
    <w:p>
      <w:pPr>
        <w:spacing w:after="0" w:line="10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adequate for our current and anticipated near-term needs and that suitable additional or substitute space would be available if needed.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Refer to </w:t>
      </w:r>
      <w:r>
        <w:rPr>
          <w:rFonts w:ascii="Times New Roman" w:cs="Times New Roman" w:eastAsia="Times New Roman" w:hAnsi="Times New Roman"/>
          <w:sz w:val="18"/>
          <w:szCs w:val="18"/>
          <w:i w:val="1"/>
          <w:iCs w:val="1"/>
          <w:color w:val="auto"/>
        </w:rPr>
        <w:t>Note—7 Commitments and Contingencies</w:t>
      </w:r>
      <w:r>
        <w:rPr>
          <w:rFonts w:ascii="Times New Roman" w:cs="Times New Roman" w:eastAsia="Times New Roman" w:hAnsi="Times New Roman"/>
          <w:sz w:val="18"/>
          <w:szCs w:val="18"/>
          <w:color w:val="auto"/>
        </w:rPr>
        <w:t xml:space="preserve"> to our consolidated financial statements included elsewhere in this Annual Report on Form 10-K for further details on our legal proceedings.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228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ADSs are listed on The NASDAQ Global Market under the symbol “AMRN”. Each ADS represents one ordinary share.</w:t>
      </w:r>
    </w:p>
    <w:p>
      <w:pPr>
        <w:spacing w:after="0" w:line="17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prices for our ADSs in each of the quarters over the past two fiscal years, as quoted on The NASDAQ Global Market under the symbol “AMRN.”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Fiscal 2023</w:t>
            </w: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shd w:val="clear" w:color="auto" w:fill="CFF0FC"/>
          </w:tcPr>
          <w:p>
            <w:pPr>
              <w:spacing w:after="0"/>
              <w:rPr>
                <w:sz w:val="18"/>
                <w:szCs w:val="18"/>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2025, there were approximately 350 holders of record of our ordinary shares. Because many ordinary shares are held by broker nominees, we are unable to estimate the total number of shareholders represented by these record holders. Our depositary, Citibank, N.A., constitutes a single record holder of our ordinary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our ordinary shares and do not anticipate paying any cash dividends on our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Depository Shares. We received shareholder and UK High Court approval of the share repurchase plan in April and May 2024, respectively. The Company has not commenced any share repurchases to date, but we will continue to monitor business and market conditions.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Graph—5 Year</w:t>
      </w:r>
    </w:p>
    <w:p>
      <w:pPr>
        <w:spacing w:after="0" w:line="7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five-year return provided to shareholders of our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December 31, 2019, and its relative performance is tracked through December 31, 2024.</w:t>
      </w:r>
    </w:p>
    <w:p>
      <w:pPr>
        <w:spacing w:after="0" w:line="12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Included in this five-year period is the substantial negative impact on the price of Amarin’s ADSs in 2020 following the loss of the Company’s MARINE indication patents.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757555</wp:posOffset>
            </wp:positionV>
            <wp:extent cx="5306060" cy="2451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30606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Company/Market/Peer Company</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00" w:type="dxa"/>
            <w:vAlign w:val="bottom"/>
          </w:tcPr>
          <w:p>
            <w:pPr>
              <w:spacing w:after="0"/>
              <w:rPr>
                <w:sz w:val="20"/>
                <w:szCs w:val="20"/>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Corporation PLC</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214.07</w:t>
            </w:r>
          </w:p>
        </w:tc>
        <w:tc>
          <w:tcPr>
            <w:tcW w:w="100" w:type="dxa"/>
            <w:vAlign w:val="bottom"/>
          </w:tcPr>
          <w:p>
            <w:pPr>
              <w:spacing w:after="0"/>
              <w:rPr>
                <w:sz w:val="18"/>
                <w:szCs w:val="18"/>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shd w:val="clear" w:color="auto" w:fill="CFF0FC"/>
          </w:tcPr>
          <w:p>
            <w:pPr>
              <w:spacing w:after="0"/>
              <w:rPr>
                <w:sz w:val="18"/>
                <w:szCs w:val="18"/>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Equity Compensation Plans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in Item 12 of Part III of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fourth quarter of 2024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3"/>
                <w:szCs w:val="13"/>
                <w:color w:val="auto"/>
              </w:rPr>
            </w:pP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5"/>
        </w:trPr>
        <w:tc>
          <w:tcPr>
            <w:tcW w:w="75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bottom w:val="single" w:sz="8" w:color="auto"/>
            </w:tcBorders>
          </w:tcPr>
          <w:p>
            <w:pPr>
              <w:jc w:val="right"/>
              <w:ind w:right="79"/>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 31, 2023</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 2023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 31, 2023</w:t>
            </w:r>
          </w:p>
        </w:tc>
        <w:tc>
          <w:tcPr>
            <w:tcW w:w="1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-153670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80"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to satisfy tax withholding amounts due from employees related to the exercise or vesting of equity awards.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92"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material U.S., UK and Irish federal income tax consequences of the ownership and disposition of our ordinary shares or ADSs. This summary should not be considered a comprehensive description of all the tax considerations that may be relevant to beneficial owners of ordinary shares or ADSs.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Tax Considerations</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considerations with respect to the ownership and disposition of ordinary shares or ADSs by a U.S. Holder (as defined below). This summary applies to you only if you hold ordinary shares or ADSs as a capital asset. This summary is based upon the U.S. Internal Revenue Code of 1986, as amended, which is referred to herein as the Code, regulations promulgated under the Code and administrative rulings and judicial decisions as in effect on the date of this Annual Report on Form 10-K, all of which are subject to change and to differing interpretations, possibly with retroactive effect, which could result in U.S. federal income tax considerations different from those summarized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summary is general in nature and does not address the effects of any state or local taxes, the tax consequences in jurisdictions other than the U.S. or any U.S. federal taxes other than income tax (such as estate or gift tax). In addition, it does not address U.S. federal income tax consequences that may be relevant to you in your particular circumstances, including alternative minimum tax consequences, nor does it apply to you if you are a holder with a special status, such as:</w:t>
      </w:r>
    </w:p>
    <w:p>
      <w:pPr>
        <w:spacing w:after="0" w:line="72" w:lineRule="exact"/>
        <w:rPr>
          <w:sz w:val="20"/>
          <w:szCs w:val="20"/>
          <w:color w:val="auto"/>
        </w:rPr>
      </w:pPr>
    </w:p>
    <w:p>
      <w:pPr>
        <w:ind w:left="380" w:right="60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or is treated as owning under certain ownership attribution rules, 10% or more of the voting power or value of the stock of Amarin;</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dealer or trader in securities or currencies;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mutual fund, life insurance company or other financial institution;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retirement plan or individual retirement account;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ordinary shares or ADSs as part of a straddle, hedge, constructive sale or other integrated transaction for tax purposes;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S corporation or other pass-through entity;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in a partnership, S corporation or other pass-through entity;</w:t>
      </w:r>
    </w:p>
    <w:p>
      <w:pPr>
        <w:spacing w:after="0" w:line="11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required to report income with respect to ordinary shares or ADSs no later than such income is reported on an “applicable financial statement;”</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received ordinary shares or ADSs in connection with the performance of services;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21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ordinary shares or ADSs, the tax treatment of a partner will generally depend upon the status of the partner and upon the activities of the partnership. A partner of a partnership that owns or disposes of ADSs should consult the partner’s tax advisor regarding the specific tax consequences of the ownership and disposition of ordinary shares or ADSs.</w:t>
      </w:r>
    </w:p>
    <w:p>
      <w:pPr>
        <w:spacing w:after="0" w:line="12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YOU SHOULD CONSULT YOUR OWN ADVISOR REGARDING THE TAX CONSEQUENCES OF THE OWNERSHIP AND DISPOSITION OF ORDINARY SHARES AND ADSS IN LIGHT OF YOUR PARTICULAR CIRCUMSTANCES.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this discussion, a U.S. Holder is any beneficial owner of an ordinary share or ADS that is, for U.S. federal income tax purposes:</w:t>
      </w:r>
    </w:p>
    <w:p>
      <w:pPr>
        <w:spacing w:after="0" w:line="117"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 any state thereof or the District of Columbia;</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U.S., any state thereof or the District of Columbia;</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that validly elects to be treated as a U.S. person for U.S. federal income tax purposes, or (ii) the administration over which a U.S. court can exercise primary supervision and all of the substantial decisions of which one or more U.S. persons have the authority to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the gross amount of distributions, if any, payable on ordinary shares and ADSs generally would be treated as dividend income to the extent paid out of current or accumulated earnings and profits (as determined for U.S. federal income tax purposes). A U.S. Holder would be required to include the amount of such distribution in gross income as a dividend (without reduction for any income tax withheld from such distribution). Because we do not maintain calculations of our earnings and profits in accordance with U.S. federal income tax principles, U.S. Holders should assume that any distribution by us with respect to the ordinary shares and ADSs will constitute ordinary dividend income.</w:t>
      </w:r>
    </w:p>
    <w:p>
      <w:pPr>
        <w:spacing w:after="0" w:line="13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as long as our ordinary shares or ADSs (as applicable) are treated as publicly traded on an established securities market, or we are eligible for the benefits of the U.S.-Irish Tax Treaty, any distributions treated as dividends will generally be qualified dividend income in the hands of non-corporate U.S. Holders, provided that certain significant holding period and other requirements are met. Any dividends that are qualified dividend income will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4" w:name="page65"/>
    <w:bookmarkEnd w:id="64"/>
    <w:p>
      <w:pPr>
        <w:ind w:right="480"/>
        <w:spacing w:after="0" w:line="282" w:lineRule="auto"/>
        <w:rPr>
          <w:sz w:val="20"/>
          <w:szCs w:val="20"/>
          <w:color w:val="auto"/>
        </w:rPr>
      </w:pPr>
      <w:r>
        <w:rPr>
          <w:rFonts w:ascii="Times New Roman" w:cs="Times New Roman" w:eastAsia="Times New Roman" w:hAnsi="Times New Roman"/>
          <w:sz w:val="18"/>
          <w:szCs w:val="18"/>
          <w:color w:val="auto"/>
        </w:rPr>
        <w:t>generally be taxed at preferential rates to a non-corporate U.S. Holder. Any dividends paid to a corporate holder will not be eligible for the dividends received deduction.</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U.S. Holders generally may claim the amount of Irish withholding tax withheld either as a deduction from gross income or as a credit against U.S. federal income tax liability. However, the foreign tax credit is subject to numerous complex limitations that must be determined and applied on an individual basis. Generally, the credit cannot exceed the proportionate share of a U.S. Holder’s U.S. federal income tax liability that such U.S. Holder’s foreign source taxable income bears to such U.S. Holder’s worldwide taxable income. In applying this limitation, a U.S. Holder’s various items of income and deduction must be classified, under complex rules, as either foreign source or U.S. source. In addition, this limitation is calculated separately with respect to specific categories of income. The amount of a distribution with respect to the ordinary shares or ADSs that is treated as a dividend may be lower for U.S. federal income tax purposes than it is for Irish income tax purposes, potentially resulting in a reduced foreign tax credit for the U.S. Holder. Each U.S. Holder should consult its own tax advisors regarding the foreign tax credit rules.</w:t>
      </w:r>
    </w:p>
    <w:p>
      <w:pPr>
        <w:spacing w:after="0" w:line="13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amount of a distribution paid to a U.S. Holder of ordinary shares or ADSs in foreign currency generally will be equal to the U.S. dollar value of such distribution based on the exchange rate applicable on the date of receipt. A U.S. Holder that does not convert foreign currency received as a distribution into U.S. dollars on the date of receipt generally will have a tax basis in such foreign currency equal to the U.S. dollar value of such foreign currency on the date of receipt. Such a U.S. Holder generally will recognize ordinary income or loss on the subsequent sale or other taxable disposition of such foreign currency (including an exchange for U.S. dollars).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 or ADSs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in general, if you sell or otherwise dispose of ordinary shares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in a taxable disposition:</w:t>
      </w:r>
    </w:p>
    <w:p>
      <w:pPr>
        <w:spacing w:after="0" w:line="99" w:lineRule="exact"/>
        <w:rPr>
          <w:sz w:val="20"/>
          <w:szCs w:val="20"/>
          <w:color w:val="auto"/>
        </w:rPr>
      </w:pPr>
    </w:p>
    <w:p>
      <w:pPr>
        <w:ind w:left="380" w:right="46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recognize gain or loss equal to the difference (if any) between the U.S. dollar value of the amount realized on such sale or other taxable disposition and your adjusted tax basis in such ordinary shares or ADSs;</w:t>
      </w:r>
    </w:p>
    <w:p>
      <w:pPr>
        <w:spacing w:after="0" w:line="53"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will be capital gain or loss and will be long-term capital gain or loss if your holding period for the ordinary shares or ADSs sold or otherwise disposed of is more than one year at the time of such sale or other taxable disposition; and,</w:t>
      </w:r>
    </w:p>
    <w:p>
      <w:pPr>
        <w:spacing w:after="0" w:line="53"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will generally be treated as U.S.-source income for U.S. foreign tax credit purposes, although special rules apply to U.S. Holders who have a fixed place of business outside the U.S. to which this gain is attributable.</w:t>
      </w:r>
    </w:p>
    <w:p>
      <w:pPr>
        <w:spacing w:after="0" w:line="14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Under current law, long-term capital gains of non-corporate U.S. Holders are taxed at reduced rates. The deductibility of capital losses is subject to limitations.</w:t>
      </w:r>
    </w:p>
    <w:p>
      <w:pPr>
        <w:spacing w:after="0" w:line="10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certain circumstances, amounts received by a U.S. Holder upon the redemption of ordinary shares or ADSs may be treated as a dividend with respect to such ordinary shares or ADSs, rather than as a payment in exchange for such ordinary shares or ADSs that results in the recognition of capital gain or loss. In these circumstances, the redemption payment would be included in a U.S. Holder’s gross income as a dividend to the extent such payment is made out of our earnings and profits (as described above). The determination of whether redemption of ordinary shares or ADSs will be treated as a dividend, rather than as a payment in exchange for such ordinary shares or ADSs, will depend, in part, on whether and to what extent the redemption reduces the U.S. Holder’s ownership in us (including as a result of certain constructive ownership attribution rules). The rules applicable to redemptions are complex, and each U.S. Holder should consult its own tax adviser to determine the consequences of any 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PFIC Rules Generally</w:t>
      </w:r>
      <w:r>
        <w:rPr>
          <w:rFonts w:ascii="Times New Roman" w:cs="Times New Roman" w:eastAsia="Times New Roman" w:hAnsi="Times New Roman"/>
          <w:sz w:val="18"/>
          <w:szCs w:val="18"/>
          <w:color w:val="auto"/>
        </w:rPr>
        <w:t>. U.S. Holders of ordinary shares and ADSs should be aware that each of Amarin and certain of its subsidiaries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PFIC for U.S. federal income tax purposes. The tests for determining PFIC status for a taxable year depend upon the relative values of certain categories of assets and the relative amounts of certain kinds of income. The application of these factors depends upon our financial results for the year, which are beyond our ability to predict or control, and the application of the relevant rules is subject to legal and factual uncertainties. Based on certain estimates of our gross income and gross assets, the latter determined by reference to the expected value of our ADSs and ordinary shares, we believe that we will not be classified as a PFIC for the taxable year ended December 31, 2024, and we do not expect to be treated as a PFIC in any future taxable year for the foreseeable future. However, there can be no assurance that we will not be classified as a PFIC for any taxable year.</w:t>
      </w:r>
    </w:p>
    <w:p>
      <w:pPr>
        <w:spacing w:after="0" w:line="13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general terms, we will be a PFIC for any taxable year in which either (i) 75% or more of its our gross income is passive income, or the income test, or (ii) the average percentage, by fair market value, of our assets that produce or are held for the production of passive income is 50% or more, or the asset test. “Passive income” includes, for example, dividends, interest, certain rents and royalties, certain gains from the sale of stock and securities, and certain gains from commodities transactions.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5" w:name="page66"/>
    <w:bookmarkEnd w:id="65"/>
    <w:p>
      <w:pPr>
        <w:ind w:right="200" w:firstLine="554"/>
        <w:spacing w:after="0" w:line="261" w:lineRule="auto"/>
        <w:rPr>
          <w:sz w:val="20"/>
          <w:szCs w:val="20"/>
          <w:color w:val="auto"/>
        </w:rPr>
      </w:pPr>
      <w:r>
        <w:rPr>
          <w:rFonts w:ascii="Times New Roman" w:cs="Times New Roman" w:eastAsia="Times New Roman" w:hAnsi="Times New Roman"/>
          <w:sz w:val="18"/>
          <w:szCs w:val="18"/>
          <w:color w:val="auto"/>
        </w:rPr>
        <w:t>If we are a PFIC for any year, subject to the discussion of QEF (as defined herein) and mark-to-market elections below, a U.S. taxpayer who disposes or is deemed to dispose of an ordinary share or ADS at a gain or who receives a distribution treated as an “excess distribution” on an ordinary share or ADS generally would be required to allocate such gain and distribution ratably to each day in the U.S. taxpayer’s holding period for the ordinary share or ADS in question.</w:t>
      </w:r>
    </w:p>
    <w:p>
      <w:pPr>
        <w:spacing w:after="0" w:line="12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portion of any excess distributions including gains, which are treated for all purposes as excess distributions, allocated to the current taxable year or to a year prior to the first year in which we were a PFIC would be includible as ordinary income in the current taxable year. In contrast, the portion of any excess distributions allocated to the first year in the U.S. Holder’s holding period in which we were a PFIC and any subsequent year or years (excluding the current year) would be taxed at the highest marginal rate applicable to ordinary income for each year (regardless of the U.S. Holder’s actual marginal rate for that year and without reduction by any losses or loss carryforwards) and would be subject to interest charges to reflect the value of the U.S. federal income tax deferral.</w:t>
      </w:r>
    </w:p>
    <w:p>
      <w:pPr>
        <w:spacing w:after="0" w:line="13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rules above, if we are or were a PFIC at any time during the U.S. Holder’s holding period, none of the gain recognized on the sale or other disposition of an ordinary share or ADS would be eligible for the preferential long-term capital gains rate. In addition, dividends generally will not be qualified dividend income if in the year of payment or the preceding year we are a PFIC.</w:t>
      </w:r>
    </w:p>
    <w:p>
      <w:pPr>
        <w:spacing w:after="0" w:line="122" w:lineRule="exact"/>
        <w:rPr>
          <w:sz w:val="20"/>
          <w:szCs w:val="20"/>
          <w:color w:val="auto"/>
        </w:rPr>
      </w:pPr>
    </w:p>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Certain elections may sometimes be used to reduce the adverse impact of the PFIC rules on U.S. Holders qualifying electing fund, or QEF, and mark-to-market elections, but these elections may accelerate the recognition of taxable income and may result in the recognition of ordinary income.</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QEF Election. </w:t>
      </w:r>
      <w:r>
        <w:rPr>
          <w:rFonts w:ascii="Times New Roman" w:cs="Times New Roman" w:eastAsia="Times New Roman" w:hAnsi="Times New Roman"/>
          <w:sz w:val="18"/>
          <w:szCs w:val="18"/>
          <w:color w:val="auto"/>
        </w:rPr>
        <w:t>The rules described above for excess distributions would not apply to a U.S. Holder if the U.S. Holder makes a timely QEF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first taxable year of the U.S. Holder’s holding period for ordinary shares or ADSs during which we are a PFIC and we comply with specified reporting requirements. A timely QEF election for a taxable year generally must be made on or before the due date (as may be extended) for filing the taxpayer’s U.S. federal income tax return for the year. A U.S. Holder who makes a QEF election generally must report and include in income on a current basis a pro rata share of our ordinary earnings and net capital gain for any taxable year in which we are a PFIC, whether or not those earnings or gains are distributed. A U.S. Holder who makes a QEF election must file a Form 8621 with its annual income tax return. For U.S. Holders who seek to make a QEF election, with respect to our ordinary shares or ADSs, we will make available an information statement that will contain the necessary information required for making a QEF election and permit such U.S. Holders access to certain information in the event of an audit by the U.S. tax authorities.</w:t>
      </w:r>
    </w:p>
    <w:p>
      <w:pPr>
        <w:spacing w:after="0" w:line="13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a U.S. Holder does not make a QEF election for the first taxable year of the U.S. Holder’s holding period for ordinary shares or ADSs during which we are a PFIC, the QEF election will not be treated as timely and the adverse tax regime described above would apply to dispositions of or excess distributions on the ordinary shares or ADSs. In such case, a U.S. Holder may make a deemed sale election whereby the U.S. Holder would be treated as if the U.S. Holder had sold the ordinary shares or ADSs in a fully taxable sale at fair market value on the first day of such taxable year in which the QEF election takes effect. Such U.S. Holder would be required to recognize any gain on the deemed sale as an excess distribution and pay any tax and interest due on the excess distribution when making the deemed sale election. The effect of such further election would be to restart the U.S. Holder’s holding period in the ordinary shares or ADSs, subject to the QEF regime, and to purge the PFIC status of such ordinary shares or ADSs going forward.</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Mark-to-Market Election. </w:t>
      </w:r>
      <w:r>
        <w:rPr>
          <w:rFonts w:ascii="Times New Roman" w:cs="Times New Roman" w:eastAsia="Times New Roman" w:hAnsi="Times New Roman"/>
          <w:sz w:val="18"/>
          <w:szCs w:val="18"/>
          <w:color w:val="auto"/>
        </w:rPr>
        <w:t>If we are or become a PFIC, a U.S. Holder of ordinary shares or ADSs may elect to recognize any gain or loss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ADSs on a mark-to-market basis at the end of each taxable year, so long as the ordinary shares and ADSs, respectively, are regularly traded on a qualifying exchange. The mark-to-market election under the PFIC rules is an alternative to the QEF election. A U.S. Holder who makes a mark-to-market election generally must recognize as ordinary income all appreciation inherent in the U.S. Holder’s investment in ordinary shares or ADSs on a mark-to-market basis and may recognize losses inherent in such ordinary shares or ADSs only to the extent of prior mark-to-market gain recognition. The income and deductions entailed by the mark-to-market regime will increase and decrease the U.S. Holder’s adjusted basis in its ordinary shares or ADSs. Upon a sale or other disposition of ordinary shares or ADSs that have been marked-to-market, any gain recognized will be treated as ordinary income. The mark-to-market election must be made by the due date (as may be extended) for filing the U.S. Holder’s federal income tax return for the first year in which the election is to take effect. If a mark-to-market election is made after the first taxable year of a U.S. Holder’s holding period, any gain recognized in the year of the election will be treated like an excess distribution (as described above). Whether or not the mark-to-market election is available will depend on whether the ordinary shares or ADSs are regularly traded on a qualifying exchange and we cannot provide assurance that the ordinary shares or ADSs will be considered regularly traded (which determination is based on the volume of trading of the ordinary shares or ADSs) for all years in which we may be a PFIC.</w:t>
      </w:r>
    </w:p>
    <w:p>
      <w:pPr>
        <w:spacing w:after="0" w:line="133"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Rules for Lower-Tier PFIC Subsidiaries. </w:t>
      </w:r>
      <w:r>
        <w:rPr>
          <w:rFonts w:ascii="Times New Roman" w:cs="Times New Roman" w:eastAsia="Times New Roman" w:hAnsi="Times New Roman"/>
          <w:sz w:val="18"/>
          <w:szCs w:val="18"/>
          <w:color w:val="auto"/>
        </w:rPr>
        <w:t>Special adverse rules apply to U.S. Holders of ordinary shares or ADSs for any year in which we are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and have a non-U.S. subsidiary that is also a PFIC, or a lower-tier PFIC. If we are or become a PFIC and a</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6" w:name="page67"/>
    <w:bookmarkEnd w:id="66"/>
    <w:p>
      <w:pPr>
        <w:spacing w:after="0" w:line="253" w:lineRule="auto"/>
        <w:rPr>
          <w:sz w:val="20"/>
          <w:szCs w:val="20"/>
          <w:color w:val="auto"/>
        </w:rPr>
      </w:pPr>
      <w:r>
        <w:rPr>
          <w:rFonts w:ascii="Times New Roman" w:cs="Times New Roman" w:eastAsia="Times New Roman" w:hAnsi="Times New Roman"/>
          <w:sz w:val="18"/>
          <w:szCs w:val="18"/>
          <w:color w:val="auto"/>
        </w:rPr>
        <w:t>U.S. Holder does not make a QEF election (as described above) in respect of any lower-tier PFIC, the U.S. Holder could incur liability for the deferred tax and interest charge described above if (i) we receive a distribution from, or disposes of all or part of our interest in, the lower-tier PFIC or (ii) the U.S. Holder disposes of all or part of its ordinary shares or ADSs. A QEF election that is made for ordinary shares or ADSs will not apply to a lower tier PFIC, although a separate QEF election may be made with respect to a lower-tier PFIC. For U.S. Holders who seek to make a QEF election, with respect to our ordinary shares or ADSs, we will make available an information statement that will contain the necessary information required for making a QEF election with respect to any lower-tier PFIC and permit such U.S. Holders access to certain information in the event of an audit by the U.S. tax authorities. For U.S. Holders that make a mark-to-market election for Amarin, if available, no such election may be made with respect to the stock of a lower-tier PFIC that a U.S. Holder is treated as owning if such stock is not marketable. Hence, the mark-to-market election will not be effective to eliminate a U.S. Holder’s liability for the deferred tax and interest charge described above with respect to deemed dispositions of lower-tier PFIC stock or distributions from a lower-tier PFIC.</w:t>
      </w:r>
    </w:p>
    <w:p>
      <w:pPr>
        <w:spacing w:after="0" w:line="138"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Taxpayer Reporting Obligations</w:t>
      </w:r>
      <w:r>
        <w:rPr>
          <w:rFonts w:ascii="Times New Roman" w:cs="Times New Roman" w:eastAsia="Times New Roman" w:hAnsi="Times New Roman"/>
          <w:sz w:val="18"/>
          <w:szCs w:val="18"/>
          <w:color w:val="auto"/>
        </w:rPr>
        <w:t>. A U.S. Holder’s ownership of ordinary shares or ADSs in a PFIC generally must be reported by filing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8621 with the U.S. Holder’s annual U.S. federal income tax return. Every U.S. Holder who is a shareholder in a PFIC must file an annual report containing the information required by the IRS.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PFIC rules are extremely complex, and U.S. Holders are urged to consult their own tax advisers regarding the potential tax consequences of Amarin being classified as a PFIC.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required to pay up to an additional 3.8% tax on the lesser of (i) the U.S. person’s net investment income (or undistributed net investment income in the case of an estate or trust) for the relevant taxable year and (ii) the excess of the U.S. person’s modified adjusted gross income (or adjusted gross income, in the case of an estate or trust) for the taxable year over a certain threshold (which in the case of individuals will be between $125,000 and $250,000, depending on the individual’s circumstances). A U.S. Holder’s net investment income will include dividends and capital gains on the U.S. Holder’s ordinary shares and ADSs. U.S. Holders should consult their own tax advisors regarding the effect, if any, of the Medicare tax on the ownership and disposition of ordinary shares or ADSs.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Taxpayer reporting obligations</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Certain U.S. Holders that hold certain foreign financial assets are required to report information relating to such assets to the IRS, subject to certain exceptions. U.S. Holders may also be required to make other tax filings with respect to their investments in our ordinary shares and ADSs, including IRS Form 926 (Return by a U.S. Transferor of Property to a Foreign Corporation). Failure to provide such information could result in significant additional taxes and penalties. U.S. Holders should consult their own tax advisors regarding potential reporting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Information reporting and backup withholding</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U.S. Holders of ordinary shares and ADSs may be subject to information reporting and may be subject to backup withholding on distributions on ordinary shares and ADSs or on the proceeds from a sale or other disposition of ordinary shares and ADSs paid within the U.S.. Payments of distributions on, or the proceeds from the sale or other disposition of ordinary shares and ADSs to or through a foreign office of a broker generally will not be subject to backup withholding, although information reporting may apply to those payments in certain circumstances. Backup withholding will generally not apply, however, to a U.S. Holder who:</w:t>
      </w:r>
    </w:p>
    <w:p>
      <w:pPr>
        <w:spacing w:after="0" w:line="75" w:lineRule="exact"/>
        <w:rPr>
          <w:sz w:val="20"/>
          <w:szCs w:val="20"/>
          <w:color w:val="auto"/>
        </w:rPr>
      </w:pPr>
    </w:p>
    <w:p>
      <w:pPr>
        <w:ind w:left="380" w:right="12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 correct taxpayer identification number and certifies that the U.S. Holder is not subject to backup withholding on IRS Form W-9, Request for Taxpayer Identification Number and Certification (or substitute form); or</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exempt from backup withholding.</w:t>
      </w:r>
    </w:p>
    <w:p>
      <w:pPr>
        <w:spacing w:after="0" w:line="17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a payment to a holder under the backup withholding rules may be credited against the holder’s U.S. federal income tax liability, and a holder may obtain a refund of any excess amounts withheld by filing the appropriate claim for refund with the IRS in a timely manner. U.S. Holders should consult their own tax advisors regarding information reporting and potential back up withholdings.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UK Tax Considerations</w:t>
      </w:r>
    </w:p>
    <w:p>
      <w:pPr>
        <w:spacing w:after="0" w:line="8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is limited to an overview of the tax consequences of ownership and disposition of ordinary shares, or such shares represented by ADSs (those ordinary shares or ADSs deriving over 75% of their value otherwise than from United Kingdom land). Each shareholder should however seek individual tax advice as specific rules may apply in certain circumstances.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gains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you are not resident in the United Kingdom, or UK, for UK tax purposes, you will not be liable for UK tax on capital gains realized or accrued on the sale or other disposition of ordinary shares or ADSs unless the ordinary shares or ADSs are held in connection with your trade carried on in the UK through a branch or agency and the ordinary shares or ADSs are or have been used, held or acquired for the purposes of such trade or such branch or agency.</w:t>
      </w:r>
    </w:p>
    <w:p>
      <w:pPr>
        <w:spacing w:after="0" w:line="12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An individual holder of ordinary shares or ADSs who ceases to be resident in the UK for UK tax purposes for a period of less than five years and who disposes of ordinary shares or ADSs during that period may also be liable on returning to the UK for UK capital gains tax despite the fact that the individual may not be resident in the UK at the time of the disposal.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Inheritance tax</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you are an individual domiciled in the U.S. and are not a national of the UK for the purposes of the Inheritance and Gift Tax Treaty 1978 between the U.S. and the UK, any ordinary shares or ADS beneficially owned by you will not generally be subject to UK inheritance tax on your death or on a gift made by you during your lifetime, provided that any applicable U.S. federal gift or estate tax liability is paid, except where the ordinary share or ADS is part of the business property of your UK permanent establishment. Where the ordinary shares or ADSs have been placed in trust by a settlor who, at the time of the settlement, was domiciled in the U.S. and not a national of the UK, the ordinary shares or ADSs will not generally be subject to UK inheritance tax.</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ADSs and ADRs representing ADSs</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No UK stamp duty or stamp duty reserve tax will be payable on an instrument transferring an ADS or an American Depositary Receipt, or ADR, representing an ADS or on a written agreement to transfer an ADS or an ADR representing an ADS whether made in or outside the UK.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 and transfer of ordinary shares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issue of ordinary shares by Amarin will not give rise to a charge to UK stamp duty or stamp duty reserve tax. Transfers of ordinary shares, as opposed to ADSs or ADRs representing ADSs, will generally attract ad valorem stamp duty at the rate of 0.5% of the amount or value of the consideration (or in some circumstances, the open market value of those ordinary shares, if higher). A charge to stamp duty reserve tax, at the rate of 0.5% of the amount or value of the consideration (or in some circumstances, the open market value of the ordinary shares, if higher), will generally arise on an agreement to transfer ordinary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UK law, there is no withholding tax on dividends paid on the ordinary shares or ADSs.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Autumn Budget 2024</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October 30, 2024, the UK Government announced in its Autumn Budget 2024 its intention to replace, with an effective date of April 6, 2025, a number of UK tax rules (including rules relating to income tax, capital gains tax and inheritance tax, and certain associated anti-avoidance rules) which may currently apply to holders of ordinary shares or ADSs who are individuals resident in the United Kingdom but not domiciled here, commonly known as UK non-doms.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Irish Tax Considerations</w:t>
      </w:r>
    </w:p>
    <w:p>
      <w:pPr>
        <w:spacing w:after="0" w:line="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summary only applies to U.S. Holders that legally and beneficially hold their ordinary shares, or such shares represented by ADSs evidenced by ADRs as capital assets (i.e., investments) and does not address special classes of holders including, but not limited to, dealers in securities, insurance companies, pension schemes, employee share ownership trusts, collective investment undertakings, charities, tax-exempt organizations, financial institutions and close companies, each of which may be subject to special rules not discussed below.</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Solely for the purposes of this summary of Irish Tax Considerations, a U.S. Holder means a holder of shares or ADSs evidenced by ADRs that (i) beneficially owns the shares or ADSs registered in their name, (ii) is resident in the U.S. for the purposes of the Ireland-U.S. Double Taxation Convention, or the Treaty, (iii) in the case of an individual holder, is not also resident or ordinarily resident in Ireland for Irish tax purposes, (iv) in the case of a corporate holder, is not a resident in Ireland for Irish tax purposes and is not ultimately controlled by persons resident in Ireland, and (v) is not engaged in any trade or business and does not perform</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68" w:name="page69"/>
    <w:bookmarkEnd w:id="68"/>
    <w:p>
      <w:pPr>
        <w:ind w:right="420"/>
        <w:spacing w:after="0" w:line="282" w:lineRule="auto"/>
        <w:rPr>
          <w:sz w:val="20"/>
          <w:szCs w:val="20"/>
          <w:color w:val="auto"/>
        </w:rPr>
      </w:pPr>
      <w:r>
        <w:rPr>
          <w:rFonts w:ascii="Times New Roman" w:cs="Times New Roman" w:eastAsia="Times New Roman" w:hAnsi="Times New Roman"/>
          <w:sz w:val="18"/>
          <w:szCs w:val="18"/>
          <w:color w:val="auto"/>
        </w:rPr>
        <w:t>independent personal services through a permanent establishment or fixed base in Ireland, and (vi) is a qualified person as defined in Article 23 of the Treaty.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Irish taxation purposes, and for the purposes of the Treaty, U.S. Holders of ADSs will be treated as the owners of the shares represented by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w:t>
      </w:r>
    </w:p>
    <w:p>
      <w:pPr>
        <w:spacing w:after="0" w:line="9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discussion is limited to the tax consequences of ownership and disposition of shares or ADSs. Tax considerations applicable to other types of securities will be described in the related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do not expect to pay dividends in the foreseeable future. Should we begin paying dividends, such dividends will generally be subject to dividend withholding tax, or DWT, in Ireland at a rate of 25%. Where DWT applies, we will be responsible for withholding such tax at source.</w:t>
      </w:r>
    </w:p>
    <w:p>
      <w:pPr>
        <w:spacing w:after="0" w:line="10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Dividends paid by us to U.S. Holders of shares or ADSs evidenced by ADRs will be exempt from DWT if, prior to the payment of such dividends, the recipient U.S. Holder delivers to us a declaration in the form prescribed by the Irish Revenue Commissioners. In addition, a certificate of residency in the form prescribed by the Irish Revenue Commissioners, will also be required if the U.S. holder is an individual.</w:t>
      </w:r>
    </w:p>
    <w:p>
      <w:pPr>
        <w:spacing w:after="0" w:line="12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Where DWT is withheld from dividend payments to U.S. Holders of shares or ADSs evidenced by ADRs, such U.S. Holders can apply to the Irish Revenue Commissioners claiming a full refund of DWT paid by filing a declaration in the form prescribed by the Irish Revenue Commissioners. As above, a certificate of residency in the form prescribed by the Irish Revenue Commissioners, will also be required if the U.S. holder is an individual.</w:t>
      </w:r>
    </w:p>
    <w:p>
      <w:pPr>
        <w:spacing w:after="0" w:line="12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DWT rate applicable to U.S. Holders may be reduced under the terms of the Treaty, however, in the first instance, an exemption should be in place under Irish domestic legislation.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source income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U.S. Holders will not be liable to Irish income tax on dividends paid by us.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gains on disposals of shares or ADSs</w:t>
      </w:r>
    </w:p>
    <w:p>
      <w:pPr>
        <w:spacing w:after="0" w:line="9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U.S. Holders will not be subject to Irish capital gains tax, or CGT, on the disposal of shares or ADSs provided that such shares or ADSs are quoted on a stock exchange at the time of disposition such as Nasdaq. While it is our intention to continue the listing of ADSs on Nasdaq, no assurances can be given in this regard.</w:t>
      </w:r>
    </w:p>
    <w:p>
      <w:pPr>
        <w:spacing w:after="0" w:line="12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for any reason, our ADSs cease to be listed on Nasdaq, U.S. Holders will not be subject to CGT on the disposal of their shares or ADSs provided that the shares or ADSs do not, at the time of the disposal, derive the greater part of their value from land, buildings, minerals, or mineral rights or exploration rights in Ireland.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Capital Acquisitions Tax (CAT)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CAT comprises principally gift and inheritance tax. A gift or inheritance of shares or ADSs will come within the charge to CAT if either:</w:t>
      </w:r>
    </w:p>
    <w:p>
      <w:pPr>
        <w:spacing w:after="0" w:line="171" w:lineRule="exact"/>
        <w:rPr>
          <w:sz w:val="20"/>
          <w:szCs w:val="20"/>
          <w:color w:val="auto"/>
        </w:rPr>
      </w:pPr>
    </w:p>
    <w:p>
      <w:pPr>
        <w:ind w:right="120" w:firstLine="517"/>
        <w:spacing w:after="0" w:line="282" w:lineRule="auto"/>
        <w:tabs>
          <w:tab w:leader="none" w:pos="7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disponer or the donee/successor in relation to the gift or inheritance is resident or ordinarily resident in Ireland (please note that special rules with regard to residence apply where an individual is not domiciled in Ireland); or</w:t>
      </w:r>
    </w:p>
    <w:p>
      <w:pPr>
        <w:spacing w:after="0" w:line="107" w:lineRule="exact"/>
        <w:rPr>
          <w:rFonts w:ascii="Times New Roman" w:cs="Times New Roman" w:eastAsia="Times New Roman" w:hAnsi="Times New Roman"/>
          <w:sz w:val="18"/>
          <w:szCs w:val="18"/>
          <w:color w:val="auto"/>
        </w:rPr>
      </w:pPr>
    </w:p>
    <w:p>
      <w:pPr>
        <w:jc w:val="both"/>
        <w:ind w:right="160" w:firstLine="517"/>
        <w:spacing w:after="0" w:line="266" w:lineRule="auto"/>
        <w:tabs>
          <w:tab w:leader="none" w:pos="7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or ADSs are regarded as property situated in Ireland (e.g. shares would be regarded as Irish property if the share register is maintained in Ireland. ADSs, if registered, will be regarded as Irish property if the register is maintained in Ireland, or, if in bearer form, if the instrument of ownership is located in Ireland).</w:t>
      </w:r>
    </w:p>
    <w:p>
      <w:pPr>
        <w:spacing w:after="0" w:line="12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the basis that the shares or ADSs (assuming they are registered) should not be regarded as property situated in Ireland (given that the registers are not maintained in Ireland), a gift or inheritance of the shares or ADSs should only come within the charge to Irish CAT if either the disponer or donee/successor is resident or ordinarily resident in Ireland at the date of the gift or inheritance.</w:t>
      </w:r>
    </w:p>
    <w:p>
      <w:pPr>
        <w:spacing w:after="0" w:line="12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rate of CAT is currently 33% and is payable if the taxable value of the gift or inheritance exceeds certain tax-free thresholds. The appropriate tax-free threshold depends on the relationship between the disponer and the donee/successor. A gift or inheritance received from a spouse is exempt from CAT.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person who receives the gift or inheritance is generally accountable for any CAT due.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Irish stamp duty</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 Irish stamp duty should arise on the issue or transfer for cash of shares or ADSs on the basis that such a transfer does not relate to stocks or marketable securities of an Irish registered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65" w:right="7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concerning future events and our performance. When used in this Annual Report on Form 10-K,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commercial success of VASCEPA and factors that can affect such success; interpretation of court decisions; plans with respect to litigation; expectation on determinations and policy positions of the United States Food and Drug Administration, or U.S.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Annual Report on Form 10-K in Item 1A, “Risk Factors”. We disclaim any intent to update or announce revisions to any forward-looking statements to reflect actual events or developments, except as required by law. Except as otherwise indicated herein, all dates referred to in this Annual Report on Form 10-K represent periods or dates fixed with reference to our fiscal year ended December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Eddingpharm (Asia) Macao Commercial Offshore Limited, or Edding, for the MARINE indication and on June 28, 2024 for the REDUCE-IT indication. Through the date of this Annual Report we have received regulatory approval for VASCEPA under the REDUCE-IT indication in 49 countries, including the U.S. and 27 EU Member States.</w:t>
      </w:r>
    </w:p>
    <w:p>
      <w:pPr>
        <w:spacing w:after="0" w:line="14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U.S. in which VASCEPA is sold and under regulatory review are not subject to the U.S. patent litigation and judgment described below and no similar litigation is pending outside of the U.S..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27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icosapent ethyl have obtained U.S. FDA approval with labeling consistent with the MARINE indication and have entered the U.S. market: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1" w:name="page72"/>
    <w:bookmarkEnd w:id="71"/>
    <w:tbl>
      <w:tblPr>
        <w:tblLayout w:type="fixed"/>
        <w:tblInd w:w="58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73"/>
        </w:trPr>
        <w:tc>
          <w:tcPr>
            <w:tcW w:w="38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Spriaso LLC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780" w:hanging="263"/>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520" w:right="760" w:hanging="3"/>
        <w:spacing w:after="0" w:line="282" w:lineRule="auto"/>
        <w:tabs>
          <w:tab w:leader="none" w:pos="7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10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93980</wp:posOffset>
            </wp:positionV>
            <wp:extent cx="5443220" cy="27343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4322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2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3" w:right="379" w:bottom="1440" w:gutter="0" w:footer="0" w:header="0"/>
        </w:sectPr>
      </w:pPr>
    </w:p>
    <w:bookmarkStart w:id="72" w:name="page73"/>
    <w:bookmarkEnd w:id="72"/>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19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varies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Annual Report, we received marketing authorization by the MHRA and the European Medicines Agency, or EMA, and subsequently we have made VAZKEPA available under individual reimbursement or received national reimbursement and launched commercial operations in the following countries, respectively.</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2025</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right="1560" w:hanging="3"/>
        <w:spacing w:after="0" w:line="282" w:lineRule="auto"/>
        <w:tabs>
          <w:tab w:leader="none" w:pos="7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S.A will be the sole and exclusive distributor of VAZKEPA in the Greek territory to import, register, distribute and commercialize VAZKEPA.</w:t>
      </w:r>
    </w:p>
    <w:p>
      <w:pPr>
        <w:spacing w:after="0" w:line="10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advance our pricing and reimbursement activities to drive access in remaining geographies, including those where progress has been delayed. We are leveraging third-party relationships for various support activities and are implementing an impactful and cost-effective hybrid commercial model balancing optimally digital and face-to-face approaches to drive greater impact and improved cost efficiency, which is or will be utilized throughout Europe as launches are rolled out.</w:t>
      </w:r>
    </w:p>
    <w:p>
      <w:pPr>
        <w:spacing w:after="0" w:line="12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U.S.. However, this greater concentration of at-risk patients being treated by specialists in Europe should allow for more efficient promotion than in the U.S.. In Europe, VAZKEPA has the benefit of 10 years of market protection, and in April 2024 we were issued a patent that extended our exclusivity to 2039.</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One of our core areas of focus is continuing to work on generating revenue from our partnerships in key international markets, including Canada, Middle East North Africa, or MENA, China, Australia and New Zealand and Association of Southeast Asian Nations, or ASEAN, and South Korea and we will continue to explore additional partnerships in other countries throughout the world.</w:t>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 to develop and commercialize VASCEPA in what we refer to as the China Territory, consisting of the territories of Mainland China, Hong Kong, Macau and Taiwan. Edding, with our support, conducted a clinical trial of VASCEPA in China, which evaluated the effect of VASCEPA on patients with very high triglyceride levels (≥500 mg/dL). On February 23, 2022, the Hong Kong Department of Health completed their regulatory evaluation and approved the use of VASCEPA under the REDUCE-IT indication. In Mainland China, the NMPA accepted for review the new drug application for VASCEPA, submitted by Edding, based on the results from the Phase 3 clinical trial and the results from our prior studies of VASCEPA. In Mainland China, on October 10, 2022, following the completion of product testing by the China National Institutes for Food and Drug Control, or NIFDC, the final NMPA review of the VASCEPA New Drug Application, or NDA, was initiated. The Company announced on June 1, 2023 that Edding received approval from the NMPA for VASCEPA in Mainland China under the MARINE indication and launched commercially in October 2023. In October 2023, Edding's submission of a regulatory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73" w:name="page74"/>
    <w:bookmarkEnd w:id="73"/>
    <w:p>
      <w:pPr>
        <w:ind w:right="460"/>
        <w:spacing w:after="0" w:line="282" w:lineRule="auto"/>
        <w:rPr>
          <w:sz w:val="20"/>
          <w:szCs w:val="20"/>
          <w:color w:val="auto"/>
        </w:rPr>
      </w:pPr>
      <w:r>
        <w:rPr>
          <w:rFonts w:ascii="Times New Roman" w:cs="Times New Roman" w:eastAsia="Times New Roman" w:hAnsi="Times New Roman"/>
          <w:sz w:val="18"/>
          <w:szCs w:val="18"/>
          <w:color w:val="auto"/>
        </w:rPr>
        <w:t>filing to the NMPA for VASCEPA under the REDUCE-IT indication was accepted. On June 28, 2024, Edding received approval from the NMPA for VASCEPA in Mainland China under the REDUCE-IT indication.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MENA</w:t>
      </w:r>
    </w:p>
    <w:p>
      <w:pPr>
        <w:spacing w:after="0" w:line="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28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2018</w:t>
            </w:r>
          </w:p>
        </w:tc>
        <w:tc>
          <w:tcPr>
            <w:tcW w:w="2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2019</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2019</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2021</w:t>
            </w:r>
          </w:p>
        </w:tc>
        <w:tc>
          <w:tcPr>
            <w:tcW w:w="2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3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bl>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VASCEPA is under registration in additional countries in the MENA region.</w:t>
      </w: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high-risk of cardiovascular events due to established cardiovascular disease, or diabetes, and at least one other cardiovascular risk factor. In January 2020, HLS obtained regulatory exclusivity designation and launched commercially in February 2020. In April 2022, HLS completed negotiations with Canada’s pan-Canadian Pharmaceutical Alliance for the terms and conditions under which VASCEPA would qualify for public market reimbursement in Canada. HLS has obtained reimbursement from all major private and public payors gaining access to a majority of eligible patients in Canada.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completed the final year of a three-year plan to submit and obtain regulatory approval in 20 or more additional countries and regions in order to ensure that patients in the top 50 cardiometabolic markets worldwide can benefit from VASCEPA. Through the date of this Annual Report, we have filed for regulatory review in 22 countries and regions and have received approval in 15 countries and regions outside of the U.S. and EMA regulatory approval authority, including in Mainland China, Switzerland, Australia, New Zealand and Israel, under the REDUCE-IT indication. In addition, VAZKEPA has been made available under individual pricing reimbursement in Switzerland.</w:t>
      </w:r>
    </w:p>
    <w:p>
      <w:pPr>
        <w:spacing w:after="0" w:line="1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In October 2024, CSL obtained pricing approval and subsequently launched VAZKEPA in Australia. In July 2023, the Company entered into an agreement with Lotus Pharmaceuticals to commercialize and distribute VAZKEPA in South Korea and nine countries in Southeast Asia. In August 2023, the Company entered into an agreement with Neopharm (Israel) 1996 Ltd., or Neopharm, to distribute VAZKEPA in Israel, Gaza, West Bank, and the territories of the Palestinian Authority. The Company will be responsible for supplying finished product to these partners. We continue to assess other potential partnership opportunities for VASCEPA with companies outside of the U.S. and Europe with the intention of partnering in all other international markets where VASCEPA receives local regulatory approval.</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 Updates</w:t>
      </w:r>
    </w:p>
    <w:p>
      <w:pPr>
        <w:spacing w:after="0" w:line="9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As announced and effective on June 3, 2024, Patrick Holt voluntarily resigned as President and Chief Executive Officer and as a member of the Board of Directors. Effective June 4, 2024, the Board of Directors appointed Aaron Berg, previously our Executive Vice President, President U.S., to succeed Mr. Holt as our President and Chief Executive Officer, and as a member of the Board of Directors.</w:t>
      </w:r>
    </w:p>
    <w:p>
      <w:pPr>
        <w:spacing w:after="0" w:line="12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announced on October 7, 2024, Tom Reilly voluntarily resigned as Executive Vice President, Chief Financial Officer, effective October 23, 2024. Effective December 13, 2024, our Vice President, Global Controller and principal financial and accounting officer of the Company, Peter Fishman, has been appointed as Senior Vice President, Chief Financial Officer.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4" w:name="page75"/>
    <w:bookmarkEnd w:id="7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 Program</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July 18, 2023, we announced that we were implementing a new Organizational Restructuring Program, or ORP, resulting in the elimination of our entire U.S. sales force and elimination and consolidation of certain other roles across our organization, both in the U.S. and abroad and representing a reduction of our total employee base by approximately 30%. The ORP was implemented following a review of our business and to better position the organization for a new strategic focus. The ORP resulted in an operating cost reduction of $50.0 million annually.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in 2011, the REDUCE-IT cardiovascular outcomes study of VASCEPA has been the centerpiece of our research and development. as well as the study of the mechanism of action of the single active ingredient in VASCEPA, icosapent ethyl, or IPE. Based on the final positive results of REDUCE-IT, we sought additional indicated uses for VASCEPA in the U.S.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1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Annual Report, more than 50 clinical treatment guidelines, consensus statements, or scientific statements from global medical societies or journals have recognized the use of icosapent ethyl, or IPE, in appropriate at-risk patients for CV risk reductions, including those statements which we were informed of by our global partners in Canada, China, Southeast Asia, Australia, and the Middle East as well as guidelines which were newly received during the fourth quarter of 2024 as listed below:</w:t>
      </w:r>
    </w:p>
    <w:p>
      <w:pPr>
        <w:spacing w:after="0" w:line="72" w:lineRule="exact"/>
        <w:rPr>
          <w:sz w:val="20"/>
          <w:szCs w:val="20"/>
          <w:color w:val="auto"/>
        </w:rPr>
      </w:pPr>
    </w:p>
    <w:p>
      <w:pPr>
        <w:ind w:left="1020" w:right="20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the European Society of Cardiology, or ESC, updated their guidelines on the management of peripheral arterial and aortic disease to recommend IPE 2g BID in high-risk patients with comorbid hypertriglyceridemia (&gt;1.5 mmol/L) despite lifestyle changes and statin therapy. This update is a Class IIb recommendation supported by Level B evidence.</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Taiwan Society of Cardiology updated their guidelines on the prevention of Atherosclerotic Cardiovascular Disease, or ASCVD, to recommend IPE 2-4g QD to patients receiving statin therapy with TG levels ≥150 mg/dL. Patients with very high TG levels ≥500 mg/dL with pancreatic risk may also benefit from IPE or EPA.</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Royal College of Physicians of Thailand, or RCPT, updated their guidelines on the management of dyslipidemia for ASCVD prevention to recommend IPE for risk reduction in patients age &gt;40 years with type 2 diabetes, two or more risk factors for ASCVD, and persistently elevated TG levels even after achieving target LDL-C levels with statin therapy.</w:t>
      </w:r>
    </w:p>
    <w:p>
      <w:pPr>
        <w:spacing w:after="0" w:line="12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2024, we announced the following data which added to our growing body of knowledge on VASCEPA as a result of our continued analysis of the REDUCE-IT trial results:</w:t>
      </w:r>
    </w:p>
    <w:p>
      <w:pPr>
        <w:spacing w:after="0" w:line="54" w:lineRule="exact"/>
        <w:rPr>
          <w:sz w:val="20"/>
          <w:szCs w:val="20"/>
          <w:color w:val="auto"/>
        </w:rPr>
      </w:pPr>
    </w:p>
    <w:p>
      <w:pPr>
        <w:ind w:left="1020" w:right="68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we supported our commercialization partners in Australia with an encore research presentation at the 4 Corners of Cardiology Meeting in Melbourne, Australia. This encore presentation included the REDUCE-IT mediation analysis report of the contribution of IPE and other biomarkers to major adverse cardiovascular events reduction.</w:t>
      </w:r>
    </w:p>
    <w:p>
      <w:pPr>
        <w:spacing w:after="0" w:line="67" w:lineRule="exact"/>
        <w:rPr>
          <w:rFonts w:ascii="Times New Roman" w:cs="Times New Roman" w:eastAsia="Times New Roman" w:hAnsi="Times New Roman"/>
          <w:sz w:val="18"/>
          <w:szCs w:val="18"/>
          <w:color w:val="auto"/>
        </w:rPr>
      </w:pPr>
    </w:p>
    <w:p>
      <w:pPr>
        <w:jc w:val="both"/>
        <w:ind w:left="1020" w:right="20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we highlighted four data presentations showcasing the mechanistic activity of EPA and one REUDCE-IT subgroup analysis presentation reporting the effect of VASCEPA in patients with elevated TG and high or low Lipoprotein(a) concentrations at the American College of Cardiology scientific session. These presentations advanced the understanding of how EPA and VASCEPA work to reduce CV events in at-risk patients.</w:t>
      </w:r>
    </w:p>
    <w:p>
      <w:pPr>
        <w:spacing w:after="0" w:line="7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supported two data presentations showcasing the mechanistic activity of EPA at the European Atherosclerosis Society, or EAS, scientific session in Lyon, France. These presentations may advance the understanding of how EPA and VASCEPA work to reduce CV events in at-risk patients.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supported a poster with real world, observational, safety data of IPE from a U.S. database at the National Lipid Association, or NLA, scientific session in Las Vegas, Nevada. This presentation may advance the understanding of the safety profile of IPE in the real world and how it compares to the safety listed in the approved labeling and those from the large REDUCE-IT CV outcomes trial.</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supported an economic analysis of the budget impact of IPE in the prevention of cardiovascular events in Italy at the International Society for Pharmacoeconomics and Outcomes Research, or ISPOR, Italy meeting in Bologna, Italy.</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supported data presentations showcasing the mechanistic activity of EPA as well as encore data reporting on real world safety of IPE at the Heart UK scientific conference in Coventry, England.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75" w:name="page76"/>
    <w:bookmarkEnd w:id="75"/>
    <w:p>
      <w:pPr>
        <w:ind w:left="1020" w:right="10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provided support to our commercial partner in Australia to present sub-analyses from the REDUCE-IT study in endpoints such at ST-elevation myocardial infarction as well as analyses in patients with established cardiovascular disease and diabetes mellitus. These data presentations occurred at the Cardiac Society of Australia and New Zealand, or CSANZ, and at the Australian Diabetes Congress, or ADC.</w:t>
      </w:r>
    </w:p>
    <w:p>
      <w:pPr>
        <w:spacing w:after="0" w:line="71"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and September 2024, we supported data presentations at both the ESC in London, UK, and the European Association for the Study of Diabetes, or EASD in Madrid, Spain. These presentations included sub-analyses from the REDUCE-IT trial, EPA mechanistic data, and data from Spanish hospitals reporting on the residual cardiovascular risk of elevated TG levels in patients with acute coronary syndrome, or ACS, as well as the eligibility of IPE in patients with ACS.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supported our Canadian partner, HLS, with an encore REDUCE-IT subgroup analysis presentation reporting the effect of VASCEPA/VAZKEPA in patients with elevated triglycerides and high or low Lipoprotein(a) concentrations at the Canadian Cardiovascular Congress, or CCC, in Vancouver, BC.</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supported three data presentation at the AHA Scientific Sessions in Chicago, IL. One data presentation was a subgroup analysis from REDUCE-IT in patients with prior CV events regardless of coronary artery disease history, and the other two data presentations showed the mechanistic activity of EPA.</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supported two health economics and outcomes research, or HEOR, presentations in Barcelona, Spain, at the International Society for Pharmacoeconomics and Outcomes Research, or ISPOR, Europe meeting. These data presentations highlighted the value add and cost-effectiveness of VASCEPA/VAZKEPA in patients with recent acute coronary syndrome in the Catalonia region of Spain.</w:t>
      </w:r>
    </w:p>
    <w:p>
      <w:pPr>
        <w:spacing w:after="0" w:line="6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recognized support from our partner in the Middle East, Biologix, for a data presentation at the 20th International Symposium on Atherosclerosis, or ISA, in Muscat, Oman. The presentation reported on the effectiveness of VASCEPA/VAZKEPA in middle eastern patients with dyslipidemia within cardiology and endocrinology clinics.</w:t>
      </w:r>
    </w:p>
    <w:p>
      <w:pPr>
        <w:spacing w:after="0" w:line="12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total, Amarin and global medical and scientific collaborators supported close to 45 publications inclusive of accepted abstracts, posters, and manuscripts for the year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Clinical Supply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chain. These steps include active pharmaceutical ingredient, or API, manufacturing, encapsulation of the API, product packaging and supply-related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logistics. Our approach to product supply procurement is designed to mitigate risk of supply interruption and maintain an environment of cost competition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diversification of contract manufacturers at each stage of the supply chain and lack of reliance on any single supplier. We have multiple U.S. FDA-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international API suppliers, encapsulators and packagers to support the VASCEPA commercial franchise. We also have multiple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API suppliers, encapsulators and packagers to support the commercialization of VASCEPA in geographies where the drug is approved outside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all of our suppliers approved by the U.S. FDA are approved in every other geography. The regulatory process generally requires extensive details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the submission provided to a country or region in connection with a company's request for regulatory approval. Suppliers must be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as part of the submission for qualification and approval for commercialization in a country or region. As a result, only supply, as approved,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used in finished goods available for sale in a specific country or region. The amount of supply we seek to purchase in future periods will depend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of growth of VASCEPA revenues and minimum purchase commitments with certain suppliers. Beginning in 2022, we reviewed our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purchase obligations and began taking steps to amend supplier agreements to align supply arrangements with current and future market demand,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decrease our current inventory levels primarily related to North America approved inventory. As of December 31, 2024, we had inventory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$230.8 million, of which approximately 60% is inventory approved for use in North America. We continue to negotiate with our contract suppliers to align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supply arrangements with current and future global market demand.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7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U.S., VASCEPA is sold to three major wholesalers, several regional wholesalers along with mail order pharmacy providers that in turn resell the product to retail pharmacies, as well as directly to select regional retail pharmacy chains,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6" w:name="page77"/>
    <w:bookmarkEnd w:id="76"/>
    <w:p>
      <w:pPr>
        <w:ind w:right="140"/>
        <w:spacing w:after="0" w:line="282" w:lineRule="auto"/>
        <w:rPr>
          <w:sz w:val="20"/>
          <w:szCs w:val="20"/>
          <w:color w:val="auto"/>
        </w:rPr>
      </w:pPr>
      <w:r>
        <w:rPr>
          <w:rFonts w:ascii="Times New Roman" w:cs="Times New Roman" w:eastAsia="Times New Roman" w:hAnsi="Times New Roman"/>
          <w:sz w:val="18"/>
          <w:szCs w:val="18"/>
          <w:color w:val="auto"/>
        </w:rPr>
        <w:t>timing of prescriptions as estimated by third-party sources such as Symphony Health may differ from period to period. Our product revenue, net included adjustment for co-pay mitigation rebates provided by us to commercially insured patients in the U.S..</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of the U.S.,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136"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Licensing and royalty revenue. </w:t>
      </w:r>
      <w:r>
        <w:rPr>
          <w:rFonts w:ascii="Times New Roman" w:cs="Times New Roman" w:eastAsia="Times New Roman" w:hAnsi="Times New Roman"/>
          <w:sz w:val="18"/>
          <w:szCs w:val="18"/>
          <w:color w:val="auto"/>
        </w:rPr>
        <w:t>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U.S.. We recognize revenue from licensing arrangements as we fulfill the performance obligations under each of the agreements. As part of our licensing agreements with certain territories outside of the U.S., we are entitled to a percentage of revenue earned based on sales by our partners. The royalty payments are being recognized as earned based on revenue recognized by our current partners.</w:t>
      </w:r>
    </w:p>
    <w:p>
      <w:pPr>
        <w:spacing w:after="0" w:line="1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years ended December 31, 2024 and 2023, we incurred costs within Cost of goods sold - restructuring inventory related to steps taken to amend supplier agreements to align supply arrangements with current and future market demand.</w:t>
      </w:r>
    </w:p>
    <w:p>
      <w:pPr>
        <w:spacing w:after="0" w:line="125"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156"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expense. </w:t>
      </w:r>
      <w:r>
        <w:rPr>
          <w:rFonts w:ascii="Times New Roman" w:cs="Times New Roman" w:eastAsia="Times New Roman" w:hAnsi="Times New Roman"/>
          <w:sz w:val="18"/>
          <w:szCs w:val="18"/>
          <w:color w:val="auto"/>
        </w:rPr>
        <w:t>Restructuring expense consists of restructuring costs incurred under our July 2023 ORP, June 2022 Cost Reduction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CRP, and August 2022 discontinuation of German operations, which consists of severance pay, incentive compensation, insurance benefits, stock-based compensation expense and other contract related costs.</w:t>
      </w:r>
    </w:p>
    <w:p>
      <w:pPr>
        <w:spacing w:after="0" w:line="119" w:lineRule="exact"/>
        <w:rPr>
          <w:sz w:val="20"/>
          <w:szCs w:val="20"/>
          <w:color w:val="auto"/>
        </w:rPr>
      </w:pPr>
    </w:p>
    <w:p>
      <w:pPr>
        <w:jc w:val="both"/>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and other income (expense), net. </w:t>
      </w:r>
      <w:r>
        <w:rPr>
          <w:rFonts w:ascii="Times New Roman" w:cs="Times New Roman" w:eastAsia="Times New Roman" w:hAnsi="Times New Roman"/>
          <w:sz w:val="18"/>
          <w:szCs w:val="18"/>
          <w:color w:val="auto"/>
        </w:rPr>
        <w:t>Interest income, net consists primarily of interest earned on our cash and cash equivalents,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our short-term and long-term investments. Other income (expense), net, consists of foreign exchange losses and gains as well as sublease income.</w:t>
      </w:r>
    </w:p>
    <w:p>
      <w:pPr>
        <w:spacing w:after="0" w:line="10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deferred tax assets and liabilities, and reserves for unrecognized tax benefits reflect management’s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of estimated future taxes to be paid. We are subject to income taxes in both the U.S. and foreign jurisdictions. In applying guidance prescribed under ASC 740 and based on present evidence and conclusions around the realizability of deferred tax assets, we determined that any tax benefit related to the pretax losses generated for the year-ended December 31, 2024 and 2023, are not more likely than not to be realized.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consolidated financial statements and notes, which have been prepared in accordance with accounting principles generally accepted in the U.S., or GAAP.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sectPr>
      </w:pPr>
    </w:p>
    <w:bookmarkStart w:id="77" w:name="page78"/>
    <w:bookmarkEnd w:id="77"/>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preparation of these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w:t>
      </w:r>
      <w:r>
        <w:rPr>
          <w:rFonts w:ascii="Times New Roman" w:cs="Times New Roman" w:eastAsia="Times New Roman" w:hAnsi="Times New Roman"/>
          <w:sz w:val="18"/>
          <w:szCs w:val="18"/>
          <w:i w:val="1"/>
          <w:iCs w:val="1"/>
          <w:color w:val="auto"/>
        </w:rPr>
        <w:t>Note 2—Significant Accounting Policies</w:t>
      </w:r>
      <w:r>
        <w:rPr>
          <w:rFonts w:ascii="Times New Roman" w:cs="Times New Roman" w:eastAsia="Times New Roman" w:hAnsi="Times New Roman"/>
          <w:sz w:val="18"/>
          <w:szCs w:val="18"/>
          <w:color w:val="auto"/>
        </w:rPr>
        <w:t xml:space="preserve">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3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—In accordance with GAAP, under Accounting Standards Codification, or ASC, Topic 606,</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revenue is recognized when product has been delivered to the wholesaler, in an amount that reflects the consideration which we expect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receive in exchange for those goods or services. To determine revenue recognition for arrangements that we determine are within the scope of Topic 606, we perform the following five steps: (i) identify the contract(s) with a distributor; (ii) identify the performance obligations in the contract; (iii) determine the transaction price; (iv) allocate the transaction price to the performance obligations in the contract; and (v) recognize revenue when (or as) we satisfy a performance obligation. We apply the five-step model to contracts only when it is probable that we will collect the consideration we are entitled to in exchange for the goods or services we transfer to the distributor. At contract inception, once the contract is determined to be within the scope of Topic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We recognized total revenue, net of $228.6 million and $306.9 million during the years ended December 31, 2024 and 2023, respectively, of which $204.6 million and $285.3 million, respectively, was based on product revenue sales. For a complete discussion of our accounting for net product revenue, licensing and royalty revenues, which make up Total revenue, net, see </w:t>
      </w:r>
      <w:r>
        <w:rPr>
          <w:rFonts w:ascii="Times New Roman" w:cs="Times New Roman" w:eastAsia="Times New Roman" w:hAnsi="Times New Roman"/>
          <w:sz w:val="18"/>
          <w:szCs w:val="18"/>
          <w:i w:val="1"/>
          <w:iCs w:val="1"/>
          <w:color w:val="auto"/>
        </w:rPr>
        <w:t>Note 2—Significant Accounting Policies</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written contracts with our distributors, and transfer of control typically occurs upon delivery of our product to the distributor. We evaluate the creditworthiness of each of our distributors to determine whether revenues can be recognized upon delivery, subject to satisfaction of the other requirements, or whether recognition is required to be delayed until receipt of payment. We calculate gross product revenues based on the wholesale acquisition cost charged to our distributors for VASCEPA. We estimate our Product revenue, net by deducting from our gross product revenues (a) trade allowances, such as invoice discounts for prompt payment and distributor fees, (b) estimated government and private payor rebates, chargebacks and healthcare discounts, such as Medicaid reimbursements, (c) expected product returns and (d) estimated costs of incentives offered to certain indirect customers, including patients. The gross to net deductions are estimated based on available actual prescription data, historical industry trends, and levels of inventory in the distribution channel. We rely on resale data provided by our distributors as well as prescription data provided by Symphony Health and IQVIA in estimating the level of inventory held in the distribution channel. A hypothetical 5% change in estimated aggregate bottles of channel inventory would result in a change of less than 1% in net product revenues reported during the years ended December 31, 2024 and 2023.</w:t>
      </w:r>
    </w:p>
    <w:p>
      <w:pPr>
        <w:spacing w:after="0" w:line="14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When evaluating licensing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In determining performance obligations, we evaluate whether the license is distinct from the other performance obligations with the collaborative partner based on the consideration of the relevant facts and circumstances for each arrangement. Factors considered include the stage of development of the license delivered, research and development capabilities of the partner and the ability of partners to develop and commercialize VASCEPA independent of us.</w:t>
      </w:r>
    </w:p>
    <w:p>
      <w:pPr>
        <w:spacing w:after="0" w:line="13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the license to our intellectual property is determined to be distinct from the other performance obligations identified in the arrangement, we recognize revenues from non-refundable, up front fees allocated to the license when the license is transferred to the distributor and the distributor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3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regulatory and commercial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8" w:name="page79"/>
    <w:bookmarkEnd w:id="78"/>
    <w:p>
      <w:pPr>
        <w:ind w:right="380"/>
        <w:spacing w:after="0" w:line="261" w:lineRule="auto"/>
        <w:rPr>
          <w:sz w:val="20"/>
          <w:szCs w:val="20"/>
          <w:color w:val="auto"/>
        </w:rPr>
      </w:pPr>
      <w:r>
        <w:rPr>
          <w:rFonts w:ascii="Times New Roman" w:cs="Times New Roman" w:eastAsia="Times New Roman" w:hAnsi="Times New Roman"/>
          <w:sz w:val="18"/>
          <w:szCs w:val="18"/>
          <w:color w:val="auto"/>
        </w:rPr>
        <w:t>basis, for which we recognize revenue as or when the performance obligations under the contract are satisfied. At the end of each subsequent reporting period, we re-evaluate the probability of achievement of such development, regulatory and commercial milestones and any related constraint, and if necessary, adjust its estimate of the overall transaction price. Any such adjustments are recorded on a cumulative catch-up basis, which would affect licensing revenues and earnings in the period of adjustment.</w:t>
      </w:r>
    </w:p>
    <w:p>
      <w:pPr>
        <w:spacing w:after="0" w:line="12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receive payments from our customers based on billing schedules established in each contract. Upfront payments and fees are either recognized as licensing revenue or recorded as deferred revenue upon receipt or when due and may require deferral of revenue recognition to a future period until we perform our obligations under these arrangements. Amounts are recorded as accounts receivable when our right to consideration is unconditional.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27" w:lineRule="exact"/>
        <w:rPr>
          <w:sz w:val="20"/>
          <w:szCs w:val="20"/>
          <w:color w:val="auto"/>
        </w:rPr>
      </w:pPr>
    </w:p>
    <w:p>
      <w:pPr>
        <w:jc w:val="both"/>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2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assess our ability to realize deferred tax assets at each reporting period. The realization of deferred tax assets depends on generating future taxable income during the periods in which the tax benefits are deductible or creditable. When making our assessment about the realization of our deferred tax assets as of December 31, 2024, we considered all available evidence, placing particular weight on evidence that could be objectively verified. The evidence considered included the (i) historical taxable profitability of our U.S. operations, (ii) historical pre-tax book loss position, (iii) sources of future taxable income, giving weight to sources according to the extent to which they can be objectively verified, (iv) the provisions of the Tax Cuts and Jobs Act enacted in 2017 and their impact on our future taxable income, and (v) the risks to our business related to the commercialization and development of VASCEPA. Based on our assessment, we concluded that all of our net deferred tax assets are not more likely than not to be realizable as of both December 31, 2024 and 2023. Changes in historical earnings performance, future earnings projections, and changes in tax laws and tax rates, among other factors, may cause us to adjust our valuation allowance on deferred tax assets in the future, which would impact our income tax expense in the period in which we determine that these factors have changed. We intend to maintain the valuation allowance until sufficient positive evidence exists to conclude that it is more likely than not that our deferred tax benefits will be realized. We will continue to monitor the need for valuation allowances in each jurisdiction and may adjust our positions in the future.</w:t>
      </w:r>
    </w:p>
    <w:p>
      <w:pPr>
        <w:spacing w:after="0" w:line="13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consolidated statement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see </w:t>
      </w:r>
      <w:r>
        <w:rPr>
          <w:rFonts w:ascii="Times New Roman" w:cs="Times New Roman" w:eastAsia="Times New Roman" w:hAnsi="Times New Roman"/>
          <w:sz w:val="18"/>
          <w:szCs w:val="18"/>
          <w:i w:val="1"/>
          <w:iCs w:val="1"/>
          <w:color w:val="auto"/>
        </w:rPr>
        <w:t>Note 2—Significant Accounting Policies</w:t>
      </w:r>
      <w:r>
        <w:rPr>
          <w:rFonts w:ascii="Times New Roman" w:cs="Times New Roman" w:eastAsia="Times New Roman" w:hAnsi="Times New Roman"/>
          <w:sz w:val="18"/>
          <w:szCs w:val="18"/>
          <w:color w:val="auto"/>
        </w:rPr>
        <w:t xml:space="preserve"> in the accompanying Notes to Consolidated Financial Statements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20" w:firstLine="509"/>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discussion that follows includes a comparison of our results of operations and liquidity and capital resources for fiscal years 2024 and 2023. For a comparison of our results of operations and financial condition for fiscal years 2023 and 2022, see “</w:t>
      </w:r>
      <w:r>
        <w:rPr>
          <w:rFonts w:ascii="Times New Roman" w:cs="Times New Roman" w:eastAsia="Times New Roman" w:hAnsi="Times New Roman"/>
          <w:sz w:val="18"/>
          <w:szCs w:val="18"/>
          <w:i w:val="1"/>
          <w:iCs w:val="1"/>
          <w:color w:val="auto"/>
        </w:rPr>
        <w:t>Item 7—Management’s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 of our 2023</w:t>
      </w:r>
      <w:r>
        <w:rPr>
          <w:rFonts w:ascii="Times New Roman" w:cs="Times New Roman" w:eastAsia="Times New Roman" w:hAnsi="Times New Roman"/>
          <w:sz w:val="18"/>
          <w:szCs w:val="18"/>
          <w:i w:val="1"/>
          <w:iCs w:val="1"/>
          <w:color w:val="auto"/>
        </w:rPr>
        <w:t xml:space="preserve"> </w:t>
      </w:r>
      <w:hyperlink r:id="rId97">
        <w:r>
          <w:rPr>
            <w:rFonts w:ascii="Times New Roman" w:cs="Times New Roman" w:eastAsia="Times New Roman" w:hAnsi="Times New Roman"/>
            <w:sz w:val="18"/>
            <w:szCs w:val="18"/>
            <w:u w:val="single" w:color="auto"/>
            <w:color w:val="0000FF"/>
          </w:rPr>
          <w:t>Annual Report on Form 10-K, filed with the SEC on February 29, 2024</w:t>
        </w:r>
      </w:hyperlink>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-38735</wp:posOffset>
            </wp:positionV>
            <wp:extent cx="32746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2024 and December 31, 2023</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$228.6 million and $306.9 million during the years ended December 31,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$78.3 million, or 26%. Total revenue, net consists primarily of revenue from the sale of VASCEPA in the U.S.. In addition to the U.S., we also sell VASCEPA by prescription in certain countries in Europe as well as certain countries outside of the U.S. and Europe, such as China and Canada, through collaborations with third-party companies. As further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9" w:name="page80"/>
    <w:bookmarkEnd w:id="79"/>
    <w:p>
      <w:pPr>
        <w:ind w:right="80"/>
        <w:spacing w:after="0" w:line="282" w:lineRule="auto"/>
        <w:rPr>
          <w:sz w:val="20"/>
          <w:szCs w:val="20"/>
          <w:color w:val="auto"/>
        </w:rPr>
      </w:pPr>
      <w:r>
        <w:rPr>
          <w:rFonts w:ascii="Times New Roman" w:cs="Times New Roman" w:eastAsia="Times New Roman" w:hAnsi="Times New Roman"/>
          <w:sz w:val="18"/>
          <w:szCs w:val="18"/>
          <w:color w:val="auto"/>
        </w:rPr>
        <w:t>discussed below, the aforementioned decrease consists of a $107.2 million decrease in U.S. net product revenue, offset by increases of $26.5 million in net product revenue from sales of VASCEPA outside of the U.S. and $2.4 million in licensing and royalty revenue.</w:t>
      </w:r>
    </w:p>
    <w:p>
      <w:pPr>
        <w:spacing w:after="0" w:line="106"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$204.6 million and $285.3 million during the years ended December 31,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$80.7 million, or 28%. This decrease was due primarily to a 39% decrease in VASCEPA sales in the U.S..</w:t>
      </w:r>
    </w:p>
    <w:p>
      <w:pPr>
        <w:spacing w:after="0" w:line="10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recorded U.S. product revenue, net, of $166.7 million and $273.9 million for the years ended December 31, 2024 and 2023, respectively. This decrease was due to a decline in net selling price as a result of the impact from generic competition in the market, a decrease in volume primarily related to the loss of a large national Pharmacy Benefit Managers, or PBM, going from exclusive to no longer covering VASCEPA, as well as a change in estimate adjustment made in 2023 primarily related to Medicaid rebates of $15.1 million.</w:t>
      </w:r>
    </w:p>
    <w:p>
      <w:pPr>
        <w:spacing w:after="0" w:line="12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U.S., based on prescription levels reported by Symphony Health, decreased for the year ended December 31, 2024 by 2% as compared to the year ended December 31, 2023. Our share of the icosapent ethyl market has decreased to approximately 53% in the year ended December 31, 2024 from approximately 57% in the year ended December 31, 2023. Additionally, based on prescription levels reported by Symphony Health, VASCEPA branded prescriptions decreased by 9% in the year ended December 31, 2024 as compared to the year ended December 31, 2023.</w:t>
      </w:r>
    </w:p>
    <w:p>
      <w:pPr>
        <w:spacing w:after="0" w:line="1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Europe, we recorded product revenue, net, of $13.7 million and $3.3 million as of December 31, 2024 and 2023, respectively, primarily from the UK and Spain.</w:t>
      </w:r>
    </w:p>
    <w:p>
      <w:pPr>
        <w:spacing w:after="0" w:line="10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recorded $24.2 million of product revenue, net, to our collaboration partners compared to $8.1 million during the year ended December 31, 2023.</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2025, we will continue to focus on getting VASCEPA to as many patients as possible by continuing to advance our pricing and reimbursement and licensing activities to drive access in remaining geographies as well as being the market leader in the U.S.</w:t>
      </w:r>
    </w:p>
    <w:p>
      <w:pPr>
        <w:spacing w:after="0" w:line="12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Licensing and royalty revenue. </w:t>
      </w:r>
      <w:r>
        <w:rPr>
          <w:rFonts w:ascii="Times New Roman" w:cs="Times New Roman" w:eastAsia="Times New Roman" w:hAnsi="Times New Roman"/>
          <w:sz w:val="18"/>
          <w:szCs w:val="18"/>
          <w:color w:val="auto"/>
        </w:rPr>
        <w:t>Licensing and royalty revenue during the years ended December 31, 2024 and 2023 was $24.0 million and $21.6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an increase of $2.4 million, or 11%. The current year licensing and royalty revenue is comprised primarily of the following:</w:t>
      </w:r>
    </w:p>
    <w:p>
      <w:pPr>
        <w:spacing w:after="0" w:line="2" w:lineRule="exact"/>
        <w:rPr>
          <w:sz w:val="20"/>
          <w:szCs w:val="20"/>
          <w:color w:val="auto"/>
        </w:rPr>
      </w:pPr>
    </w:p>
    <w:p>
      <w:pPr>
        <w:ind w:left="1260" w:hanging="368"/>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milestone payment following NMPA approval in China of VASCEPA under the REDUCE-IT indication,</w:t>
      </w:r>
    </w:p>
    <w:p>
      <w:pPr>
        <w:spacing w:after="0" w:line="6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recognition of previously deferred revenue arising from a change in estimate,</w:t>
      </w:r>
    </w:p>
    <w:p>
      <w:pPr>
        <w:spacing w:after="0" w:line="6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milestone arising from the Pharmaceutical Benefits Scheme, or PBS, listing of VAZKEPA in Australia, and</w:t>
      </w:r>
    </w:p>
    <w:p>
      <w:pPr>
        <w:spacing w:after="0" w:line="63" w:lineRule="exact"/>
        <w:rPr>
          <w:rFonts w:ascii="Times New Roman" w:cs="Times New Roman" w:eastAsia="Times New Roman" w:hAnsi="Times New Roman"/>
          <w:sz w:val="18"/>
          <w:szCs w:val="18"/>
          <w:color w:val="auto"/>
        </w:rPr>
      </w:pPr>
    </w:p>
    <w:p>
      <w:pPr>
        <w:ind w:left="1320" w:hanging="428"/>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from sales of VASCEPA in select territories.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prior year licensing and royalty revenue is comprised of the following:</w:t>
      </w:r>
    </w:p>
    <w:p>
      <w:pPr>
        <w:spacing w:after="0" w:line="63" w:lineRule="exact"/>
        <w:rPr>
          <w:sz w:val="20"/>
          <w:szCs w:val="20"/>
          <w:color w:val="auto"/>
        </w:rPr>
      </w:pPr>
    </w:p>
    <w:p>
      <w:pPr>
        <w:ind w:left="1260" w:hanging="368"/>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recognition of a $5.0 million milestone following NMPA approval in China of VASCEPA under the MARINE indication,</w:t>
      </w:r>
    </w:p>
    <w:p>
      <w:pPr>
        <w:spacing w:after="0" w:line="6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recognition of a $3.0 million milestone following regulatory submission in China of VASCEPA under the REDUCE-IT indication,</w:t>
      </w:r>
    </w:p>
    <w:p>
      <w:pPr>
        <w:spacing w:after="0" w:line="6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million recognition of previously deferred revenue arising from a change in estimate, and</w:t>
      </w:r>
    </w:p>
    <w:p>
      <w:pPr>
        <w:spacing w:after="0" w:line="6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from sales of VASCEPA in select territories.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13 Development, Commercialization and Supply Agreements</w:t>
      </w:r>
      <w:r>
        <w:rPr>
          <w:rFonts w:ascii="Times New Roman" w:cs="Times New Roman" w:eastAsia="Times New Roman" w:hAnsi="Times New Roman"/>
          <w:sz w:val="18"/>
          <w:szCs w:val="18"/>
          <w:color w:val="auto"/>
        </w:rPr>
        <w:t xml:space="preserve"> for further details on our licensing agreements.</w:t>
      </w:r>
    </w:p>
    <w:p>
      <w:pPr>
        <w:spacing w:after="0" w:line="17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U.S., we are entitled to a percentage of revenue earned based on sales by our partners. The royalty payments are being recognized as earned based on revenue recognized by our current partners.</w:t>
      </w:r>
    </w:p>
    <w:p>
      <w:pPr>
        <w:spacing w:after="0" w:line="106"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years ended December 31, 2024 and 2023 was $147.2 million and $141.4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$5.9 million, or 4%.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2024 and 2023, we have taken steps to amend supplier agreements to align supply arrangements with current and future demand resulting in charges of $36.5 million and $39.2 million, respectively, which were recorded as cost of goods sold - restructuring inventory. During 2024, approximately $8.0</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80" w:name="page81"/>
    <w:bookmarkEnd w:id="80"/>
    <w:p>
      <w:pPr>
        <w:ind w:right="120"/>
        <w:spacing w:after="0" w:line="282" w:lineRule="auto"/>
        <w:rPr>
          <w:sz w:val="20"/>
          <w:szCs w:val="20"/>
          <w:color w:val="auto"/>
        </w:rPr>
      </w:pPr>
      <w:r>
        <w:rPr>
          <w:rFonts w:ascii="Times New Roman" w:cs="Times New Roman" w:eastAsia="Times New Roman" w:hAnsi="Times New Roman"/>
          <w:sz w:val="18"/>
          <w:szCs w:val="18"/>
          <w:color w:val="auto"/>
        </w:rPr>
        <w:t>million of inventory was expensed through cost of goods sold due to both product dating and non-product dating unsellable inventory. During 2023, approximately $5.1 million of inventory was expensed through cost of goods sold due to both product dating and non-product dating unsellable inventory.</w:t>
      </w:r>
    </w:p>
    <w:p>
      <w:pPr>
        <w:spacing w:after="0" w:line="10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years ended December 31, 2024 and 2023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1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overall gross margin on product sales for the years ended December 31, 2024 and 2023 was 28% and 50%, respectively. Excluding the restructuring inventory and inventory write-off charges, gross margin was 50% and 66% for the years ended December 31, 2024 and 2023, respectively. The remaining decrease in gross margin is primarily as a result of a decrease in net selling price.</w:t>
      </w:r>
    </w:p>
    <w:p>
      <w:pPr>
        <w:spacing w:after="0" w:line="120" w:lineRule="exact"/>
        <w:rPr>
          <w:sz w:val="20"/>
          <w:szCs w:val="20"/>
          <w:color w:val="auto"/>
        </w:rPr>
      </w:pPr>
    </w:p>
    <w:p>
      <w:pPr>
        <w:jc w:val="both"/>
        <w:ind w:right="4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for the years ended December 31, 2024 and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$152.3 million and $199.9 million, respectively, a decrease of $47.6 million, or 24%. Selling, general and administrative expenses for the years ended December 31, 2024 and 2023 are summarized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5"/>
                <w:szCs w:val="15"/>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 (1)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79,587</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 (2)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-264795</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-264795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 w:lineRule="exact"/>
        <w:rPr>
          <w:sz w:val="20"/>
          <w:szCs w:val="20"/>
          <w:color w:val="auto"/>
        </w:rPr>
      </w:pPr>
    </w:p>
    <w:p>
      <w:pPr>
        <w:ind w:left="5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years ended December 31, 2024 and 2023 was $79.6 million and $111.3 million, respectively, a decrease of $31.7 million, or 29%. This decrease is primarily due to a reduction in costs associated with our ORP and cost reduction plans resulting in decreased promotional initiatives, reduced travel and elimination of our U.S. sales force.</w:t>
      </w:r>
    </w:p>
    <w:p>
      <w:pPr>
        <w:spacing w:after="0" w:line="54"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years ended December 31, 2024 and 2023 was $58.6 million and $76.1 million, respectively, a decrease of $17.6 million, or 23%. This decrease is primarily due to a decrease in employee-related costs as a result of the reduction in force from the ORP and cost reduction plans and decreased advisory fees related to the shareholder's special meeting in 2023.</w:t>
      </w:r>
    </w:p>
    <w:p>
      <w:pPr>
        <w:spacing w:after="0" w:line="54" w:lineRule="exact"/>
        <w:rPr>
          <w:rFonts w:ascii="Times New Roman" w:cs="Times New Roman" w:eastAsia="Times New Roman" w:hAnsi="Times New Roman"/>
          <w:sz w:val="18"/>
          <w:szCs w:val="18"/>
          <w:color w:val="auto"/>
        </w:rPr>
      </w:pPr>
    </w:p>
    <w:p>
      <w:pPr>
        <w:ind w:left="520" w:hanging="512"/>
        <w:spacing w:after="0" w:line="258"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years ended December 31, 2024 and 2023 was $14.2 million and $12.5 million, respectively, an increase of $1.7 million, or 13%. Non-cash stock-based compensation expense represents the estimated costs associated with equity awards issued to internal personnel supporting our selling, general and administrative functions. The increase is due to prior years reversal of expense associated with our former CEO's resignation, as well as certain performance-based awards as it was no longer deemed probable that the performance criteria for vesting would be achieved within the required timeframe.</w:t>
      </w:r>
    </w:p>
    <w:p>
      <w:pPr>
        <w:spacing w:after="0" w:line="17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focused on getting VASCEPA to as many patients as possible by continuing to advance our pricing and reimbursement and licensing activities to drive access in remaining geographies, as well as advancing regulatory filings internationally. We will continue to evaluate all of our spending commitments and priorities based on this focus.</w:t>
      </w:r>
    </w:p>
    <w:p>
      <w:pPr>
        <w:spacing w:after="0" w:line="160" w:lineRule="exact"/>
        <w:rPr>
          <w:sz w:val="20"/>
          <w:szCs w:val="20"/>
          <w:color w:val="auto"/>
        </w:rPr>
      </w:pPr>
    </w:p>
    <w:p>
      <w:pPr>
        <w:jc w:val="both"/>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for the years ended December 31, 2024 and 2023 was $20.9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$22.2 million, respectively, a decrease of $1.4 million, or 6%. Research and development expenses for the years ended December 31, 2024 and 2023 are summarized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5"/>
                <w:szCs w:val="15"/>
                <w:color w:val="auto"/>
              </w:rPr>
            </w:pPr>
          </w:p>
        </w:tc>
        <w:tc>
          <w:tcPr>
            <w:tcW w:w="35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6500" w:type="dxa"/>
            <w:vAlign w:val="bottom"/>
            <w:vMerge w:val="continue"/>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454"/>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432"/>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650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 xml:space="preserve">REDUCE-IT study and presentations </w:t>
            </w:r>
            <w:r>
              <w:rPr>
                <w:rFonts w:ascii="Times New Roman" w:cs="Times New Roman" w:eastAsia="Times New Roman" w:hAnsi="Times New Roman"/>
                <w:sz w:val="19"/>
                <w:szCs w:val="19"/>
                <w:color w:val="auto"/>
                <w:vertAlign w:val="superscript"/>
              </w:rPr>
              <w:t>(1)</w:t>
            </w:r>
          </w:p>
        </w:tc>
        <w:tc>
          <w:tcPr>
            <w:tcW w:w="320" w:type="dxa"/>
            <w:vAlign w:val="bottom"/>
          </w:tcPr>
          <w:p>
            <w:pPr>
              <w:jc w:val="right"/>
              <w:ind w:right="130"/>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1,202</w:t>
            </w:r>
          </w:p>
        </w:tc>
        <w:tc>
          <w:tcPr>
            <w:tcW w:w="240" w:type="dxa"/>
            <w:vAlign w:val="bottom"/>
          </w:tcPr>
          <w:p>
            <w:pPr>
              <w:spacing w:after="0"/>
              <w:rPr>
                <w:sz w:val="14"/>
                <w:szCs w:val="14"/>
                <w:color w:val="auto"/>
              </w:rPr>
            </w:pPr>
          </w:p>
        </w:tc>
        <w:tc>
          <w:tcPr>
            <w:tcW w:w="300" w:type="dxa"/>
            <w:vAlign w:val="bottom"/>
          </w:tcPr>
          <w:p>
            <w:pPr>
              <w:jc w:val="right"/>
              <w:ind w:right="110"/>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1,439</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Fixed-dose combination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860" w:type="dxa"/>
            <w:vAlign w:val="bottom"/>
          </w:tcPr>
          <w:p>
            <w:pPr>
              <w:spacing w:after="0"/>
              <w:rPr>
                <w:sz w:val="23"/>
                <w:szCs w:val="23"/>
                <w:color w:val="auto"/>
              </w:rPr>
            </w:pPr>
          </w:p>
        </w:tc>
        <w:tc>
          <w:tcPr>
            <w:tcW w:w="65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(5)</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2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65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32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17,330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18,032</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860" w:type="dxa"/>
            <w:vAlign w:val="bottom"/>
          </w:tcPr>
          <w:p>
            <w:pPr>
              <w:spacing w:after="0"/>
              <w:rPr>
                <w:sz w:val="23"/>
                <w:szCs w:val="23"/>
                <w:color w:val="auto"/>
              </w:rPr>
            </w:pPr>
          </w:p>
        </w:tc>
        <w:tc>
          <w:tcPr>
            <w:tcW w:w="65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(6)</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jc w:val="right"/>
              <w:ind w:right="1554"/>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-2047875</wp:posOffset>
            </wp:positionV>
            <wp:extent cx="606044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-1773555</wp:posOffset>
            </wp:positionV>
            <wp:extent cx="606044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-1499235</wp:posOffset>
            </wp:positionV>
            <wp:extent cx="606044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060440" cy="14605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-1216660</wp:posOffset>
            </wp:positionV>
            <wp:extent cx="606044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06044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1" w:name="page82"/>
    <w:bookmarkEnd w:id="81"/>
    <w:p>
      <w:pPr>
        <w:ind w:left="520" w:right="10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w:t>
      </w:r>
    </w:p>
    <w:p>
      <w:pPr>
        <w:ind w:left="520" w:right="180" w:hanging="512"/>
        <w:spacing w:after="0" w:line="273"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are primarily related to cost associated with developmental activities of a fixed-dose combination of VASCEPA and a statin which began in 2022 but was subsequently deprioritized during 2023.</w:t>
      </w:r>
    </w:p>
    <w:p>
      <w:pPr>
        <w:spacing w:after="0" w:line="1" w:lineRule="exact"/>
        <w:rPr>
          <w:rFonts w:ascii="Times New Roman" w:cs="Times New Roman" w:eastAsia="Times New Roman" w:hAnsi="Times New Roman"/>
          <w:sz w:val="18"/>
          <w:szCs w:val="18"/>
          <w:color w:val="auto"/>
        </w:rPr>
      </w:pPr>
    </w:p>
    <w:p>
      <w:pPr>
        <w:jc w:val="both"/>
        <w:ind w:left="520" w:right="14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 The increase is primarily due to the continued expansion within Europe and other countries throughout the world.</w:t>
      </w: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36"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spacing w:after="0" w:line="4"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14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10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years ended December 31, 2024 and 2023 was nil and $11.0 million, respectively,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$11.0 million, or 100%. The charge in the prior year is due to the implementation of the ORP which was approved in the second quarter 2023 and announced on July 18, 2023, which resulted in a reduction of our entire U.S. sales field force, with our managed care and trade organization continuing to support our U.S. commercial efforts, as well as a reduction of approximately 30% of non-sales positions.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additional information.</w:t>
      </w:r>
    </w:p>
    <w:p>
      <w:pPr>
        <w:spacing w:after="0" w:line="129" w:lineRule="exact"/>
        <w:rPr>
          <w:sz w:val="20"/>
          <w:szCs w:val="20"/>
          <w:color w:val="auto"/>
        </w:rPr>
      </w:pPr>
    </w:p>
    <w:p>
      <w:pPr>
        <w:jc w:val="both"/>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net, for the years ended December 31, 2024 and 2023 was $13.4 million and $11.9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$1.5 million, or 13%. Interest income, net, represents income earned on cash and investment balances. The increase is primarily due to higher interest rates in the current year period compared to the prior year period.</w:t>
      </w:r>
    </w:p>
    <w:p>
      <w:pPr>
        <w:spacing w:after="0" w:line="119"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for the year ended December 31, 2024 and 2023 was income of $1.2 million and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Other income (expense), net, primarily consists of the gains and losses on foreign exchange transactions and sublease income related to our Bridgewater, NJ facility.</w:t>
      </w:r>
    </w:p>
    <w:p>
      <w:pPr>
        <w:spacing w:after="0" w:line="119" w:lineRule="exact"/>
        <w:rPr>
          <w:sz w:val="20"/>
          <w:szCs w:val="20"/>
          <w:color w:val="auto"/>
        </w:rPr>
      </w:pPr>
    </w:p>
    <w:p>
      <w:pPr>
        <w:ind w:right="7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for the year ended December 31, 2024 and 2023 was $5.0 million and $5.4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decrease in the provision for income taxes is due to a change in geographic mix of pre-tax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our aggregate sources of liquidity include cash and cash equivalents and restricted cash of $121.3 million and short-term investments of $173.2 million, aggregating $294.5 million. We have no indebtedness. Our cash and cash equivalents primarily include checking accounts and money market funds with original maturities of less than 90 days. Our short-term investments consist of securities that will be due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5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consolidated statements of cash flows, are summarized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92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(180.1 )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(46.0 )</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(25.5 )</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 and restricted cash</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(78.4 )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492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jc w:val="right"/>
              <w:ind w:right="73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-933450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-916305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-933450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-916305</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2" w:name="page83"/>
    <w:bookmarkEnd w:id="82"/>
    <w:p>
      <w:pPr>
        <w:ind w:left="520"/>
        <w:spacing w:after="0"/>
        <w:rPr>
          <w:sz w:val="20"/>
          <w:szCs w:val="20"/>
          <w:color w:val="auto"/>
        </w:rPr>
      </w:pPr>
      <w:r>
        <w:rPr>
          <w:rFonts w:ascii="Times New Roman" w:cs="Times New Roman" w:eastAsia="Times New Roman" w:hAnsi="Times New Roman"/>
          <w:sz w:val="17"/>
          <w:szCs w:val="17"/>
          <w:color w:val="auto"/>
        </w:rPr>
        <w:t>Net cash used in operating activities decreased during 2024 as compared to net cash provided by operating activities during the same period in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primarily as a result of timing and payment of invoices and accruals in 2024 as well as a decrease in U.S. product revenue in 2024.</w:t>
      </w:r>
    </w:p>
    <w:p>
      <w:pPr>
        <w:spacing w:after="0" w:line="15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decreased during the year ended December 31, 2024 compared to the same period in 2023. This is primarily due to the purchase of investment grade interest-bearing instruments of $278.8 million partially offset by $232.8 million from proceeds from the maturity of investment grade interest-bearing instruments, as compared to the same period in 2023 where proceeds from the maturity of investment grade interest-bearing instruments was $215.1 million, partially offset by $190.1 million in purchases of investment grade interest-bearing instruments.</w:t>
      </w:r>
    </w:p>
    <w:p>
      <w:pPr>
        <w:spacing w:after="0" w:line="12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during the years ended December 31, 2024 compared to net cash provided by financing activities during the same period in 2023, primarily as a result of a decrease in proceeds related to stock option exercises.</w:t>
      </w:r>
    </w:p>
    <w:p>
      <w:pPr>
        <w:spacing w:after="0" w:line="10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net accounts receivable of $122.3 million, current inventory of $166.0 million and long-term inventory of $64.7 million. We have incurred annual operating losses since our inception and, as a result, we had an accumulated deficit of $1.7 billion as of December 31, 2024. We anticipate that quarterly net cash outflows in future periods will continue to be variable as a result of the timing of certain items, including our purchases of API, the generic competition in the U.S. and pricing and reimbursement of VAZKEPA in Europe.</w:t>
      </w:r>
    </w:p>
    <w:p>
      <w:pPr>
        <w:spacing w:after="0" w:line="12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July 2023, we announced that we were implementing the ORP resulting in the elimination and consolidation of certain roles across the organization, both in the U.S. and abroad, representing a reduction of our total employee base by approximately 30%. In the U.S., all sales force positions were eliminated, with the managed care and trade organization continuing to support U.S. commercial efforts, and 30% of non-sales positions were eliminated, while in Europe we have redesigned our commercial infrastructure to better align with pricing and reimbursement status, commercial progress to date, as well as streamlining certain cross-geographic functions and better leveraging learnings across countries. These actions reduced operating costs by $50.0 million annually.</w:t>
      </w:r>
    </w:p>
    <w:p>
      <w:pPr>
        <w:spacing w:after="0" w:line="13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Depository Shares. We received shareholder and UK High Court approval of the share repurchase plan in April and May 2024, respectively. The Company has not commenced any share repurchases to date, but we will continue to monitor business and market conditions.</w:t>
      </w:r>
    </w:p>
    <w:p>
      <w:pPr>
        <w:spacing w:after="0" w:line="14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2024, we had cash and cash equivalents of $121.0 million and short-term investments of $173.2 million, aggregating $294.2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including the share repurchase program, for at least one year from the issuance date of our audited consolidated financial statements included elsewhere in this Annual Report and is adequate to support continued operations based on our current plans. We have based this estimate on assumptions that may prove to be wrong, including as a result of the risks discussed under </w:t>
      </w:r>
      <w:r>
        <w:rPr>
          <w:rFonts w:ascii="Times New Roman" w:cs="Times New Roman" w:eastAsia="Times New Roman" w:hAnsi="Times New Roman"/>
          <w:sz w:val="18"/>
          <w:szCs w:val="18"/>
          <w:i w:val="1"/>
          <w:iCs w:val="1"/>
          <w:color w:val="auto"/>
        </w:rPr>
        <w:t>Part II, Item IA, “Risk Factors”</w:t>
      </w:r>
      <w:r>
        <w:rPr>
          <w:rFonts w:ascii="Times New Roman" w:cs="Times New Roman" w:eastAsia="Times New Roman" w:hAnsi="Times New Roman"/>
          <w:sz w:val="18"/>
          <w:szCs w:val="18"/>
          <w:color w:val="auto"/>
        </w:rPr>
        <w:t>, and we could use our capital resources sooner than we expect or fail to achieve positive cash flow.</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8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risks, which include changes in interest rates. We do not use derivative financial instruments in our investment portfolio, and we do not enter into foreign exchange contracts. Our investments meet high credit quality and diversification standards, as specified in our investment policy.</w:t>
      </w:r>
    </w:p>
    <w:p>
      <w:pPr>
        <w:spacing w:after="0" w:line="12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results of operations and cash flows are subject to fluctuations due to changes in the Euro, Sterling, Swiss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 and Yen. The majority of cash and cash equivalents, investments, and the majority of our vendor relationships are denominated in U.S. dollars. We therefore believe that the risk of a significant impact on our operating income from foreign currency fluctuations is not substantial. All of our investments are held in U.S. dollars. We maintain a small amount of our cash and cash equivalents in Euro and from time to time, maintain a small amount of our cash and cash equivalents in other currencies. We purchase a portion of our supply based on a U.S. dollar to Euro exchange rate and, as such, remain subject to currency fluctuation risk for such purchases. Based on the size of our international operations and the amount of our expenses denominated in foreign currencies, currency fluctuation would not have a material effect on our financial position or results of operations. We believe the impact of inflation on operations has been minimal during the past three years.</w:t>
      </w:r>
    </w:p>
    <w:p>
      <w:pPr>
        <w:spacing w:after="0" w:line="131"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believe that we are not exposed to significant interest rate risk through market value fluctuations of balance sheet items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risk) or through changes in interest income or expenses (i.e., refinancing or reinvestment risk). Interest rate risk mainly arises through interest bearing liabilities and assets. Our portfolio of investments as of December 31, 2024 was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83" w:name="page84"/>
    <w:bookmarkEnd w:id="83"/>
    <w:p>
      <w:pPr>
        <w:ind w:right="160"/>
        <w:spacing w:after="0" w:line="261" w:lineRule="auto"/>
        <w:rPr>
          <w:sz w:val="20"/>
          <w:szCs w:val="20"/>
          <w:color w:val="auto"/>
        </w:rPr>
      </w:pPr>
      <w:r>
        <w:rPr>
          <w:rFonts w:ascii="Times New Roman" w:cs="Times New Roman" w:eastAsia="Times New Roman" w:hAnsi="Times New Roman"/>
          <w:sz w:val="18"/>
          <w:szCs w:val="18"/>
          <w:color w:val="auto"/>
        </w:rPr>
        <w:t>composed primarily of U.S. Treasury securities and other government-related securities. At December 31, 2024 and 2023, we had short-term investments of $173.2 million and $121.4 million, respectively. We invest funds to have a continuous inflow of cash from diversified short-term and long-term investments, consisting primarily of investment grade securities. A hypothetical 10 percent change in interest rates would not result in a material decrease or increase in the fair value of our securities due to the balance and diversified investment portfolio.</w:t>
      </w:r>
    </w:p>
    <w:p>
      <w:pPr>
        <w:spacing w:after="0" w:line="124"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We monitor our investments with our investment managers with the objective of minimizing concentrations of credit risks. Our short-term investments consist of securities that mature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 Additionally, our investment policy is to invest only in institutions that meet high credit quality and diversification standards and established limits on the amount and time to maturity of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financial statements are annexed to this Annual Report on Form 10-K beginning on page F-1.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81"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by us in the reports that we file or submit under the Exchange Act is (i) recorded, processed, summarized, and reported within the time periods specified in the SEC’s rules and forms and</w:t>
      </w:r>
    </w:p>
    <w:p>
      <w:pPr>
        <w:spacing w:after="0" w:line="1" w:lineRule="exact"/>
        <w:rPr>
          <w:sz w:val="20"/>
          <w:szCs w:val="20"/>
          <w:color w:val="auto"/>
        </w:rPr>
      </w:pPr>
    </w:p>
    <w:p>
      <w:pPr>
        <w:ind w:right="140" w:firstLine="8"/>
        <w:spacing w:after="0" w:line="260" w:lineRule="auto"/>
        <w:tabs>
          <w:tab w:leader="none" w:pos="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principal executive officer and principal financial officer, to allow timely decisions regarding required disclosure.</w:t>
      </w:r>
    </w:p>
    <w:p>
      <w:pPr>
        <w:spacing w:after="0" w:line="1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2024,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our company. Internal control over financial reporting is defined in Rules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5" w:lineRule="exact"/>
        <w:rPr>
          <w:sz w:val="20"/>
          <w:szCs w:val="20"/>
          <w:color w:val="auto"/>
        </w:rPr>
      </w:pPr>
    </w:p>
    <w:p>
      <w:pPr>
        <w:ind w:left="1020" w:hanging="368"/>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 of our assets;</w:t>
      </w:r>
    </w:p>
    <w:p>
      <w:pPr>
        <w:spacing w:after="0" w:line="117" w:lineRule="exact"/>
        <w:rPr>
          <w:rFonts w:ascii="Times New Roman" w:cs="Times New Roman" w:eastAsia="Times New Roman" w:hAnsi="Times New Roman"/>
          <w:sz w:val="18"/>
          <w:szCs w:val="18"/>
          <w:color w:val="auto"/>
        </w:rPr>
      </w:pPr>
    </w:p>
    <w:p>
      <w:pPr>
        <w:ind w:left="1020" w:right="360" w:hanging="368"/>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53" w:lineRule="exact"/>
        <w:rPr>
          <w:rFonts w:ascii="Times New Roman" w:cs="Times New Roman" w:eastAsia="Times New Roman" w:hAnsi="Times New Roman"/>
          <w:sz w:val="18"/>
          <w:szCs w:val="18"/>
          <w:color w:val="auto"/>
        </w:rPr>
      </w:pPr>
    </w:p>
    <w:p>
      <w:pPr>
        <w:ind w:left="1020" w:right="280" w:hanging="368"/>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our receipts and expenditures are being made only in accordance with authorization of our management and directors; and</w:t>
      </w:r>
    </w:p>
    <w:p>
      <w:pPr>
        <w:spacing w:after="0" w:line="53" w:lineRule="exact"/>
        <w:rPr>
          <w:rFonts w:ascii="Times New Roman" w:cs="Times New Roman" w:eastAsia="Times New Roman" w:hAnsi="Times New Roman"/>
          <w:sz w:val="18"/>
          <w:szCs w:val="18"/>
          <w:color w:val="auto"/>
        </w:rPr>
      </w:pPr>
    </w:p>
    <w:p>
      <w:pPr>
        <w:ind w:left="1020" w:right="40" w:hanging="368"/>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0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has conducted an evaluation of the effectiveness of our internal control over financial reporting as of December 31, 2024. In conducting this evaluation, we used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4" w:name="page85"/>
    <w:bookmarkEnd w:id="84"/>
    <w:p>
      <w:pPr>
        <w:ind w:right="400"/>
        <w:spacing w:after="0" w:line="284" w:lineRule="auto"/>
        <w:rPr>
          <w:sz w:val="20"/>
          <w:szCs w:val="20"/>
          <w:color w:val="auto"/>
        </w:rPr>
      </w:pPr>
      <w:r>
        <w:rPr>
          <w:rFonts w:ascii="Times New Roman" w:cs="Times New Roman" w:eastAsia="Times New Roman" w:hAnsi="Times New Roman"/>
          <w:sz w:val="18"/>
          <w:szCs w:val="18"/>
          <w:color w:val="auto"/>
        </w:rPr>
        <w:t xml:space="preserve">criteria set forth by the Committee of Sponsoring Organizations of the Treadway Commission, or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Based upon this evaluation and those criteria, management has concluded that, as of December 31, 2024, our internal control over financial reporting was effective.</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Ernst &amp; Young LLP (PCAOB ID 42), our independent registered public accounting firm, has audited our consolidated financial statements and the effectiveness of our internal control over financial reporting as of December 31, 2024. This report appears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8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2024 that have materially affected, or are reasonably likely to materially affect, our internal control over financial reporting.</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2"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Amarin Corporation plc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audited Amarin Corporation plc’s internal control over financial reporting as of December 31, 2024, based on criteria established in Internal Control—Integrated Framework issued by the Committee of Sponsoring Organizations of the Treadway Commission (2013 framework) (the COSO criteria). In our opinion, Amarin Corporation plc (the Company) maintained, in all material respects, effective internal control over financial reporting as of December 31, 2024, based on the COSO criteria</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stockholders’ equity and cash flows for each of the three years in the period ended December 31, 2024, and the related notes and our report dated March 12,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Rule 10b5-1 Trading Plans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that applies to our directors, officers and employees. This code is available on the corporate governance section of our website (which is a subsection of the investor relations section of our website) at the following address: www.amarincorp.com. You may also request a printed copy of the code, without charge, by writing to us at Amarin Pharma, Inc., 440 Route 22, Bridgewater, NJ 08807, Attention: Investor Relations. We intend to make any legally required disclosures regarding amendments to, or waivers of, provisions of this code on our website rather than by filing a Current Report on Form 8-K.</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contained in our definitive proxy statement, which will be filed with the SEC in connection with our 2025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9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2025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2025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2025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9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2025 Annual General Meeting of Shareholders. Such information is incorporated herein by reference.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94"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(a)(1) For a list of the financial statements included herein, see Index to Consolidated Financial Statements on page F-1 of this Annual Report on Form 10-K.</w:t>
      </w:r>
    </w:p>
    <w:p>
      <w:pPr>
        <w:spacing w:after="0" w:line="27" w:lineRule="exact"/>
        <w:rPr>
          <w:sz w:val="20"/>
          <w:szCs w:val="20"/>
          <w:color w:val="auto"/>
        </w:rPr>
      </w:pPr>
    </w:p>
    <w:p>
      <w:pPr>
        <w:ind w:left="520" w:hanging="3"/>
        <w:spacing w:after="0" w:line="282" w:lineRule="auto"/>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26" w:lineRule="exact"/>
        <w:rPr>
          <w:rFonts w:ascii="Times New Roman" w:cs="Times New Roman" w:eastAsia="Times New Roman" w:hAnsi="Times New Roman"/>
          <w:sz w:val="18"/>
          <w:szCs w:val="18"/>
          <w:color w:val="auto"/>
        </w:rPr>
      </w:pPr>
    </w:p>
    <w:p>
      <w:pPr>
        <w:ind w:left="1180" w:hanging="663"/>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below. The exhibits listed in the Exhibit Index are incorporated by reference herein.</w:t>
      </w:r>
    </w:p>
    <w:p>
      <w:pPr>
        <w:spacing w:after="0" w:line="27" w:lineRule="exact"/>
        <w:rPr>
          <w:sz w:val="20"/>
          <w:szCs w:val="20"/>
          <w:color w:val="auto"/>
        </w:rPr>
      </w:pPr>
    </w:p>
    <w:p>
      <w:pPr>
        <w:ind w:left="1180" w:hanging="663"/>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80" w:type="dxa"/>
            <w:vAlign w:val="bottom"/>
            <w:gridSpan w:val="10"/>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3920" w:type="dxa"/>
            <w:vAlign w:val="bottom"/>
            <w:gridSpan w:val="1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Articles of Association of the Company</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8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Amended and Restated Deposit Agreement,</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dated as of November 4, 2011, among the Company,</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Citibank, N.A., as Depositary, and all holders from</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time to time of American Depositary Receipts issued</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thereunder</w:t>
              </w:r>
            </w:hyperlink>
          </w:p>
        </w:tc>
        <w:tc>
          <w:tcPr>
            <w:tcW w:w="20" w:type="dxa"/>
            <w:vAlign w:val="bottom"/>
            <w:tcBorders>
              <w:bottom w:val="single" w:sz="8" w:color="0000EE"/>
            </w:tcBorders>
          </w:tcPr>
          <w:p>
            <w:pPr>
              <w:spacing w:after="0"/>
              <w:rPr>
                <w:sz w:val="17"/>
                <w:szCs w:val="17"/>
                <w:color w:val="auto"/>
              </w:rPr>
            </w:pPr>
          </w:p>
        </w:tc>
        <w:tc>
          <w:tcPr>
            <w:tcW w:w="31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920" w:type="dxa"/>
            <w:vAlign w:val="bottom"/>
            <w:gridSpan w:val="16"/>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Ordinary Share certificate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36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American Depositary Receipt evidencing</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ADSs</w:t>
              </w:r>
            </w:hyperlink>
          </w:p>
        </w:tc>
        <w:tc>
          <w:tcPr>
            <w:tcW w:w="20" w:type="dxa"/>
            <w:vAlign w:val="bottom"/>
            <w:tcBorders>
              <w:bottom w:val="single" w:sz="8" w:color="0000EE"/>
            </w:tcBorders>
          </w:tcPr>
          <w:p>
            <w:pPr>
              <w:spacing w:after="0"/>
              <w:rPr>
                <w:sz w:val="17"/>
                <w:szCs w:val="17"/>
                <w:color w:val="auto"/>
              </w:rPr>
            </w:pPr>
          </w:p>
        </w:tc>
        <w:tc>
          <w:tcPr>
            <w:tcW w:w="3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3920" w:type="dxa"/>
            <w:vAlign w:val="bottom"/>
            <w:gridSpan w:val="1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Description of Registrant’s Securities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920" w:type="dxa"/>
            <w:vAlign w:val="bottom"/>
            <w:gridSpan w:val="1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The Company 2011 Stock Option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36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No. 1 to 2011 Stock Option Incentive</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Plan*</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36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No. 2 to 2011 Stock Option Incentive</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Plan*</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32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No. 3 to 2011 Stock Option and</w:t>
              </w:r>
            </w:hyperlink>
          </w:p>
        </w:tc>
        <w:tc>
          <w:tcPr>
            <w:tcW w:w="6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16"/>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gridSpan w:val="6"/>
            <w:shd w:val="clear" w:color="auto" w:fill="0000FF"/>
          </w:tcPr>
          <w:p>
            <w:pPr>
              <w:spacing w:after="0" w:line="20" w:lineRule="exact"/>
              <w:rPr>
                <w:sz w:val="1"/>
                <w:szCs w:val="1"/>
                <w:color w:val="auto"/>
              </w:rPr>
            </w:pPr>
          </w:p>
        </w:tc>
        <w:tc>
          <w:tcPr>
            <w:tcW w:w="27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32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No. 4 to 2011 Stock Option and</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16"/>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gridSpan w:val="6"/>
            <w:shd w:val="clear" w:color="auto" w:fill="0000FF"/>
          </w:tcPr>
          <w:p>
            <w:pPr>
              <w:spacing w:after="0" w:line="20" w:lineRule="exact"/>
              <w:rPr>
                <w:sz w:val="1"/>
                <w:szCs w:val="1"/>
                <w:color w:val="auto"/>
              </w:rPr>
            </w:pPr>
          </w:p>
        </w:tc>
        <w:tc>
          <w:tcPr>
            <w:tcW w:w="27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32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No. 5 to 2011 Stock Option and</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16"/>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20" w:type="dxa"/>
            <w:vAlign w:val="bottom"/>
            <w:tcBorders>
              <w:top w:val="single" w:sz="8" w:color="auto"/>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27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with the</w:t>
            </w:r>
          </w:p>
        </w:tc>
        <w:tc>
          <w:tcPr>
            <w:tcW w:w="120" w:type="dxa"/>
            <w:vAlign w:val="bottom"/>
          </w:tcPr>
          <w:p>
            <w:pPr>
              <w:spacing w:after="0"/>
              <w:rPr>
                <w:sz w:val="23"/>
                <w:szCs w:val="23"/>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April 22, 2024</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 on April 22, 2024, as Exhibit 3.1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2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2011, as Exhibit 4.1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8"/>
          <w:szCs w:val="18"/>
          <w:color w:val="auto"/>
        </w:rPr>
        <w:t>April 24, 2003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2002, as Exhibit 2.4</w:t>
      </w:r>
    </w:p>
    <w:p>
      <w:pPr>
        <w:spacing w:after="0" w:line="99"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29, 2012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2011, as Exhibit 4.4</w:t>
      </w:r>
    </w:p>
    <w:p>
      <w:pPr>
        <w:spacing w:after="0" w:line="99"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25, 2020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2019, as Exhibit 4.7</w:t>
      </w:r>
    </w:p>
    <w:p>
      <w:pPr>
        <w:spacing w:after="0" w:line="85"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9, 2011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2011, as Exhibit 10.4</w:t>
      </w:r>
    </w:p>
    <w:p>
      <w:pPr>
        <w:spacing w:after="0" w:line="99"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8, 2012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2012, as Exhibit 10.1</w:t>
      </w:r>
    </w:p>
    <w:p>
      <w:pPr>
        <w:spacing w:after="0" w:line="99"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8, 2012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2012, as Exhibit 10.2</w:t>
      </w:r>
    </w:p>
    <w:p>
      <w:pPr>
        <w:spacing w:after="0" w:line="9"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28, 2013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2012, as Exhibit 10.5</w:t>
      </w:r>
    </w:p>
    <w:p>
      <w:pPr>
        <w:spacing w:after="0" w:line="99"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6, 2015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2015, as Exhibit 4.1</w:t>
      </w:r>
    </w:p>
    <w:p>
      <w:pPr>
        <w:spacing w:after="0" w:line="99"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6, 2015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2015, as Exhibit 4.2</w:t>
      </w:r>
    </w:p>
    <w:p>
      <w:pPr>
        <w:spacing w:after="0" w:line="99" w:lineRule="exact"/>
        <w:rPr>
          <w:sz w:val="20"/>
          <w:szCs w:val="20"/>
          <w:color w:val="auto"/>
        </w:rPr>
      </w:pPr>
    </w:p>
    <w:p>
      <w:pPr>
        <w:sectPr>
          <w:pgSz w:w="11900" w:h="16838" w:orient="portrait"/>
          <w:cols w:equalWidth="0" w:num="2">
            <w:col w:w="5100" w:space="120"/>
            <w:col w:w="6020"/>
          </w:cols>
          <w:pgMar w:left="320" w:top="1006" w:right="339" w:bottom="1440" w:gutter="0" w:footer="0" w:header="0"/>
        </w:sectPr>
      </w:pP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760" w:type="dxa"/>
            <w:vAlign w:val="bottom"/>
            <w:gridSpan w:val="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Amendment No.6 to 2011 Stock 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760" w:type="dxa"/>
            <w:vAlign w:val="bottom"/>
            <w:gridSpan w:val="6"/>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Form of Incentive Stock Option Award 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760" w:type="dxa"/>
            <w:vAlign w:val="bottom"/>
            <w:gridSpan w:val="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Non-Qualified Stock Option Award</w:t>
              </w:r>
            </w:hyperlink>
          </w:p>
        </w:tc>
      </w:tr>
      <w:tr>
        <w:trPr>
          <w:trHeight w:val="20"/>
        </w:trPr>
        <w:tc>
          <w:tcPr>
            <w:tcW w:w="11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760" w:type="dxa"/>
            <w:vAlign w:val="bottom"/>
            <w:gridSpan w:val="6"/>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760" w:type="dxa"/>
            <w:vAlign w:val="bottom"/>
            <w:gridSpan w:val="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Restricted Stock Unit Award 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2017, as Exhibit 4.1</w:t>
      </w:r>
    </w:p>
    <w:p>
      <w:pPr>
        <w:spacing w:after="0" w:line="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2011, as Exhibit 10.3</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2011, as Exhibit 10.4</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2011, as Exhibit 10.5</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2012</w:t>
      </w:r>
    </w:p>
    <w:p>
      <w:pPr>
        <w:spacing w:after="0" w:line="319" w:lineRule="exact"/>
        <w:rPr>
          <w:sz w:val="20"/>
          <w:szCs w:val="20"/>
          <w:color w:val="auto"/>
        </w:rPr>
      </w:pPr>
    </w:p>
    <w:p>
      <w:pPr>
        <w:sectPr>
          <w:pgSz w:w="11900" w:h="16838" w:orient="portrait"/>
          <w:cols w:equalWidth="0" w:num="3">
            <w:col w:w="4960" w:space="280"/>
            <w:col w:w="3500" w:space="520"/>
            <w:col w:w="1980"/>
          </w:cols>
          <w:pgMar w:left="320" w:top="1006"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10.11</w:t>
            </w:r>
          </w:p>
        </w:tc>
        <w:tc>
          <w:tcPr>
            <w:tcW w:w="2740" w:type="dxa"/>
            <w:vAlign w:val="bottom"/>
          </w:tcPr>
          <w:p>
            <w:pPr>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2017 Employee Stock Purchase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740" w:type="dxa"/>
            <w:vAlign w:val="bottom"/>
            <w:tcBorders>
              <w:right w:val="single" w:sz="8" w:color="0000EE"/>
            </w:tcBorders>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400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27,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as Exhibit 10.64</w:t>
      </w:r>
    </w:p>
    <w:p>
      <w:pPr>
        <w:spacing w:after="0" w:line="86" w:lineRule="exact"/>
        <w:rPr>
          <w:sz w:val="20"/>
          <w:szCs w:val="20"/>
          <w:color w:val="auto"/>
        </w:rPr>
      </w:pPr>
    </w:p>
    <w:p>
      <w:pPr>
        <w:sectPr>
          <w:pgSz w:w="11900" w:h="16838" w:orient="portrait"/>
          <w:cols w:equalWidth="0" w:num="2">
            <w:col w:w="4520" w:space="720"/>
            <w:col w:w="6000"/>
          </w:cols>
          <w:pgMar w:left="320" w:top="1006"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10.12</w:t>
            </w:r>
          </w:p>
        </w:tc>
        <w:tc>
          <w:tcPr>
            <w:tcW w:w="3780" w:type="dxa"/>
            <w:vAlign w:val="bottom"/>
            <w:gridSpan w:val="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2020 Stock 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3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10.13</w:t>
            </w:r>
          </w:p>
        </w:tc>
        <w:tc>
          <w:tcPr>
            <w:tcW w:w="3780" w:type="dxa"/>
            <w:vAlign w:val="bottom"/>
            <w:gridSpan w:val="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No. 1 to 2020 Stock 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56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10.14</w:t>
            </w:r>
          </w:p>
        </w:tc>
        <w:tc>
          <w:tcPr>
            <w:tcW w:w="3780" w:type="dxa"/>
            <w:vAlign w:val="bottom"/>
            <w:gridSpan w:val="3"/>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Form of Incentive Stock Option Award 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Current Report on Form 8-K dated July 13, 2020, as Exhibit 10.1</w:t>
      </w:r>
    </w:p>
    <w:p>
      <w:pPr>
        <w:spacing w:after="0" w:line="276" w:lineRule="auto"/>
        <w:rPr>
          <w:sz w:val="20"/>
          <w:szCs w:val="20"/>
          <w:color w:val="auto"/>
        </w:rPr>
      </w:pPr>
      <w:r>
        <w:rPr>
          <w:rFonts w:ascii="Times New Roman" w:cs="Times New Roman" w:eastAsia="Times New Roman" w:hAnsi="Times New Roman"/>
          <w:sz w:val="18"/>
          <w:szCs w:val="18"/>
          <w:color w:val="auto"/>
        </w:rPr>
        <w:t>Current Report on Form 8-K dated June 27, 2022, as Exhibit 10.2</w:t>
      </w:r>
    </w:p>
    <w:p>
      <w:pPr>
        <w:spacing w:after="0" w:line="5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2020, as Exhibit 10.2</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July 14, 2020</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ectPr>
          <w:pgSz w:w="11900" w:h="16838" w:orient="portrait"/>
          <w:cols w:equalWidth="0" w:num="3">
            <w:col w:w="4960" w:space="280"/>
            <w:col w:w="3780" w:space="240"/>
            <w:col w:w="1980"/>
          </w:cols>
          <w:pgMar w:left="320" w:top="1006"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10.15</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Non-Qualified Stock Option Award</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Agreements*</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10.16</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Restricted Stock Unit Award 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10.17</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Non-Qualified Stock Option for Non-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Employee Director Award 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10.18</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Deferred Restricted Stock Unit Award</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10.19</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Amarin Corporation plc Executive Severance and</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Change of Control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10.20</w:t>
            </w:r>
          </w:p>
        </w:tc>
        <w:tc>
          <w:tcPr>
            <w:tcW w:w="3880" w:type="dxa"/>
            <w:vAlign w:val="bottom"/>
            <w:gridSpan w:val="20"/>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Contract of Employment between Karim Mikhail and</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Amarin Switzerland GmbH, Grafenauweg 8, 6300</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Zug, dated April 12,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10.21</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Letter Agreement with Steve Ketchum, dated</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February 8, 2012*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10.22</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Amendment, dated July 6, 2015, to Letter Agreement</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with Steven Ketchum, dated February 8, 2012*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10.23</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2012 Long Term Incentive Award with Steven</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Ketchum dated March 1, 2012*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10.24</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API Commercial Supply Agreement, dated May 25,</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2011, between Amarin Pharmaceuticals Ireland Ltd.</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and Chemport Inc. **</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3"/>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10.25</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to API Commercial Supply Agreement</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gridSpan w:val="7"/>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by and between Amarin Pharmaceuticals Ireland Ltd</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gridSpan w:val="7"/>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and Chemport Inc., dated April 4, 2012 **</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gridSpan w:val="7"/>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10.26</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Amendment to API Commercial Supply</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gridSpan w:val="7"/>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Agreement by and between Amarin Pharmaceuticals</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gridSpan w:val="7"/>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Ireland Ltd. and Chemport Inc., dated July 19, 2012</w:t>
              </w:r>
            </w:hyperlink>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line="196" w:lineRule="exact"/>
              <w:rPr>
                <w:rFonts w:ascii="Times New Roman" w:cs="Times New Roman" w:eastAsia="Times New Roman" w:hAnsi="Times New Roman"/>
                <w:sz w:val="18"/>
                <w:szCs w:val="18"/>
                <w:color w:val="0000FF"/>
                <w:w w:val="77"/>
              </w:rPr>
            </w:pPr>
            <w:hyperlink r:id="rId155">
              <w:r>
                <w:rPr>
                  <w:rFonts w:ascii="Times New Roman" w:cs="Times New Roman" w:eastAsia="Times New Roman" w:hAnsi="Times New Roman"/>
                  <w:sz w:val="18"/>
                  <w:szCs w:val="18"/>
                  <w:color w:val="0000FF"/>
                  <w:w w:val="77"/>
                </w:rPr>
                <w:t>**</w:t>
              </w:r>
            </w:hyperlink>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10.27</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Development, Commercialization and Supply</w:t>
              </w:r>
            </w:hyperlink>
          </w:p>
        </w:tc>
      </w:tr>
      <w:tr>
        <w:trPr>
          <w:trHeight w:val="20"/>
        </w:trPr>
        <w:tc>
          <w:tcPr>
            <w:tcW w:w="1180" w:type="dxa"/>
            <w:vAlign w:val="bottom"/>
          </w:tcPr>
          <w:p>
            <w:pPr>
              <w:spacing w:after="0" w:line="20" w:lineRule="exact"/>
              <w:rPr>
                <w:sz w:val="1"/>
                <w:szCs w:val="1"/>
                <w:color w:val="auto"/>
              </w:rPr>
            </w:pPr>
          </w:p>
        </w:tc>
        <w:tc>
          <w:tcPr>
            <w:tcW w:w="2380" w:type="dxa"/>
            <w:vAlign w:val="bottom"/>
            <w:tcBorders>
              <w:right w:val="single" w:sz="8" w:color="0000FF"/>
            </w:tcBorders>
            <w:gridSpan w:val="8"/>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Agreement dated February 26, 2015, by and between</w:t>
              </w:r>
            </w:hyperlink>
          </w:p>
        </w:tc>
      </w:tr>
      <w:tr>
        <w:trPr>
          <w:trHeight w:val="20"/>
        </w:trPr>
        <w:tc>
          <w:tcPr>
            <w:tcW w:w="1180" w:type="dxa"/>
            <w:vAlign w:val="bottom"/>
          </w:tcPr>
          <w:p>
            <w:pPr>
              <w:spacing w:after="0" w:line="20" w:lineRule="exact"/>
              <w:rPr>
                <w:sz w:val="1"/>
                <w:szCs w:val="1"/>
                <w:color w:val="auto"/>
              </w:rPr>
            </w:pPr>
          </w:p>
        </w:tc>
        <w:tc>
          <w:tcPr>
            <w:tcW w:w="2380" w:type="dxa"/>
            <w:vAlign w:val="bottom"/>
            <w:tcBorders>
              <w:right w:val="single" w:sz="8" w:color="0000FF"/>
            </w:tcBorders>
            <w:gridSpan w:val="8"/>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Amarin Pharmaceuticals Ireland Limited, Amarin</w:t>
              </w:r>
            </w:hyperlink>
          </w:p>
        </w:tc>
      </w:tr>
      <w:tr>
        <w:trPr>
          <w:trHeight w:val="20"/>
        </w:trPr>
        <w:tc>
          <w:tcPr>
            <w:tcW w:w="1180" w:type="dxa"/>
            <w:vAlign w:val="bottom"/>
          </w:tcPr>
          <w:p>
            <w:pPr>
              <w:spacing w:after="0" w:line="20" w:lineRule="exact"/>
              <w:rPr>
                <w:sz w:val="1"/>
                <w:szCs w:val="1"/>
                <w:color w:val="auto"/>
              </w:rPr>
            </w:pPr>
          </w:p>
        </w:tc>
        <w:tc>
          <w:tcPr>
            <w:tcW w:w="2380" w:type="dxa"/>
            <w:vAlign w:val="bottom"/>
            <w:tcBorders>
              <w:right w:val="single" w:sz="8" w:color="0000FF"/>
            </w:tcBorders>
            <w:gridSpan w:val="8"/>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Pharma, Inc. and Eddingpharm (Asia) Macao</w:t>
              </w:r>
            </w:hyperlink>
          </w:p>
        </w:tc>
      </w:tr>
      <w:tr>
        <w:trPr>
          <w:trHeight w:val="20"/>
        </w:trPr>
        <w:tc>
          <w:tcPr>
            <w:tcW w:w="1180" w:type="dxa"/>
            <w:vAlign w:val="bottom"/>
          </w:tcPr>
          <w:p>
            <w:pPr>
              <w:spacing w:after="0" w:line="20" w:lineRule="exact"/>
              <w:rPr>
                <w:sz w:val="1"/>
                <w:szCs w:val="1"/>
                <w:color w:val="auto"/>
              </w:rPr>
            </w:pPr>
          </w:p>
        </w:tc>
        <w:tc>
          <w:tcPr>
            <w:tcW w:w="2380" w:type="dxa"/>
            <w:vAlign w:val="bottom"/>
            <w:tcBorders>
              <w:right w:val="single" w:sz="8" w:color="0000FF"/>
            </w:tcBorders>
            <w:gridSpan w:val="8"/>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Commercial Offshore Limited††</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EE"/>
            </w:tcBorders>
            <w:gridSpan w:val="8"/>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26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10.28</w:t>
            </w:r>
          </w:p>
        </w:tc>
        <w:tc>
          <w:tcPr>
            <w:tcW w:w="3880" w:type="dxa"/>
            <w:vAlign w:val="bottom"/>
            <w:gridSpan w:val="20"/>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Distribution Agreement, dated March 8, 2016, by and</w:t>
              </w:r>
            </w:hyperlink>
          </w:p>
        </w:tc>
      </w:tr>
      <w:tr>
        <w:trPr>
          <w:trHeight w:val="20"/>
        </w:trPr>
        <w:tc>
          <w:tcPr>
            <w:tcW w:w="1180" w:type="dxa"/>
            <w:vAlign w:val="bottom"/>
          </w:tcPr>
          <w:p>
            <w:pPr>
              <w:spacing w:after="0" w:line="20" w:lineRule="exact"/>
              <w:rPr>
                <w:sz w:val="1"/>
                <w:szCs w:val="1"/>
                <w:color w:val="auto"/>
              </w:rPr>
            </w:pPr>
          </w:p>
        </w:tc>
        <w:tc>
          <w:tcPr>
            <w:tcW w:w="3180" w:type="dxa"/>
            <w:vAlign w:val="bottom"/>
            <w:tcBorders>
              <w:right w:val="single" w:sz="8" w:color="0000FF"/>
            </w:tcBorders>
            <w:gridSpan w:val="11"/>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among Biologix FZCo, Amarin Pharmaceuticals</w:t>
              </w:r>
            </w:hyperlink>
          </w:p>
        </w:tc>
      </w:tr>
      <w:tr>
        <w:trPr>
          <w:trHeight w:val="20"/>
        </w:trPr>
        <w:tc>
          <w:tcPr>
            <w:tcW w:w="1180" w:type="dxa"/>
            <w:vAlign w:val="bottom"/>
          </w:tcPr>
          <w:p>
            <w:pPr>
              <w:spacing w:after="0" w:line="20" w:lineRule="exact"/>
              <w:rPr>
                <w:sz w:val="1"/>
                <w:szCs w:val="1"/>
                <w:color w:val="auto"/>
              </w:rPr>
            </w:pPr>
          </w:p>
        </w:tc>
        <w:tc>
          <w:tcPr>
            <w:tcW w:w="3180" w:type="dxa"/>
            <w:vAlign w:val="bottom"/>
            <w:tcBorders>
              <w:right w:val="single" w:sz="8" w:color="0000FF"/>
            </w:tcBorders>
            <w:gridSpan w:val="11"/>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Ireland Limited and Amarin Pharma, Inc. ††</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180" w:type="dxa"/>
            <w:vAlign w:val="bottom"/>
            <w:tcBorders>
              <w:right w:val="single" w:sz="8" w:color="0000FF"/>
            </w:tcBorders>
            <w:gridSpan w:val="11"/>
            <w:shd w:val="clear" w:color="auto" w:fill="0000FF"/>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r>
      <w:tr>
        <w:trPr>
          <w:trHeight w:val="26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10.29</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Development, Commercialization and Supply</w:t>
              </w:r>
            </w:hyperlink>
          </w:p>
        </w:tc>
      </w:tr>
      <w:tr>
        <w:trPr>
          <w:trHeight w:val="20"/>
        </w:trPr>
        <w:tc>
          <w:tcPr>
            <w:tcW w:w="1180" w:type="dxa"/>
            <w:vAlign w:val="bottom"/>
          </w:tcPr>
          <w:p>
            <w:pPr>
              <w:spacing w:after="0" w:line="20" w:lineRule="exact"/>
              <w:rPr>
                <w:sz w:val="1"/>
                <w:szCs w:val="1"/>
                <w:color w:val="auto"/>
              </w:rPr>
            </w:pPr>
          </w:p>
        </w:tc>
        <w:tc>
          <w:tcPr>
            <w:tcW w:w="3180" w:type="dxa"/>
            <w:vAlign w:val="bottom"/>
            <w:tcBorders>
              <w:right w:val="single" w:sz="8" w:color="0000FF"/>
            </w:tcBorders>
            <w:gridSpan w:val="11"/>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Agreement, dated September 25, 2017, by and among</w:t>
              </w:r>
            </w:hyperlink>
          </w:p>
        </w:tc>
      </w:tr>
      <w:tr>
        <w:trPr>
          <w:trHeight w:val="20"/>
        </w:trPr>
        <w:tc>
          <w:tcPr>
            <w:tcW w:w="1180" w:type="dxa"/>
            <w:vAlign w:val="bottom"/>
          </w:tcPr>
          <w:p>
            <w:pPr>
              <w:spacing w:after="0" w:line="20" w:lineRule="exact"/>
              <w:rPr>
                <w:sz w:val="1"/>
                <w:szCs w:val="1"/>
                <w:color w:val="auto"/>
              </w:rPr>
            </w:pPr>
          </w:p>
        </w:tc>
        <w:tc>
          <w:tcPr>
            <w:tcW w:w="3180" w:type="dxa"/>
            <w:vAlign w:val="bottom"/>
            <w:tcBorders>
              <w:right w:val="single" w:sz="8" w:color="0000FF"/>
            </w:tcBorders>
            <w:gridSpan w:val="11"/>
            <w:shd w:val="clear" w:color="auto" w:fill="0000FF"/>
          </w:tcPr>
          <w:p>
            <w:pPr>
              <w:spacing w:after="0" w:line="20" w:lineRule="exact"/>
              <w:rPr>
                <w:sz w:val="1"/>
                <w:szCs w:val="1"/>
                <w:color w:val="auto"/>
              </w:rPr>
            </w:pPr>
          </w:p>
        </w:tc>
        <w:tc>
          <w:tcPr>
            <w:tcW w:w="700" w:type="dxa"/>
            <w:vAlign w:val="bottom"/>
            <w:tcBorders>
              <w:left w:val="single" w:sz="8" w:color="0000FF"/>
            </w:tcBorders>
            <w:gridSpan w:val="9"/>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Amarin Pharmaceuticals Ireland Limited, Amarin</w:t>
              </w:r>
            </w:hyperlink>
          </w:p>
        </w:tc>
      </w:tr>
      <w:tr>
        <w:trPr>
          <w:trHeight w:val="20"/>
        </w:trPr>
        <w:tc>
          <w:tcPr>
            <w:tcW w:w="1180" w:type="dxa"/>
            <w:vAlign w:val="bottom"/>
          </w:tcPr>
          <w:p>
            <w:pPr>
              <w:spacing w:after="0" w:line="20" w:lineRule="exact"/>
              <w:rPr>
                <w:sz w:val="1"/>
                <w:szCs w:val="1"/>
                <w:color w:val="auto"/>
              </w:rPr>
            </w:pPr>
          </w:p>
        </w:tc>
        <w:tc>
          <w:tcPr>
            <w:tcW w:w="3180" w:type="dxa"/>
            <w:vAlign w:val="bottom"/>
            <w:tcBorders>
              <w:right w:val="single" w:sz="8" w:color="0000FF"/>
            </w:tcBorders>
            <w:gridSpan w:val="11"/>
            <w:shd w:val="clear" w:color="auto" w:fill="0000FF"/>
          </w:tcPr>
          <w:p>
            <w:pPr>
              <w:spacing w:after="0" w:line="20" w:lineRule="exact"/>
              <w:rPr>
                <w:sz w:val="1"/>
                <w:szCs w:val="1"/>
                <w:color w:val="auto"/>
              </w:rPr>
            </w:pPr>
          </w:p>
        </w:tc>
        <w:tc>
          <w:tcPr>
            <w:tcW w:w="4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Pharma, Inc. and HLS Therapeutics Inc. ††</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2020, as Exhibit 10.3</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2022, as Exhibit 10.3</w:t>
      </w:r>
    </w:p>
    <w:p>
      <w:pPr>
        <w:spacing w:after="0" w:line="32"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2020, as Exhibit 10.5</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2022, as Exhibit 10.2</w:t>
      </w:r>
    </w:p>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 Report on Form 8-K dated January 28, 2021, as Exhibit 10.1</w:t>
      </w:r>
    </w:p>
    <w:p>
      <w:pPr>
        <w:spacing w:after="0" w:line="54"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March 31, 2021, as Exhibit 10.4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F-1, as Exhibit 10.1</w:t>
      </w:r>
    </w:p>
    <w:p>
      <w:pPr>
        <w:spacing w:after="0" w:line="333"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2015, as Exhibit 10.2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 as Exhibit 4.2</w:t>
      </w:r>
    </w:p>
    <w:p>
      <w:pPr>
        <w:spacing w:after="0" w:line="3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2021, as Exhibit 10.35</w:t>
      </w:r>
    </w:p>
    <w:p>
      <w:pPr>
        <w:spacing w:after="0" w:line="27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2021, as Exhibit 10.36</w:t>
      </w:r>
    </w:p>
    <w:p>
      <w:pPr>
        <w:spacing w:after="0" w:line="27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2021, as Exhibit 10.37</w:t>
      </w:r>
    </w:p>
    <w:p>
      <w:pPr>
        <w:spacing w:after="0" w:line="200" w:lineRule="exact"/>
        <w:rPr>
          <w:sz w:val="20"/>
          <w:szCs w:val="20"/>
          <w:color w:val="auto"/>
        </w:rPr>
      </w:pPr>
    </w:p>
    <w:p>
      <w:pPr>
        <w:spacing w:after="0" w:line="286"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March 31, 2015, as Exhibit 10.1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2017, as Exhibit 10.67</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2017, as Exhibit 10.68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6, 2015</w:t>
      </w:r>
    </w:p>
    <w:p>
      <w:pPr>
        <w:spacing w:after="0" w:line="33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March 16, 2012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2018</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2018</w:t>
      </w:r>
    </w:p>
    <w:p>
      <w:pPr>
        <w:sectPr>
          <w:pgSz w:w="11900" w:h="16838" w:orient="portrait"/>
          <w:cols w:equalWidth="0" w:num="3">
            <w:col w:w="5060" w:space="160"/>
            <w:col w:w="3820" w:space="200"/>
            <w:col w:w="1360"/>
          </w:cols>
          <w:pgMar w:left="340" w:top="1107" w:right="9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10.30</w:t>
            </w:r>
          </w:p>
        </w:tc>
        <w:tc>
          <w:tcPr>
            <w:tcW w:w="3860" w:type="dxa"/>
            <w:vAlign w:val="bottom"/>
            <w:gridSpan w:val="4"/>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Lease Agreement, dated February 5, 2019, by and</w:t>
              </w:r>
            </w:hyperlink>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60" w:type="dxa"/>
            <w:vAlign w:val="bottom"/>
            <w:gridSpan w:val="4"/>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between 440 Route 22 LLC and Amarin Pharma, Inc.</w:t>
              </w:r>
            </w:hyperlink>
          </w:p>
        </w:tc>
        <w:tc>
          <w:tcPr>
            <w:tcW w:w="36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December 31, 2018, as Exhibit 10.69</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574"/>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10.31</w:t>
            </w:r>
          </w:p>
        </w:tc>
        <w:tc>
          <w:tcPr>
            <w:tcW w:w="3860" w:type="dxa"/>
            <w:vAlign w:val="bottom"/>
            <w:gridSpan w:val="4"/>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English Summary of German Language Commercial</w:t>
              </w:r>
            </w:hyperlink>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60" w:type="dxa"/>
            <w:vAlign w:val="bottom"/>
            <w:gridSpan w:val="4"/>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Lease Agreement dated October 10, 2021, by and</w:t>
              </w:r>
            </w:hyperlink>
          </w:p>
        </w:tc>
        <w:tc>
          <w:tcPr>
            <w:tcW w:w="36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December 31, 2021, as Exhibit 10.54</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60" w:type="dxa"/>
            <w:vAlign w:val="bottom"/>
            <w:gridSpan w:val="4"/>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between Amarin Switzerland GmbH and Zug Estates</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60" w:type="dxa"/>
            <w:vAlign w:val="bottom"/>
            <w:gridSpan w:val="4"/>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AG</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765" w:lineRule="exact"/>
        <w:rPr>
          <w:sz w:val="20"/>
          <w:szCs w:val="20"/>
          <w:color w:val="auto"/>
        </w:rPr>
      </w:pPr>
    </w:p>
    <w:p>
      <w:pPr>
        <w:sectPr>
          <w:pgSz w:w="11900" w:h="16838" w:orient="portrait"/>
          <w:cols w:equalWidth="0" w:num="2">
            <w:col w:w="8700" w:space="540"/>
            <w:col w:w="1340"/>
          </w:cols>
          <w:pgMar w:left="340" w:top="999" w:right="979" w:bottom="1440" w:gutter="0" w:footer="0" w:header="0"/>
        </w:sect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Consent of Landlord to Sublease dated as of January</w:t>
              </w:r>
            </w:hyperlink>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20, 2023, among Amarin Pharma, Inc. ST Shared</w:t>
              </w:r>
            </w:hyperlink>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Services LLC and Liberty Denver Wood LLC</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Guaranty dated January 20, 2023, issued by MEH,</w:t>
              </w:r>
            </w:hyperlink>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Sublease Agreement dated January 20, 2023, by and</w:t>
              </w:r>
            </w:hyperlink>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between Amarin Pharma, Inc. and ST Shared</w:t>
              </w:r>
            </w:hyperlink>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Services LLC</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6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License Agreement dated September 13, 2022,</w:t>
              </w:r>
            </w:hyperlink>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between Amarin Pharmaceuticals Ireland Ltd and</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Weston Office Solutions Ltd</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Non-Employee Director Compensation Policy</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2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CEO Employment Agreement between Patrick Holt</w:t>
              </w:r>
            </w:hyperlink>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and Amarin Corporation, plc. dated July 18, 2023</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Option Award Agreement (attached to Exhibit 10.1)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2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Amendment No. 2 to the Amarin Corporation plc</w:t>
              </w:r>
            </w:hyperlink>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2020 Stock 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3880" w:type="dxa"/>
            <w:vAlign w:val="bottom"/>
            <w:gridSpan w:val="20"/>
          </w:tcPr>
          <w:p>
            <w:pPr>
              <w:spacing w:after="0"/>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Offer Letter with Jonathan Provoost, dated October 9,</w:t>
              </w:r>
            </w:hyperlink>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80" w:type="dxa"/>
            <w:vAlign w:val="bottom"/>
            <w:gridSpan w:val="3"/>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2023*</w:t>
              </w:r>
            </w:hyperlink>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2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Amendment No. 3 to the Amarin Corporation plc</w:t>
              </w:r>
            </w:hyperlink>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2020 Stock 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CEO Employment Agreement, dated July 25, 2024,</w:t>
              </w:r>
            </w:hyperlink>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by and between Amarin Corporation plc and Aaron</w:t>
              </w:r>
            </w:hyperlink>
          </w:p>
        </w:tc>
      </w:tr>
      <w:tr>
        <w:trPr>
          <w:trHeight w:val="20"/>
        </w:trPr>
        <w:tc>
          <w:tcPr>
            <w:tcW w:w="1180" w:type="dxa"/>
            <w:vAlign w:val="bottom"/>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Berg.</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3880" w:type="dxa"/>
            <w:vAlign w:val="bottom"/>
            <w:gridSpan w:val="20"/>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Consulting Agreement, dated July 26, 2024, by and</w:t>
              </w:r>
            </w:hyperlink>
          </w:p>
        </w:tc>
      </w:tr>
      <w:tr>
        <w:trPr>
          <w:trHeight w:val="20"/>
        </w:trPr>
        <w:tc>
          <w:tcPr>
            <w:tcW w:w="1180" w:type="dxa"/>
            <w:vAlign w:val="bottom"/>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between Amarin Corporation plc and Patrick Holt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Insider Trading and Disclosure Policy</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19.2</w:t>
            </w:r>
          </w:p>
        </w:tc>
        <w:tc>
          <w:tcPr>
            <w:tcW w:w="3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Special Trading Procedures for Insiders</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List of Subsidiaries</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r>
      <w:tr>
        <w:trPr>
          <w:trHeight w:val="38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w:t>
            </w:r>
          </w:p>
        </w:tc>
      </w:tr>
      <w:tr>
        <w:trPr>
          <w:trHeight w:val="20"/>
        </w:trPr>
        <w:tc>
          <w:tcPr>
            <w:tcW w:w="1180" w:type="dxa"/>
            <w:vAlign w:val="bottom"/>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2022, as Exhibit 10.44</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2022, as Exhibit 10.45</w:t>
      </w:r>
    </w:p>
    <w:p>
      <w:pPr>
        <w:spacing w:after="0" w:line="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2022, as Exhibit 10.46</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2022, as Exhibit 10.47</w:t>
      </w:r>
    </w:p>
    <w:p>
      <w:pPr>
        <w:spacing w:after="0" w:line="270"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2023, as Exhibit 10.1</w:t>
      </w:r>
    </w:p>
    <w:p>
      <w:pPr>
        <w:spacing w:after="0" w:line="32"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Current Report on Form 8-K filed with the Commission on July 20, 2023, as Exhibit 10.1</w:t>
      </w:r>
    </w:p>
    <w:p>
      <w:pPr>
        <w:spacing w:after="0" w:line="32"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Current Report on Form 8-K filed with the Commission on July 20, 2023, as Exhibit 10.2</w:t>
      </w:r>
    </w:p>
    <w:p>
      <w:pPr>
        <w:spacing w:after="0" w:line="32"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Current Report on Form 8-K filed with the Commission on July 25, 2023, as Exhibit 10.2</w:t>
      </w:r>
    </w:p>
    <w:p>
      <w:pPr>
        <w:spacing w:after="0" w:line="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Annual Report on Form 10-K filed with the Commission for the year ended December 31, 2023, as Exhibit 10.43</w:t>
      </w:r>
    </w:p>
    <w:p>
      <w:pPr>
        <w:spacing w:after="0" w:line="68"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Current Report on Form 8-K filed with the Commission on April 22, 2024, as Exhibit 10.2</w:t>
      </w:r>
    </w:p>
    <w:p>
      <w:pPr>
        <w:spacing w:after="0" w:line="32"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Current Report on Form 8-K filed with the Commission on July 29, 2024, as Exhibit 10.1</w:t>
      </w:r>
    </w:p>
    <w:p>
      <w:pPr>
        <w:spacing w:after="0" w:line="248"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2024, as Exhibit 10.1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255" w:lineRule="exact"/>
        <w:rPr>
          <w:sz w:val="20"/>
          <w:szCs w:val="20"/>
          <w:color w:val="auto"/>
        </w:rPr>
      </w:pPr>
    </w:p>
    <w:p>
      <w:pPr>
        <w:ind w:right="280"/>
        <w:spacing w:after="0" w:line="642" w:lineRule="auto"/>
        <w:rPr>
          <w:sz w:val="20"/>
          <w:szCs w:val="20"/>
          <w:color w:val="auto"/>
        </w:rPr>
      </w:pPr>
      <w:r>
        <w:rPr>
          <w:rFonts w:ascii="Times New Roman" w:cs="Times New Roman" w:eastAsia="Times New Roman" w:hAnsi="Times New Roman"/>
          <w:sz w:val="18"/>
          <w:szCs w:val="18"/>
          <w:color w:val="auto"/>
        </w:rPr>
        <w:t>March 1, 2023 March 1, 2023</w:t>
      </w:r>
    </w:p>
    <w:p>
      <w:pPr>
        <w:spacing w:after="0" w:line="13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 2023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 2023</w:t>
      </w:r>
    </w:p>
    <w:p>
      <w:pPr>
        <w:spacing w:after="0" w:line="333" w:lineRule="exact"/>
        <w:rPr>
          <w:sz w:val="20"/>
          <w:szCs w:val="20"/>
          <w:color w:val="auto"/>
        </w:rPr>
      </w:pPr>
    </w:p>
    <w:p>
      <w:pPr>
        <w:spacing w:after="0" w:line="657" w:lineRule="auto"/>
        <w:rPr>
          <w:sz w:val="20"/>
          <w:szCs w:val="20"/>
          <w:color w:val="auto"/>
        </w:rPr>
      </w:pPr>
      <w:r>
        <w:rPr>
          <w:rFonts w:ascii="Times New Roman" w:cs="Times New Roman" w:eastAsia="Times New Roman" w:hAnsi="Times New Roman"/>
          <w:sz w:val="18"/>
          <w:szCs w:val="18"/>
          <w:color w:val="auto"/>
        </w:rPr>
        <w:t>July 25, 2023 February 29, 2024</w:t>
      </w:r>
    </w:p>
    <w:p>
      <w:pPr>
        <w:spacing w:after="0" w:line="163" w:lineRule="exact"/>
        <w:rPr>
          <w:sz w:val="20"/>
          <w:szCs w:val="20"/>
          <w:color w:val="auto"/>
        </w:rPr>
      </w:pPr>
    </w:p>
    <w:p>
      <w:pPr>
        <w:ind w:right="280"/>
        <w:spacing w:after="0" w:line="657" w:lineRule="auto"/>
        <w:rPr>
          <w:sz w:val="20"/>
          <w:szCs w:val="20"/>
          <w:color w:val="auto"/>
        </w:rPr>
      </w:pPr>
      <w:r>
        <w:rPr>
          <w:rFonts w:ascii="Times New Roman" w:cs="Times New Roman" w:eastAsia="Times New Roman" w:hAnsi="Times New Roman"/>
          <w:sz w:val="18"/>
          <w:szCs w:val="18"/>
          <w:color w:val="auto"/>
        </w:rPr>
        <w:t>April 22, 2024 July 29,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2024</w:t>
      </w:r>
    </w:p>
    <w:p>
      <w:pPr>
        <w:spacing w:after="0" w:line="1966" w:lineRule="exact"/>
        <w:rPr>
          <w:sz w:val="20"/>
          <w:szCs w:val="20"/>
          <w:color w:val="auto"/>
        </w:rPr>
      </w:pPr>
    </w:p>
    <w:p>
      <w:pPr>
        <w:sectPr>
          <w:pgSz w:w="11900" w:h="16838" w:orient="portrait"/>
          <w:cols w:equalWidth="0" w:num="3">
            <w:col w:w="5060" w:space="160"/>
            <w:col w:w="3760" w:space="260"/>
            <w:col w:w="1340"/>
          </w:cols>
          <w:pgMar w:left="340" w:top="999" w:right="979" w:bottom="1440" w:gutter="0" w:footer="0" w:header="0"/>
          <w:type w:val="continuous"/>
        </w:sectPr>
      </w:pPr>
    </w:p>
    <w:p>
      <w:pPr>
        <w:spacing w:after="0"/>
        <w:tabs>
          <w:tab w:leader="none" w:pos="1140" w:val="left"/>
          <w:tab w:leader="none" w:pos="52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FF"/>
        </w:rPr>
        <w:t>Power of Attorney</w:t>
      </w:r>
      <w:r>
        <w:rPr>
          <w:sz w:val="20"/>
          <w:szCs w:val="20"/>
          <w:color w:val="auto"/>
        </w:rPr>
        <w:tab/>
      </w:r>
      <w:r>
        <w:rPr>
          <w:rFonts w:ascii="Times New Roman" w:cs="Times New Roman" w:eastAsia="Times New Roman" w:hAnsi="Times New Roman"/>
          <w:sz w:val="17"/>
          <w:szCs w:val="17"/>
          <w:color w:val="auto"/>
        </w:rPr>
        <w:t>Included on the signature page(s)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-7620</wp:posOffset>
            </wp:positionV>
            <wp:extent cx="8502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850265" cy="8890"/>
                    </a:xfrm>
                    <a:prstGeom prst="rect">
                      <a:avLst/>
                    </a:prstGeom>
                    <a:noFill/>
                  </pic:spPr>
                </pic:pic>
              </a:graphicData>
            </a:graphic>
          </wp:anchor>
        </w:drawing>
      </w:r>
    </w:p>
    <w:p>
      <w:pPr>
        <w:spacing w:after="0" w:line="31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40" w:top="999" w:right="979" w:bottom="1440" w:gutter="0" w:footer="0" w:header="0"/>
          <w:type w:val="continuous"/>
        </w:sectPr>
      </w:pPr>
    </w:p>
    <w:bookmarkStart w:id="92" w:name="page93"/>
    <w:bookmarkEnd w:id="92"/>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Certification of President and Chief Executive Officer</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pursuant to Section 302</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Sarbanes-Oxley Act of 2002</w:t>
            </w: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Senior Vice President and Chief</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(Principal Financial Officer and</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Officer) pursuant to Section</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302 of Sarbanes-Oxley Act of 2002</w:t>
            </w: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Certification of President and Chief Executive Officer</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Furnished herewith</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and Senior Vice</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President and Chief Financial Officer (Principal</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and Principal Accounting Officer)</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Sarbanes-Oxley Act of</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Compensation Recovery Plan</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EE"/>
            </w:tcBorders>
            <w:gridSpan w:val="2"/>
            <w:shd w:val="clear" w:color="auto" w:fill="0000FF"/>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3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180" w:type="dxa"/>
            <w:vAlign w:val="bottom"/>
          </w:tcPr>
          <w:p>
            <w:pPr>
              <w:spacing w:after="0"/>
              <w:rPr>
                <w:sz w:val="20"/>
                <w:szCs w:val="20"/>
                <w:color w:val="auto"/>
              </w:rPr>
            </w:pP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Linkbases Document</w:t>
            </w:r>
          </w:p>
        </w:tc>
        <w:tc>
          <w:tcPr>
            <w:tcW w:w="1540" w:type="dxa"/>
            <w:vAlign w:val="bottom"/>
          </w:tcPr>
          <w:p>
            <w:pPr>
              <w:spacing w:after="0"/>
              <w:rPr>
                <w:sz w:val="20"/>
                <w:szCs w:val="20"/>
                <w:color w:val="auto"/>
              </w:rPr>
            </w:pPr>
          </w:p>
        </w:tc>
      </w:tr>
      <w:tr>
        <w:trPr>
          <w:trHeight w:val="30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80" w:type="dxa"/>
            <w:vAlign w:val="bottom"/>
          </w:tcPr>
          <w:p>
            <w:pPr>
              <w:spacing w:after="0"/>
              <w:rPr>
                <w:sz w:val="18"/>
                <w:szCs w:val="18"/>
                <w:color w:val="auto"/>
              </w:rPr>
            </w:pP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with applicable taxonomy extension</w:t>
            </w:r>
          </w:p>
        </w:tc>
        <w:tc>
          <w:tcPr>
            <w:tcW w:w="154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information contained in Exhibit 101.)</w:t>
            </w:r>
          </w:p>
        </w:tc>
        <w:tc>
          <w:tcPr>
            <w:tcW w:w="1540" w:type="dxa"/>
            <w:vAlign w:val="bottom"/>
          </w:tcPr>
          <w:p>
            <w:pPr>
              <w:spacing w:after="0"/>
              <w:rPr>
                <w:sz w:val="20"/>
                <w:szCs w:val="20"/>
                <w:color w:val="auto"/>
              </w:rPr>
            </w:pPr>
          </w:p>
        </w:tc>
      </w:tr>
    </w:tbl>
    <w:p>
      <w:pPr>
        <w:spacing w:after="0" w:line="184" w:lineRule="exact"/>
        <w:rPr>
          <w:sz w:val="20"/>
          <w:szCs w:val="20"/>
          <w:color w:val="auto"/>
        </w:rPr>
      </w:pPr>
    </w:p>
    <w:p>
      <w:pPr>
        <w:ind w:left="240" w:hanging="232"/>
        <w:spacing w:after="0"/>
        <w:tabs>
          <w:tab w:leader="none" w:pos="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treatment has been granted with respect to portions of this exhibit pursuant to an application requesting confidential treatment under Rule</w:t>
      </w:r>
    </w:p>
    <w:p>
      <w:pPr>
        <w:spacing w:after="0" w:line="38" w:lineRule="exact"/>
        <w:rPr>
          <w:rFonts w:ascii="Times New Roman" w:cs="Times New Roman" w:eastAsia="Times New Roman" w:hAnsi="Times New Roman"/>
          <w:sz w:val="17"/>
          <w:szCs w:val="17"/>
          <w:color w:val="auto"/>
        </w:rPr>
      </w:pPr>
    </w:p>
    <w:p>
      <w:pPr>
        <w:ind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24b-2 of the Securities Exchange Act of 1934. A complete copy of this exhibit, including the redacted terms, has been separately filed with the Securities and Exchange Commission.</w:t>
      </w:r>
    </w:p>
    <w:p>
      <w:pPr>
        <w:ind w:right="34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Certain confidential portions (indicated by brackets and asterisks) have been omitted from this exhibit. * Management contract or compensatory plan or arrangement.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9" w:right="519" w:bottom="1440" w:gutter="0" w:footer="0" w:header="0"/>
        </w:sectPr>
      </w:pPr>
    </w:p>
    <w:bookmarkStart w:id="93" w:name="page94"/>
    <w:bookmarkEnd w:id="9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25" w:lineRule="exact"/>
        <w:rPr>
          <w:sz w:val="20"/>
          <w:szCs w:val="20"/>
          <w:color w:val="auto"/>
        </w:rPr>
      </w:pPr>
    </w:p>
    <w:p>
      <w:pPr>
        <w:ind w:left="6780"/>
        <w:spacing w:after="0"/>
        <w:tabs>
          <w:tab w:leader="none" w:pos="7320" w:val="left"/>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Aaron Berg</w:t>
      </w:r>
    </w:p>
    <w:p>
      <w:pPr>
        <w:spacing w:after="0" w:line="2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 xml:space="preserve">President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Chief Executive Officer</w:t>
      </w:r>
    </w:p>
    <w:p>
      <w:pPr>
        <w:spacing w:after="0" w:line="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17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the undersigned officers and directors of the Registrant hereby severally constitute and appoint Aaron Berg and Peter Fishman,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the Registrant to comply with the provisions of the Securities Exchange Act of 1934, as amended, and all requirements of the Securities and Exchange Commission.</w:t>
      </w:r>
    </w:p>
    <w:p>
      <w:pPr>
        <w:spacing w:after="0" w:line="12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center"/>
              <w:ind w:right="199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  Aaron Berg</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President and Chief</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 (Principal</w:t>
            </w: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80" w:type="dxa"/>
            <w:vAlign w:val="bottom"/>
            <w:vMerge w:val="restart"/>
          </w:tcPr>
          <w:p>
            <w:pPr>
              <w:jc w:val="center"/>
              <w:ind w:right="1992"/>
              <w:spacing w:after="0"/>
              <w:rPr>
                <w:sz w:val="20"/>
                <w:szCs w:val="20"/>
                <w:color w:val="auto"/>
              </w:rPr>
            </w:pPr>
            <w:r>
              <w:rPr>
                <w:rFonts w:ascii="Times New Roman" w:cs="Times New Roman" w:eastAsia="Times New Roman" w:hAnsi="Times New Roman"/>
                <w:sz w:val="18"/>
                <w:szCs w:val="18"/>
                <w:color w:val="auto"/>
                <w:w w:val="99"/>
              </w:rPr>
              <w:t>Aaron Berg</w:t>
            </w:r>
          </w:p>
        </w:tc>
        <w:tc>
          <w:tcPr>
            <w:tcW w:w="20" w:type="dxa"/>
            <w:vAlign w:val="bottom"/>
          </w:tcPr>
          <w:p>
            <w:pPr>
              <w:spacing w:after="0"/>
              <w:rPr>
                <w:sz w:val="14"/>
                <w:szCs w:val="14"/>
                <w:color w:val="auto"/>
              </w:rPr>
            </w:pPr>
          </w:p>
        </w:tc>
        <w:tc>
          <w:tcPr>
            <w:tcW w:w="3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080" w:type="dxa"/>
            <w:vAlign w:val="bottom"/>
          </w:tcPr>
          <w:p>
            <w:pPr>
              <w:spacing w:after="0"/>
              <w:rPr>
                <w:sz w:val="7"/>
                <w:szCs w:val="7"/>
                <w:color w:val="auto"/>
              </w:rPr>
            </w:pPr>
          </w:p>
        </w:tc>
        <w:tc>
          <w:tcPr>
            <w:tcW w:w="2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06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3"/>
              </w:rPr>
              <w:t>/s/</w:t>
            </w:r>
          </w:p>
        </w:tc>
        <w:tc>
          <w:tcPr>
            <w:tcW w:w="3080" w:type="dxa"/>
            <w:vAlign w:val="bottom"/>
          </w:tcPr>
          <w:p>
            <w:pPr>
              <w:jc w:val="center"/>
              <w:ind w:right="1632"/>
              <w:spacing w:after="0"/>
              <w:rPr>
                <w:sz w:val="20"/>
                <w:szCs w:val="20"/>
                <w:color w:val="auto"/>
              </w:rPr>
            </w:pPr>
            <w:r>
              <w:rPr>
                <w:rFonts w:ascii="Times New Roman" w:cs="Times New Roman" w:eastAsia="Times New Roman" w:hAnsi="Times New Roman"/>
                <w:sz w:val="18"/>
                <w:szCs w:val="18"/>
                <w:color w:val="auto"/>
              </w:rPr>
              <w:t>Peter Fishman</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Financial Officer (Principal</w:t>
            </w: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Peter Fishman</w:t>
            </w:r>
          </w:p>
        </w:tc>
        <w:tc>
          <w:tcPr>
            <w:tcW w:w="20" w:type="dxa"/>
            <w:vAlign w:val="bottom"/>
          </w:tcPr>
          <w:p>
            <w:pPr>
              <w:spacing w:after="0"/>
              <w:rPr>
                <w:sz w:val="14"/>
                <w:szCs w:val="14"/>
                <w:color w:val="auto"/>
              </w:rPr>
            </w:pPr>
          </w:p>
        </w:tc>
        <w:tc>
          <w:tcPr>
            <w:tcW w:w="3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080" w:type="dxa"/>
            <w:vAlign w:val="bottom"/>
          </w:tcPr>
          <w:p>
            <w:pPr>
              <w:spacing w:after="0"/>
              <w:rPr>
                <w:sz w:val="7"/>
                <w:szCs w:val="7"/>
                <w:color w:val="auto"/>
              </w:rPr>
            </w:pPr>
          </w:p>
        </w:tc>
        <w:tc>
          <w:tcPr>
            <w:tcW w:w="2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/s/</w:t>
            </w:r>
          </w:p>
        </w:tc>
        <w:tc>
          <w:tcPr>
            <w:tcW w:w="3080" w:type="dxa"/>
            <w:vAlign w:val="bottom"/>
            <w:tcBorders>
              <w:bottom w:val="single" w:sz="8" w:color="auto"/>
            </w:tcBorders>
          </w:tcPr>
          <w:p>
            <w:pPr>
              <w:jc w:val="center"/>
              <w:ind w:right="1632"/>
              <w:spacing w:after="0"/>
              <w:rPr>
                <w:sz w:val="20"/>
                <w:szCs w:val="20"/>
                <w:color w:val="auto"/>
              </w:rPr>
            </w:pPr>
            <w:r>
              <w:rPr>
                <w:rFonts w:ascii="Times New Roman" w:cs="Times New Roman" w:eastAsia="Times New Roman" w:hAnsi="Times New Roman"/>
                <w:sz w:val="18"/>
                <w:szCs w:val="18"/>
                <w:color w:val="auto"/>
              </w:rPr>
              <w:t>Patrice Bonfiglio</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Patrice Bonfiglio</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3080" w:type="dxa"/>
            <w:vAlign w:val="bottom"/>
            <w:tcBorders>
              <w:bottom w:val="single" w:sz="8" w:color="auto"/>
            </w:tcBorders>
          </w:tcPr>
          <w:p>
            <w:pPr>
              <w:jc w:val="center"/>
              <w:ind w:right="1632"/>
              <w:spacing w:after="0"/>
              <w:rPr>
                <w:sz w:val="20"/>
                <w:szCs w:val="20"/>
                <w:color w:val="auto"/>
              </w:rPr>
            </w:pPr>
            <w:r>
              <w:rPr>
                <w:rFonts w:ascii="Times New Roman" w:cs="Times New Roman" w:eastAsia="Times New Roman" w:hAnsi="Times New Roman"/>
                <w:sz w:val="18"/>
                <w:szCs w:val="18"/>
                <w:color w:val="auto"/>
              </w:rPr>
              <w:t>Paul Cohen, M.D.</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Paul Cohen, M.D.</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w w:val="93"/>
              </w:rPr>
              <w:t>/s/</w:t>
            </w:r>
          </w:p>
        </w:tc>
        <w:tc>
          <w:tcPr>
            <w:tcW w:w="3080" w:type="dxa"/>
            <w:vAlign w:val="bottom"/>
            <w:tcBorders>
              <w:bottom w:val="single" w:sz="8" w:color="auto"/>
            </w:tcBorders>
          </w:tcPr>
          <w:p>
            <w:pPr>
              <w:jc w:val="center"/>
              <w:ind w:right="1632"/>
              <w:spacing w:after="0"/>
              <w:rPr>
                <w:sz w:val="20"/>
                <w:szCs w:val="20"/>
                <w:color w:val="auto"/>
              </w:rPr>
            </w:pPr>
            <w:r>
              <w:rPr>
                <w:rFonts w:ascii="Times New Roman" w:cs="Times New Roman" w:eastAsia="Times New Roman" w:hAnsi="Times New Roman"/>
                <w:sz w:val="18"/>
                <w:szCs w:val="18"/>
                <w:color w:val="auto"/>
              </w:rPr>
              <w:t>Mark DiPaolo</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80" w:type="dxa"/>
            <w:vAlign w:val="bottom"/>
          </w:tcPr>
          <w:p>
            <w:pPr>
              <w:jc w:val="center"/>
              <w:ind w:right="1972"/>
              <w:spacing w:after="0"/>
              <w:rPr>
                <w:sz w:val="20"/>
                <w:szCs w:val="20"/>
                <w:color w:val="auto"/>
              </w:rPr>
            </w:pPr>
            <w:r>
              <w:rPr>
                <w:rFonts w:ascii="Times New Roman" w:cs="Times New Roman" w:eastAsia="Times New Roman" w:hAnsi="Times New Roman"/>
                <w:sz w:val="18"/>
                <w:szCs w:val="18"/>
                <w:color w:val="auto"/>
                <w:w w:val="99"/>
              </w:rPr>
              <w:t>Mark DiPaolo</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w w:val="93"/>
              </w:rPr>
              <w:t>/s/</w:t>
            </w:r>
          </w:p>
        </w:tc>
        <w:tc>
          <w:tcPr>
            <w:tcW w:w="3080" w:type="dxa"/>
            <w:vAlign w:val="bottom"/>
            <w:tcBorders>
              <w:bottom w:val="single" w:sz="8" w:color="auto"/>
            </w:tcBorders>
          </w:tcPr>
          <w:p>
            <w:pPr>
              <w:jc w:val="center"/>
              <w:ind w:right="1632"/>
              <w:spacing w:after="0"/>
              <w:rPr>
                <w:sz w:val="20"/>
                <w:szCs w:val="20"/>
                <w:color w:val="auto"/>
              </w:rPr>
            </w:pPr>
            <w:r>
              <w:rPr>
                <w:rFonts w:ascii="Times New Roman" w:cs="Times New Roman" w:eastAsia="Times New Roman" w:hAnsi="Times New Roman"/>
                <w:sz w:val="18"/>
                <w:szCs w:val="18"/>
                <w:color w:val="auto"/>
                <w:w w:val="98"/>
              </w:rPr>
              <w:t>Keith L. Horn</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80" w:type="dxa"/>
            <w:vAlign w:val="bottom"/>
          </w:tcPr>
          <w:p>
            <w:pPr>
              <w:jc w:val="center"/>
              <w:ind w:right="1972"/>
              <w:spacing w:after="0"/>
              <w:rPr>
                <w:sz w:val="20"/>
                <w:szCs w:val="20"/>
                <w:color w:val="auto"/>
              </w:rPr>
            </w:pPr>
            <w:r>
              <w:rPr>
                <w:rFonts w:ascii="Times New Roman" w:cs="Times New Roman" w:eastAsia="Times New Roman" w:hAnsi="Times New Roman"/>
                <w:sz w:val="18"/>
                <w:szCs w:val="18"/>
                <w:color w:val="auto"/>
              </w:rPr>
              <w:t>Keith L. Horn</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Odysseas Kostas, M.D.</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Odysseas Kostas, M.D.</w:t>
            </w:r>
          </w:p>
        </w:tc>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3080" w:type="dxa"/>
            <w:vAlign w:val="bottom"/>
            <w:tcBorders>
              <w:bottom w:val="single" w:sz="8" w:color="auto"/>
            </w:tcBorders>
          </w:tcPr>
          <w:p>
            <w:pPr>
              <w:jc w:val="center"/>
              <w:ind w:right="1632"/>
              <w:spacing w:after="0"/>
              <w:rPr>
                <w:sz w:val="20"/>
                <w:szCs w:val="20"/>
                <w:color w:val="auto"/>
              </w:rPr>
            </w:pPr>
            <w:r>
              <w:rPr>
                <w:rFonts w:ascii="Times New Roman" w:cs="Times New Roman" w:eastAsia="Times New Roman" w:hAnsi="Times New Roman"/>
                <w:sz w:val="18"/>
                <w:szCs w:val="18"/>
                <w:color w:val="auto"/>
                <w:w w:val="98"/>
              </w:rPr>
              <w:t>Louis Sterling III.</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Louis Sterling III.</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w:t>
            </w:r>
          </w:p>
        </w:tc>
        <w:tc>
          <w:tcPr>
            <w:tcW w:w="3080" w:type="dxa"/>
            <w:vAlign w:val="bottom"/>
            <w:tcBorders>
              <w:bottom w:val="single" w:sz="8" w:color="auto"/>
            </w:tcBorders>
          </w:tcPr>
          <w:p>
            <w:pPr>
              <w:jc w:val="center"/>
              <w:ind w:right="1632"/>
              <w:spacing w:after="0"/>
              <w:rPr>
                <w:sz w:val="20"/>
                <w:szCs w:val="20"/>
                <w:color w:val="auto"/>
              </w:rPr>
            </w:pPr>
            <w:r>
              <w:rPr>
                <w:rFonts w:ascii="Times New Roman" w:cs="Times New Roman" w:eastAsia="Times New Roman" w:hAnsi="Times New Roman"/>
                <w:sz w:val="18"/>
                <w:szCs w:val="18"/>
                <w:color w:val="auto"/>
              </w:rPr>
              <w:t>Diane E. Sullivan</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Diane E. Sullivan</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/s/</w:t>
            </w:r>
          </w:p>
        </w:tc>
        <w:tc>
          <w:tcPr>
            <w:tcW w:w="3080" w:type="dxa"/>
            <w:vAlign w:val="bottom"/>
            <w:tcBorders>
              <w:bottom w:val="single" w:sz="8" w:color="auto"/>
            </w:tcBorders>
          </w:tcPr>
          <w:p>
            <w:pPr>
              <w:jc w:val="center"/>
              <w:ind w:right="1632"/>
              <w:spacing w:after="0"/>
              <w:rPr>
                <w:sz w:val="20"/>
                <w:szCs w:val="20"/>
                <w:color w:val="auto"/>
              </w:rPr>
            </w:pPr>
            <w:r>
              <w:rPr>
                <w:rFonts w:ascii="Times New Roman" w:cs="Times New Roman" w:eastAsia="Times New Roman" w:hAnsi="Times New Roman"/>
                <w:sz w:val="18"/>
                <w:szCs w:val="18"/>
                <w:color w:val="auto"/>
                <w:w w:val="99"/>
              </w:rPr>
              <w:t>Oliver O'Connor</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Oliver O'Connor</w:t>
            </w:r>
          </w:p>
        </w:tc>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960" w:type="dxa"/>
            <w:vAlign w:val="bottom"/>
            <w:gridSpan w:val="2"/>
          </w:tcPr>
          <w:p>
            <w:pPr>
              <w:jc w:val="right"/>
              <w:ind w:right="3311"/>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01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42)</w:t>
            </w:r>
          </w:p>
        </w:tc>
        <w:tc>
          <w:tcPr>
            <w:tcW w:w="11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100" w:type="dxa"/>
            <w:vAlign w:val="bottom"/>
            <w:gridSpan w:val="8"/>
            <w:vMerge w:val="continue"/>
          </w:tcPr>
          <w:p>
            <w:pPr>
              <w:spacing w:after="0"/>
              <w:rPr>
                <w:sz w:val="14"/>
                <w:szCs w:val="14"/>
                <w:color w:val="auto"/>
              </w:rPr>
            </w:pPr>
          </w:p>
        </w:tc>
        <w:tc>
          <w:tcPr>
            <w:tcW w:w="1120" w:type="dxa"/>
            <w:vAlign w:val="bottom"/>
          </w:tcPr>
          <w:p>
            <w:pPr>
              <w:ind w:left="86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1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1120" w:type="dxa"/>
            <w:vAlign w:val="bottom"/>
          </w:tcPr>
          <w:p>
            <w:pPr>
              <w:ind w:left="860"/>
              <w:spacing w:after="0" w:line="194"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1120" w:type="dxa"/>
            <w:vAlign w:val="bottom"/>
          </w:tcPr>
          <w:p>
            <w:pPr>
              <w:ind w:left="86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1120" w:type="dxa"/>
            <w:vAlign w:val="bottom"/>
          </w:tcPr>
          <w:p>
            <w:pPr>
              <w:ind w:left="86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120" w:type="dxa"/>
            <w:vAlign w:val="bottom"/>
          </w:tcPr>
          <w:p>
            <w:pPr>
              <w:ind w:left="86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20" w:type="dxa"/>
            <w:vAlign w:val="bottom"/>
          </w:tcPr>
          <w:p>
            <w:pPr>
              <w:ind w:left="860"/>
              <w:spacing w:after="0" w:line="19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Statement Schedules:</w:t>
      </w:r>
    </w:p>
    <w:p>
      <w:pPr>
        <w:spacing w:after="0" w:line="21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Amarin Corporation plc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Amarin Corporation plc (the Company) as of December 31, 2024 and 2023, the related consolidated statements of operations,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12, 2025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U.S. Product Return Reserve Estimate</w:t>
            </w:r>
          </w:p>
        </w:tc>
      </w:tr>
      <w:tr>
        <w:trPr>
          <w:trHeight w:val="41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2024, the Company recorded a liability for product returns relating to U.S. product revenue totaling $4.7</w:t>
            </w:r>
          </w:p>
        </w:tc>
      </w:tr>
      <w:tr>
        <w:trPr>
          <w:trHeight w:val="218"/>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million. As discussed in Note 12 of the financial statements, the Company sells its product to distributors in the U.S. that in</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turn resell the product to retail pharmacies for subsequent sale to patients and healthcare providers. The Company estimates</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variable consideration resulting from product returns based on quantitative and qualitative data from various internal and</w:t>
            </w:r>
          </w:p>
        </w:tc>
      </w:t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external sources.</w:t>
            </w:r>
          </w:p>
        </w:tc>
      </w:tr>
      <w:tr>
        <w:trPr>
          <w:trHeight w:val="414"/>
        </w:trPr>
        <w:tc>
          <w:tcPr>
            <w:tcW w:w="168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Auditing management’s estimate of U.S. product returns was complex and judgmental due to the significant estimation</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required to determine inventory in the distribution channel that will not ultimately be sold to patients and healthcare providers</w:t>
            </w:r>
          </w:p>
        </w:tc>
      </w:t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will be returned. Sales into the distribution channel could exceed market demand.</w:t>
            </w:r>
          </w:p>
        </w:tc>
      </w:tr>
      <w:tr>
        <w:trPr>
          <w:trHeight w:val="648"/>
        </w:trPr>
        <w:tc>
          <w:tcPr>
            <w:tcW w:w="1680" w:type="dxa"/>
            <w:vAlign w:val="bottom"/>
          </w:tcPr>
          <w:p>
            <w:pPr>
              <w:spacing w:after="0"/>
              <w:rPr>
                <w:sz w:val="24"/>
                <w:szCs w:val="24"/>
                <w:color w:val="auto"/>
              </w:rPr>
            </w:pPr>
          </w:p>
        </w:tc>
        <w:tc>
          <w:tcPr>
            <w:tcW w:w="956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F-2</w:t>
            </w:r>
          </w:p>
        </w:tc>
      </w:tr>
      <w:tr>
        <w:trPr>
          <w:trHeight w:val="763"/>
        </w:trPr>
        <w:tc>
          <w:tcPr>
            <w:tcW w:w="168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6" w:name="page97"/>
    <w:bookmarkEnd w:id="96"/>
    <w:p>
      <w:pPr>
        <w:ind w:left="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the controls over the Company’s</w:t>
      </w:r>
    </w:p>
    <w:p>
      <w:pPr>
        <w:spacing w:after="0" w:line="29" w:lineRule="exact"/>
        <w:rPr>
          <w:sz w:val="20"/>
          <w:szCs w:val="20"/>
          <w:color w:val="auto"/>
        </w:rPr>
      </w:pPr>
    </w:p>
    <w:p>
      <w:pPr>
        <w:ind w:left="2040" w:right="340" w:hanging="2024"/>
        <w:spacing w:after="0" w:line="255" w:lineRule="auto"/>
        <w:tabs>
          <w:tab w:leader="none" w:pos="202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estimation process for product returns including inventory in the distribution channel. These procedures included controls over management’s review of the inputs used and assumptions applied in the returns reserve calculation and channel inventory analysis.</w:t>
      </w:r>
    </w:p>
    <w:p>
      <w:pPr>
        <w:spacing w:after="0" w:line="186" w:lineRule="exact"/>
        <w:rPr>
          <w:sz w:val="20"/>
          <w:szCs w:val="20"/>
          <w:color w:val="auto"/>
        </w:rPr>
      </w:pPr>
    </w:p>
    <w:p>
      <w:pPr>
        <w:ind w:left="2040"/>
        <w:spacing w:after="0" w:line="254" w:lineRule="auto"/>
        <w:rPr>
          <w:sz w:val="20"/>
          <w:szCs w:val="20"/>
          <w:color w:val="auto"/>
        </w:rPr>
      </w:pPr>
      <w:r>
        <w:rPr>
          <w:rFonts w:ascii="Times New Roman" w:cs="Times New Roman" w:eastAsia="Times New Roman" w:hAnsi="Times New Roman"/>
          <w:sz w:val="18"/>
          <w:szCs w:val="18"/>
          <w:color w:val="auto"/>
        </w:rPr>
        <w:t>To test the estimated U.S. product return reserve, we performed audit procedures that included, among others, testing management’s historical return rate calculation and testing the completeness and accuracy of sales and returns data used in the calculation. We also compared product expiration dates in the calculation to the related supporting documentation. We tested the Company's provision and credit activity for the current year and performed analytical procedures to assess the correlation of monthly sales to distributors and monthly patient prescriptions. In addition, we assessed the Company’s quarterly analysis of inventory held in the distribution channel. We confirmed prescription data directly with a third party and tested credit memos issued subsequent to year-end for recording in the proper period. We read significant customer contracts and performed direct inquiries with management to identify any terms or conditions not included in customer contracts that could impact the estimate of U.S. product returns.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10" w:right="439" w:bottom="1440" w:gutter="0" w:footer="0" w:header="0"/>
        </w:sectPr>
      </w:pPr>
    </w:p>
    <w:bookmarkStart w:id="97" w:name="page98"/>
    <w:bookmarkEnd w:id="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121,038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199,252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173,182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258,616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595,399</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inventory</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100" w:type="dxa"/>
            <w:vAlign w:val="bottom"/>
          </w:tcPr>
          <w:p>
            <w:pPr>
              <w:spacing w:after="0"/>
              <w:rPr>
                <w:sz w:val="18"/>
                <w:szCs w:val="18"/>
                <w:color w:val="auto"/>
              </w:rPr>
            </w:pPr>
          </w:p>
        </w:tc>
      </w:tr>
      <w:tr>
        <w:trPr>
          <w:trHeight w:val="249"/>
        </w:trPr>
        <w:tc>
          <w:tcPr>
            <w:tcW w:w="77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685,349</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40,366</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139,583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204,174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deferred revenue</w:t>
            </w:r>
          </w:p>
        </w:tc>
        <w:tc>
          <w:tcPr>
            <w:tcW w:w="3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179,949</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199,173</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279,587</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60" w:type="dxa"/>
            <w:vAlign w:val="bottom"/>
            <w:shd w:val="clear" w:color="auto" w:fill="CFF0FC"/>
          </w:tcPr>
          <w:p>
            <w:pPr>
              <w:ind w:left="380"/>
              <w:spacing w:after="0" w:line="198" w:lineRule="exact"/>
              <w:rPr>
                <w:sz w:val="20"/>
                <w:szCs w:val="20"/>
                <w:color w:val="auto"/>
              </w:rPr>
            </w:pPr>
            <w:r>
              <w:rPr>
                <w:rFonts w:ascii="Times New Roman" w:cs="Times New Roman" w:eastAsia="Times New Roman" w:hAnsi="Times New Roman"/>
                <w:sz w:val="18"/>
                <w:szCs w:val="18"/>
                <w:color w:val="auto"/>
              </w:rPr>
              <w:t>Common stock, £0.50 par, unlimited authorized; 422,256,900 shares issued, 411,584,851 shares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at December 31, 2024; 418,141,295 shares issued, 408,824,093 shares outstanding at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December 31, 2023</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305,298</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302,756</w:t>
            </w:r>
          </w:p>
        </w:tc>
        <w:tc>
          <w:tcPr>
            <w:tcW w:w="100" w:type="dxa"/>
            <w:vAlign w:val="bottom"/>
            <w:shd w:val="clear" w:color="auto" w:fill="CFF0FC"/>
          </w:tcPr>
          <w:p>
            <w:pPr>
              <w:spacing w:after="0"/>
              <w:rPr>
                <w:sz w:val="20"/>
                <w:szCs w:val="20"/>
                <w:color w:val="auto"/>
              </w:rPr>
            </w:pP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1,914,750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1,899,456</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10,672,049 shares at December 31, 2024; 9,317,202 shares at December 31, 2023</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(65,326 )</w:t>
            </w: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(63,752 )</w:t>
            </w:r>
          </w:p>
        </w:tc>
      </w:tr>
      <w:tr>
        <w:trPr>
          <w:trHeight w:val="21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(1,668,546 )</w:t>
            </w: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(1,586,363 )</w:t>
            </w:r>
          </w:p>
        </w:tc>
      </w:tr>
      <w:tr>
        <w:trPr>
          <w:trHeight w:val="209"/>
        </w:trPr>
        <w:tc>
          <w:tcPr>
            <w:tcW w:w="77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486,176</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685,349</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831,684</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-3822700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-2982595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-2125345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-1567815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8" w:name="page99"/>
    <w:bookmarkEnd w:id="98"/>
    <w:p>
      <w:pPr>
        <w:ind w:left="43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118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118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204,590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285,299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366,511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1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18"/>
                <w:szCs w:val="18"/>
                <w:color w:val="auto"/>
              </w:rPr>
            </w:pPr>
          </w:p>
        </w:tc>
      </w:tr>
      <w:tr>
        <w:trPr>
          <w:trHeight w:val="209"/>
        </w:trPr>
        <w:tc>
          <w:tcPr>
            <w:tcW w:w="4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 net</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228,614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306,911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369,193</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 of goods sold</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108,631</w:t>
            </w:r>
          </w:p>
        </w:tc>
        <w:tc>
          <w:tcPr>
            <w:tcW w:w="10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Cost of goods sold - restructuring inventory</w:t>
            </w:r>
          </w:p>
        </w:tc>
        <w:tc>
          <w:tcPr>
            <w:tcW w:w="1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36,474</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165,541</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242,484</w:t>
            </w:r>
          </w:p>
        </w:tc>
        <w:tc>
          <w:tcPr>
            <w:tcW w:w="100" w:type="dxa"/>
            <w:vAlign w:val="bottom"/>
          </w:tcPr>
          <w:p>
            <w:pPr>
              <w:spacing w:after="0"/>
              <w:rPr>
                <w:sz w:val="18"/>
                <w:szCs w:val="18"/>
                <w:color w:val="auto"/>
              </w:rPr>
            </w:pPr>
          </w:p>
        </w:tc>
      </w:tr>
      <w:tr>
        <w:trPr>
          <w:trHeight w:val="21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304,416</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1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18"/>
                <w:szCs w:val="18"/>
                <w:color w:val="auto"/>
              </w:rPr>
            </w:pPr>
          </w:p>
        </w:tc>
      </w:tr>
      <w:tr>
        <w:trPr>
          <w:trHeight w:val="210"/>
        </w:trPr>
        <w:tc>
          <w:tcPr>
            <w:tcW w:w="49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173,179</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233,129</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(91,797 )</w:t>
            </w:r>
          </w:p>
        </w:tc>
        <w:tc>
          <w:tcPr>
            <w:tcW w:w="12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(67,588 )</w:t>
            </w:r>
          </w:p>
        </w:tc>
        <w:tc>
          <w:tcPr>
            <w:tcW w:w="4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(105,869 )</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(8 )</w:t>
            </w:r>
          </w:p>
        </w:tc>
        <w:tc>
          <w:tcPr>
            <w:tcW w:w="4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(740 )</w:t>
            </w:r>
          </w:p>
        </w:tc>
      </w:tr>
      <w:tr>
        <w:trPr>
          <w:trHeight w:val="20"/>
        </w:trPr>
        <w:tc>
          <w:tcPr>
            <w:tcW w:w="49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(77,200 )</w:t>
            </w:r>
          </w:p>
        </w:tc>
        <w:tc>
          <w:tcPr>
            <w:tcW w:w="12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(53,670 )</w:t>
            </w:r>
          </w:p>
        </w:tc>
        <w:tc>
          <w:tcPr>
            <w:tcW w:w="4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(103,805 )</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(4,983 )</w:t>
            </w:r>
          </w:p>
        </w:tc>
        <w:tc>
          <w:tcPr>
            <w:tcW w:w="1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(5,442 )</w:t>
            </w:r>
          </w:p>
        </w:tc>
        <w:tc>
          <w:tcPr>
            <w:tcW w:w="4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(1,998 )</w:t>
            </w:r>
          </w:p>
        </w:tc>
      </w:tr>
      <w:tr>
        <w:trPr>
          <w:trHeight w:val="20"/>
        </w:trPr>
        <w:tc>
          <w:tcPr>
            <w:tcW w:w="49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(82,183 )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(59,112 )</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(105,803 )</w:t>
            </w:r>
          </w:p>
        </w:tc>
      </w:tr>
      <w:tr>
        <w:trPr>
          <w:trHeight w:val="20"/>
        </w:trPr>
        <w:tc>
          <w:tcPr>
            <w:tcW w:w="49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(0.15 )</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(0.26 )</w:t>
            </w:r>
          </w:p>
        </w:tc>
      </w:tr>
      <w:tr>
        <w:trPr>
          <w:trHeight w:val="256"/>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(0.15 )</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(0.26 )</w:t>
            </w:r>
          </w:p>
        </w:tc>
      </w:tr>
      <w:tr>
        <w:trPr>
          <w:trHeight w:val="197"/>
        </w:trPr>
        <w:tc>
          <w:tcPr>
            <w:tcW w:w="49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410,937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407,655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100" w:type="dxa"/>
            <w:vAlign w:val="bottom"/>
            <w:shd w:val="clear" w:color="auto" w:fill="CFF0FC"/>
          </w:tcPr>
          <w:p>
            <w:pPr>
              <w:spacing w:after="0"/>
              <w:rPr>
                <w:sz w:val="18"/>
                <w:szCs w:val="18"/>
                <w:color w:val="auto"/>
              </w:rPr>
            </w:pPr>
          </w:p>
        </w:tc>
      </w:tr>
      <w:tr>
        <w:trPr>
          <w:trHeight w:val="234"/>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410,937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407,655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-2719705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-2719705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-2719705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-1871345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-1871345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-1871345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-1313815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-1313815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-1313815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-1031240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-1031240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-1031240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-448310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-431165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-448310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-431165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9" w:name="page100"/>
    <w:bookmarkEnd w:id="99"/>
    <w:p>
      <w:pPr>
        <w:ind w:left="43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360" w:type="dxa"/>
            <w:vAlign w:val="bottom"/>
          </w:tcPr>
          <w:p>
            <w:pPr>
              <w:spacing w:after="0"/>
              <w:rPr>
                <w:sz w:val="11"/>
                <w:szCs w:val="11"/>
                <w:color w:val="auto"/>
              </w:rPr>
            </w:pPr>
          </w:p>
        </w:tc>
        <w:tc>
          <w:tcPr>
            <w:tcW w:w="10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1"/>
                <w:szCs w:val="11"/>
                <w:color w:val="auto"/>
              </w:rPr>
            </w:pPr>
          </w:p>
        </w:tc>
        <w:tc>
          <w:tcPr>
            <w:tcW w:w="76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1"/>
                <w:szCs w:val="11"/>
                <w:color w:val="auto"/>
              </w:rPr>
            </w:pPr>
          </w:p>
        </w:tc>
        <w:tc>
          <w:tcPr>
            <w:tcW w:w="96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3360" w:type="dxa"/>
            <w:vAlign w:val="bottom"/>
          </w:tcPr>
          <w:p>
            <w:pPr>
              <w:spacing w:after="0"/>
              <w:rPr>
                <w:sz w:val="13"/>
                <w:szCs w:val="13"/>
                <w:color w:val="auto"/>
              </w:rPr>
            </w:pPr>
          </w:p>
        </w:tc>
        <w:tc>
          <w:tcPr>
            <w:tcW w:w="10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68"/>
        </w:trPr>
        <w:tc>
          <w:tcPr>
            <w:tcW w:w="33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December 31, 2022</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412,333,087</w:t>
            </w:r>
          </w:p>
        </w:tc>
        <w:tc>
          <w:tcPr>
            <w:tcW w:w="1420" w:type="dxa"/>
            <w:vAlign w:val="bottom"/>
            <w:gridSpan w:val="4"/>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(7,986,831 )</w:t>
            </w: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299,002</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1,885,352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(61,770 )</w:t>
            </w: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(1,527,251 )</w:t>
            </w:r>
          </w:p>
        </w:tc>
        <w:tc>
          <w:tcPr>
            <w:tcW w:w="2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595,333</w:t>
            </w:r>
          </w:p>
        </w:tc>
        <w:tc>
          <w:tcPr>
            <w:tcW w:w="100" w:type="dxa"/>
            <w:vAlign w:val="bottom"/>
            <w:shd w:val="clear" w:color="auto" w:fill="CFF0FC"/>
          </w:tcPr>
          <w:p>
            <w:pPr>
              <w:spacing w:after="0"/>
              <w:rPr>
                <w:sz w:val="14"/>
                <w:szCs w:val="14"/>
                <w:color w:val="auto"/>
              </w:rPr>
            </w:pPr>
          </w:p>
        </w:tc>
      </w:tr>
      <w:tr>
        <w:trPr>
          <w:trHeight w:val="97"/>
        </w:trPr>
        <w:tc>
          <w:tcPr>
            <w:tcW w:w="3360" w:type="dxa"/>
            <w:vAlign w:val="bottom"/>
            <w:tcBorders>
              <w:top w:val="single" w:sz="8" w:color="CFF0FC"/>
            </w:tcBorders>
          </w:tcPr>
          <w:p>
            <w:pPr>
              <w:ind w:left="20"/>
              <w:spacing w:after="0" w:line="98" w:lineRule="exact"/>
              <w:rPr>
                <w:sz w:val="20"/>
                <w:szCs w:val="20"/>
                <w:color w:val="auto"/>
              </w:rPr>
            </w:pPr>
            <w:r>
              <w:rPr>
                <w:rFonts w:ascii="Times New Roman" w:cs="Times New Roman" w:eastAsia="Times New Roman" w:hAnsi="Times New Roman"/>
                <w:sz w:val="10"/>
                <w:szCs w:val="10"/>
                <w:color w:val="auto"/>
              </w:rPr>
              <w:t>Issuance of common stock under employee stock purchase</w:t>
            </w:r>
          </w:p>
        </w:tc>
        <w:tc>
          <w:tcPr>
            <w:tcW w:w="10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53"/>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319,610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Pr>
          <w:p>
            <w:pPr>
              <w:spacing w:after="0"/>
              <w:rPr>
                <w:sz w:val="13"/>
                <w:szCs w:val="13"/>
                <w:color w:val="auto"/>
              </w:rPr>
            </w:pPr>
          </w:p>
        </w:tc>
      </w:tr>
      <w:tr>
        <w:trPr>
          <w:trHeight w:val="135"/>
        </w:trPr>
        <w:tc>
          <w:tcPr>
            <w:tcW w:w="33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1,239,763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1,882</w:t>
            </w:r>
          </w:p>
        </w:tc>
        <w:tc>
          <w:tcPr>
            <w:tcW w:w="100" w:type="dxa"/>
            <w:vAlign w:val="bottom"/>
            <w:shd w:val="clear" w:color="auto" w:fill="CFF0FC"/>
          </w:tcPr>
          <w:p>
            <w:pPr>
              <w:spacing w:after="0"/>
              <w:rPr>
                <w:sz w:val="11"/>
                <w:szCs w:val="1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4,248,835</w:t>
            </w:r>
          </w:p>
        </w:tc>
        <w:tc>
          <w:tcPr>
            <w:tcW w:w="1420" w:type="dxa"/>
            <w:vAlign w:val="bottom"/>
            <w:gridSpan w:val="4"/>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(1,330,371 )</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(2,804 )</w:t>
            </w:r>
          </w:p>
        </w:tc>
        <w:tc>
          <w:tcPr>
            <w:tcW w:w="14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(1,982 )</w:t>
            </w:r>
          </w:p>
        </w:tc>
        <w:tc>
          <w:tcPr>
            <w:tcW w:w="8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(1,982 )</w:t>
            </w:r>
          </w:p>
        </w:tc>
      </w:tr>
      <w:tr>
        <w:trPr>
          <w:trHeight w:val="135"/>
        </w:trPr>
        <w:tc>
          <w:tcPr>
            <w:tcW w:w="33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15,646</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15,646</w:t>
            </w:r>
          </w:p>
        </w:tc>
        <w:tc>
          <w:tcPr>
            <w:tcW w:w="100" w:type="dxa"/>
            <w:vAlign w:val="bottom"/>
            <w:shd w:val="clear" w:color="auto" w:fill="CFF0FC"/>
          </w:tcPr>
          <w:p>
            <w:pPr>
              <w:spacing w:after="0"/>
              <w:rPr>
                <w:sz w:val="11"/>
                <w:szCs w:val="1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Loss for the period</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(59,112 )</w:t>
            </w:r>
          </w:p>
        </w:tc>
        <w:tc>
          <w:tcPr>
            <w:tcW w:w="20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(59,112 )</w:t>
            </w:r>
          </w:p>
        </w:tc>
      </w:tr>
      <w:tr>
        <w:trPr>
          <w:trHeight w:val="20"/>
        </w:trPr>
        <w:tc>
          <w:tcPr>
            <w:tcW w:w="3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33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418,141,295</w:t>
            </w:r>
          </w:p>
        </w:tc>
        <w:tc>
          <w:tcPr>
            <w:tcW w:w="240" w:type="dxa"/>
            <w:vAlign w:val="bottom"/>
            <w:gridSpan w:val="2"/>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(9,317,202 )</w:t>
            </w: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302,756</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1,899,456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(63,752 )</w:t>
            </w: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(1,586,363 )</w:t>
            </w:r>
          </w:p>
        </w:tc>
        <w:tc>
          <w:tcPr>
            <w:tcW w:w="2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552,097</w:t>
            </w:r>
          </w:p>
        </w:tc>
        <w:tc>
          <w:tcPr>
            <w:tcW w:w="100" w:type="dxa"/>
            <w:vAlign w:val="bottom"/>
            <w:shd w:val="clear" w:color="auto" w:fill="CFF0FC"/>
          </w:tcPr>
          <w:p>
            <w:pPr>
              <w:spacing w:after="0"/>
              <w:rPr>
                <w:sz w:val="14"/>
                <w:szCs w:val="14"/>
                <w:color w:val="auto"/>
              </w:rPr>
            </w:pPr>
          </w:p>
        </w:tc>
      </w:tr>
      <w:tr>
        <w:trPr>
          <w:trHeight w:val="97"/>
        </w:trPr>
        <w:tc>
          <w:tcPr>
            <w:tcW w:w="3360" w:type="dxa"/>
            <w:vAlign w:val="bottom"/>
            <w:tcBorders>
              <w:top w:val="single" w:sz="8" w:color="CFF0FC"/>
            </w:tcBorders>
          </w:tcPr>
          <w:p>
            <w:pPr>
              <w:ind w:left="20"/>
              <w:spacing w:after="0" w:line="98" w:lineRule="exact"/>
              <w:rPr>
                <w:sz w:val="20"/>
                <w:szCs w:val="20"/>
                <w:color w:val="auto"/>
              </w:rPr>
            </w:pPr>
            <w:r>
              <w:rPr>
                <w:rFonts w:ascii="Times New Roman" w:cs="Times New Roman" w:eastAsia="Times New Roman" w:hAnsi="Times New Roman"/>
                <w:sz w:val="10"/>
                <w:szCs w:val="10"/>
                <w:color w:val="auto"/>
              </w:rPr>
              <w:t>Issuance of common stock under employee stock purchase</w:t>
            </w:r>
          </w:p>
        </w:tc>
        <w:tc>
          <w:tcPr>
            <w:tcW w:w="10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53"/>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256,748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3"/>
                <w:szCs w:val="13"/>
                <w:color w:val="auto"/>
              </w:rPr>
            </w:pPr>
          </w:p>
        </w:tc>
      </w:tr>
      <w:tr>
        <w:trPr>
          <w:trHeight w:val="135"/>
        </w:trPr>
        <w:tc>
          <w:tcPr>
            <w:tcW w:w="33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9,500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1"/>
                <w:szCs w:val="1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3,849,357</w:t>
            </w:r>
          </w:p>
        </w:tc>
        <w:tc>
          <w:tcPr>
            <w:tcW w:w="1420" w:type="dxa"/>
            <w:vAlign w:val="bottom"/>
            <w:gridSpan w:val="4"/>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(1,354,847 )</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2,447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(2,447 )</w:t>
            </w:r>
          </w:p>
        </w:tc>
        <w:tc>
          <w:tcPr>
            <w:tcW w:w="14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(1,574 )</w:t>
            </w:r>
          </w:p>
        </w:tc>
        <w:tc>
          <w:tcPr>
            <w:tcW w:w="8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(1,574 )</w:t>
            </w:r>
          </w:p>
        </w:tc>
      </w:tr>
      <w:tr>
        <w:trPr>
          <w:trHeight w:val="135"/>
        </w:trPr>
        <w:tc>
          <w:tcPr>
            <w:tcW w:w="33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17,705</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17,705</w:t>
            </w:r>
          </w:p>
        </w:tc>
        <w:tc>
          <w:tcPr>
            <w:tcW w:w="100" w:type="dxa"/>
            <w:vAlign w:val="bottom"/>
            <w:shd w:val="clear" w:color="auto" w:fill="CFF0FC"/>
          </w:tcPr>
          <w:p>
            <w:pPr>
              <w:spacing w:after="0"/>
              <w:rPr>
                <w:sz w:val="11"/>
                <w:szCs w:val="1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Loss for the period</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(82,183 )</w:t>
            </w:r>
          </w:p>
        </w:tc>
        <w:tc>
          <w:tcPr>
            <w:tcW w:w="20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(82,183 )</w:t>
            </w:r>
          </w:p>
        </w:tc>
      </w:tr>
      <w:tr>
        <w:trPr>
          <w:trHeight w:val="20"/>
        </w:trPr>
        <w:tc>
          <w:tcPr>
            <w:tcW w:w="3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33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422,256,900</w:t>
            </w:r>
          </w:p>
        </w:tc>
        <w:tc>
          <w:tcPr>
            <w:tcW w:w="120" w:type="dxa"/>
            <w:vAlign w:val="bottom"/>
            <w:shd w:val="clear" w:color="auto" w:fill="CFF0FC"/>
          </w:tcPr>
          <w:p>
            <w:pPr>
              <w:spacing w:after="0"/>
              <w:rPr>
                <w:sz w:val="12"/>
                <w:szCs w:val="12"/>
                <w:color w:val="auto"/>
              </w:rPr>
            </w:pPr>
          </w:p>
        </w:tc>
        <w:tc>
          <w:tcPr>
            <w:tcW w:w="1300" w:type="dxa"/>
            <w:vAlign w:val="bottom"/>
            <w:gridSpan w:val="3"/>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(10,672,049 )</w:t>
            </w: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305,298</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1,914,750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(65,326 )</w:t>
            </w: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(1,668,546 )</w:t>
            </w:r>
          </w:p>
        </w:tc>
        <w:tc>
          <w:tcPr>
            <w:tcW w:w="2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486,176</w:t>
            </w:r>
          </w:p>
        </w:tc>
        <w:tc>
          <w:tcPr>
            <w:tcW w:w="100" w:type="dxa"/>
            <w:vAlign w:val="bottom"/>
            <w:shd w:val="clear" w:color="auto" w:fill="CFF0FC"/>
          </w:tcPr>
          <w:p>
            <w:pPr>
              <w:spacing w:after="0"/>
              <w:rPr>
                <w:sz w:val="12"/>
                <w:szCs w:val="12"/>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-1293495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-1276985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-1293495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-1276985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-1293495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-1276985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-1293495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-1276985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-1293495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-1276985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-1293495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-1276985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-659765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-642620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-659765</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-642620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-659765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-642620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-659765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-642620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-659765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-642620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-659765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-642620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-25400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-25400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0" w:name="page101"/>
    <w:bookmarkEnd w:id="100"/>
    <w:p>
      <w:pPr>
        <w:ind w:left="43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6360" w:type="dxa"/>
            <w:vAlign w:val="bottom"/>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28"/>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28"/>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r>
      <w:tr>
        <w:trPr>
          <w:trHeight w:val="142"/>
        </w:trPr>
        <w:tc>
          <w:tcPr>
            <w:tcW w:w="63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(82,183 )</w:t>
            </w:r>
          </w:p>
        </w:tc>
        <w:tc>
          <w:tcPr>
            <w:tcW w:w="4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(59,112 )</w:t>
            </w: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(105,803 )</w:t>
            </w:r>
          </w:p>
        </w:tc>
      </w:tr>
      <w:tr>
        <w:trPr>
          <w:trHeight w:val="148"/>
        </w:trPr>
        <w:tc>
          <w:tcPr>
            <w:tcW w:w="6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2"/>
                <w:szCs w:val="12"/>
                <w:color w:val="auto"/>
              </w:rPr>
            </w:pPr>
          </w:p>
        </w:tc>
      </w:tr>
      <w:tr>
        <w:trPr>
          <w:trHeight w:val="148"/>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(Accretion) amortization of investments</w:t>
            </w:r>
          </w:p>
        </w:tc>
        <w:tc>
          <w:tcPr>
            <w:tcW w:w="8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(5,729 )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(3,696 )</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FF0FC"/>
          </w:tcPr>
          <w:p>
            <w:pPr>
              <w:spacing w:after="0"/>
              <w:rPr>
                <w:sz w:val="12"/>
                <w:szCs w:val="12"/>
                <w:color w:val="auto"/>
              </w:rPr>
            </w:pPr>
          </w:p>
        </w:tc>
      </w:tr>
      <w:tr>
        <w:trPr>
          <w:trHeight w:val="149"/>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26,213</w:t>
            </w:r>
          </w:p>
        </w:tc>
        <w:tc>
          <w:tcPr>
            <w:tcW w:w="100" w:type="dxa"/>
            <w:vAlign w:val="bottom"/>
          </w:tcPr>
          <w:p>
            <w:pPr>
              <w:spacing w:after="0"/>
              <w:rPr>
                <w:sz w:val="12"/>
                <w:szCs w:val="12"/>
                <w:color w:val="auto"/>
              </w:rPr>
            </w:pPr>
          </w:p>
        </w:tc>
      </w:tr>
      <w:tr>
        <w:trPr>
          <w:trHeight w:val="148"/>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w:t>
            </w:r>
          </w:p>
        </w:tc>
        <w:tc>
          <w:tcPr>
            <w:tcW w:w="8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2,915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w:t>
            </w:r>
          </w:p>
        </w:tc>
        <w:tc>
          <w:tcPr>
            <w:tcW w:w="100" w:type="dxa"/>
            <w:vAlign w:val="bottom"/>
            <w:shd w:val="clear" w:color="auto" w:fill="CFF0FC"/>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(2,573 )</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32,663</w:t>
            </w:r>
          </w:p>
        </w:tc>
        <w:tc>
          <w:tcPr>
            <w:tcW w:w="100" w:type="dxa"/>
            <w:vAlign w:val="bottom"/>
            <w:shd w:val="clear" w:color="auto" w:fill="CFF0FC"/>
          </w:tcPr>
          <w:p>
            <w:pPr>
              <w:spacing w:after="0"/>
              <w:rPr>
                <w:sz w:val="12"/>
                <w:szCs w:val="12"/>
                <w:color w:val="auto"/>
              </w:rPr>
            </w:pPr>
          </w:p>
        </w:tc>
      </w:tr>
      <w:tr>
        <w:trPr>
          <w:trHeight w:val="148"/>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8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105,443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(36,422 )</w:t>
            </w:r>
          </w:p>
        </w:tc>
      </w:tr>
      <w:tr>
        <w:trPr>
          <w:trHeight w:val="148"/>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8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(934 )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7,874</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100" w:type="dxa"/>
            <w:vAlign w:val="bottom"/>
            <w:shd w:val="clear" w:color="auto" w:fill="CFF0FC"/>
          </w:tcPr>
          <w:p>
            <w:pPr>
              <w:spacing w:after="0"/>
              <w:rPr>
                <w:sz w:val="12"/>
                <w:szCs w:val="12"/>
                <w:color w:val="auto"/>
              </w:rPr>
            </w:pPr>
          </w:p>
        </w:tc>
      </w:tr>
      <w:tr>
        <w:trPr>
          <w:trHeight w:val="149"/>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8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(278 )</w:t>
            </w:r>
          </w:p>
        </w:tc>
        <w:tc>
          <w:tcPr>
            <w:tcW w:w="320" w:type="dxa"/>
            <w:vAlign w:val="bottom"/>
          </w:tcPr>
          <w:p>
            <w:pPr>
              <w:spacing w:after="0"/>
              <w:rPr>
                <w:sz w:val="12"/>
                <w:szCs w:val="12"/>
                <w:color w:val="auto"/>
              </w:rPr>
            </w:pPr>
          </w:p>
        </w:tc>
        <w:tc>
          <w:tcPr>
            <w:tcW w:w="1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(2 )</w:t>
            </w:r>
          </w:p>
        </w:tc>
      </w:tr>
      <w:tr>
        <w:trPr>
          <w:trHeight w:val="148"/>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8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FF0FC"/>
          </w:tcPr>
          <w:p>
            <w:pPr>
              <w:spacing w:after="0"/>
              <w:rPr>
                <w:sz w:val="12"/>
                <w:szCs w:val="12"/>
                <w:color w:val="auto"/>
              </w:rPr>
            </w:pPr>
          </w:p>
        </w:tc>
      </w:tr>
      <w:tr>
        <w:trPr>
          <w:trHeight w:val="148"/>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(4,850 )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(10,496 )</w:t>
            </w:r>
          </w:p>
        </w:tc>
        <w:tc>
          <w:tcPr>
            <w:tcW w:w="320" w:type="dxa"/>
            <w:vAlign w:val="bottom"/>
          </w:tcPr>
          <w:p>
            <w:pPr>
              <w:spacing w:after="0"/>
              <w:rPr>
                <w:sz w:val="12"/>
                <w:szCs w:val="12"/>
                <w:color w:val="auto"/>
              </w:rPr>
            </w:pPr>
          </w:p>
        </w:tc>
        <w:tc>
          <w:tcPr>
            <w:tcW w:w="1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(1,363 )</w:t>
            </w:r>
          </w:p>
        </w:tc>
      </w:tr>
      <w:tr>
        <w:trPr>
          <w:trHeight w:val="148"/>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8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(76,987 )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(164 )</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(102,729 )</w:t>
            </w:r>
          </w:p>
        </w:tc>
      </w:tr>
      <w:tr>
        <w:trPr>
          <w:trHeight w:val="148"/>
        </w:trPr>
        <w:tc>
          <w:tcPr>
            <w:tcW w:w="6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2"/>
                <w:szCs w:val="12"/>
                <w:color w:val="auto"/>
              </w:rPr>
            </w:pPr>
          </w:p>
        </w:tc>
      </w:tr>
      <w:tr>
        <w:trPr>
          <w:trHeight w:val="142"/>
        </w:trPr>
        <w:tc>
          <w:tcPr>
            <w:tcW w:w="6360" w:type="dxa"/>
            <w:vAlign w:val="bottom"/>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8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(31,020 )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6,880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(180,092 )</w:t>
            </w:r>
          </w:p>
        </w:tc>
      </w:tr>
      <w:tr>
        <w:trPr>
          <w:trHeight w:val="142"/>
        </w:trPr>
        <w:tc>
          <w:tcPr>
            <w:tcW w:w="636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Maturities of securities</w:t>
            </w:r>
          </w:p>
        </w:tc>
        <w:tc>
          <w:tcPr>
            <w:tcW w:w="8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232,800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190,108</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257,520</w:t>
            </w:r>
          </w:p>
        </w:tc>
        <w:tc>
          <w:tcPr>
            <w:tcW w:w="100" w:type="dxa"/>
            <w:vAlign w:val="bottom"/>
            <w:shd w:val="clear" w:color="auto" w:fill="CFF0FC"/>
          </w:tcPr>
          <w:p>
            <w:pPr>
              <w:spacing w:after="0"/>
              <w:rPr>
                <w:sz w:val="12"/>
                <w:szCs w:val="12"/>
                <w:color w:val="auto"/>
              </w:rPr>
            </w:pPr>
          </w:p>
        </w:tc>
      </w:tr>
      <w:tr>
        <w:trPr>
          <w:trHeight w:val="149"/>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w:t>
            </w:r>
          </w:p>
        </w:tc>
        <w:tc>
          <w:tcPr>
            <w:tcW w:w="8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(278,776 )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(215,097 )</w:t>
            </w:r>
          </w:p>
        </w:tc>
        <w:tc>
          <w:tcPr>
            <w:tcW w:w="320" w:type="dxa"/>
            <w:vAlign w:val="bottom"/>
          </w:tcPr>
          <w:p>
            <w:pPr>
              <w:spacing w:after="0"/>
              <w:rPr>
                <w:sz w:val="12"/>
                <w:szCs w:val="12"/>
                <w:color w:val="auto"/>
              </w:rPr>
            </w:pPr>
          </w:p>
        </w:tc>
        <w:tc>
          <w:tcPr>
            <w:tcW w:w="1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(81,633 )</w:t>
            </w:r>
          </w:p>
        </w:tc>
      </w:tr>
      <w:tr>
        <w:trPr>
          <w:trHeight w:val="148"/>
        </w:trPr>
        <w:tc>
          <w:tcPr>
            <w:tcW w:w="6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in software and website development costs</w:t>
            </w:r>
          </w:p>
        </w:tc>
        <w:tc>
          <w:tcPr>
            <w:tcW w:w="8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(509 )</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(599 )</w:t>
            </w: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furniture, fixtures and equipment</w:t>
            </w:r>
          </w:p>
        </w:tc>
        <w:tc>
          <w:tcPr>
            <w:tcW w:w="8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(24 )</w:t>
            </w:r>
          </w:p>
        </w:tc>
        <w:tc>
          <w:tcPr>
            <w:tcW w:w="3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360" w:type="dxa"/>
            <w:vAlign w:val="bottom"/>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8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(45,976 )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(25,522 )</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175,288</w:t>
            </w:r>
          </w:p>
        </w:tc>
        <w:tc>
          <w:tcPr>
            <w:tcW w:w="100" w:type="dxa"/>
            <w:vAlign w:val="bottom"/>
            <w:shd w:val="clear" w:color="auto" w:fill="CFF0FC"/>
          </w:tcPr>
          <w:p>
            <w:pPr>
              <w:spacing w:after="0"/>
              <w:rPr>
                <w:sz w:val="12"/>
                <w:szCs w:val="12"/>
                <w:color w:val="auto"/>
              </w:rPr>
            </w:pPr>
          </w:p>
        </w:tc>
      </w:tr>
      <w:tr>
        <w:trPr>
          <w:trHeight w:val="142"/>
        </w:trPr>
        <w:tc>
          <w:tcPr>
            <w:tcW w:w="636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8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FF0FC"/>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r>
      <w:tr>
        <w:trPr>
          <w:trHeight w:val="148"/>
        </w:trPr>
        <w:tc>
          <w:tcPr>
            <w:tcW w:w="6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related to stock-based awards</w:t>
            </w:r>
          </w:p>
        </w:tc>
        <w:tc>
          <w:tcPr>
            <w:tcW w:w="8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(1,574 )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(1,982 )</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(1,044 )</w:t>
            </w:r>
          </w:p>
        </w:tc>
      </w:tr>
      <w:tr>
        <w:trPr>
          <w:trHeight w:val="20"/>
        </w:trPr>
        <w:tc>
          <w:tcPr>
            <w:tcW w:w="6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36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80" w:type="dxa"/>
            <w:vAlign w:val="bottom"/>
          </w:tcPr>
          <w:p>
            <w:pPr>
              <w:spacing w:after="0"/>
              <w:rPr>
                <w:sz w:val="12"/>
                <w:szCs w:val="12"/>
                <w:color w:val="auto"/>
              </w:rPr>
            </w:pPr>
          </w:p>
        </w:tc>
        <w:tc>
          <w:tcPr>
            <w:tcW w:w="7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(1,443 )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(379 )</w:t>
            </w:r>
          </w:p>
        </w:tc>
      </w:tr>
      <w:tr>
        <w:trPr>
          <w:trHeight w:val="148"/>
        </w:trPr>
        <w:tc>
          <w:tcPr>
            <w:tcW w:w="6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DECREASE IN CASH AND CASH EQUIVALENTS AND RESTRICTED CASH</w:t>
            </w:r>
          </w:p>
        </w:tc>
        <w:tc>
          <w:tcPr>
            <w:tcW w:w="8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(78,439 )</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(18,412 )</w:t>
            </w:r>
          </w:p>
        </w:tc>
        <w:tc>
          <w:tcPr>
            <w:tcW w:w="3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(5,183 )</w:t>
            </w: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199,777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218,189</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223,372</w:t>
            </w:r>
          </w:p>
        </w:tc>
        <w:tc>
          <w:tcPr>
            <w:tcW w:w="100" w:type="dxa"/>
            <w:vAlign w:val="bottom"/>
          </w:tcPr>
          <w:p>
            <w:pPr>
              <w:spacing w:after="0"/>
              <w:rPr>
                <w:sz w:val="12"/>
                <w:szCs w:val="12"/>
                <w:color w:val="auto"/>
              </w:rPr>
            </w:pPr>
          </w:p>
        </w:tc>
      </w:tr>
      <w:tr>
        <w:trPr>
          <w:trHeight w:val="182"/>
        </w:trPr>
        <w:tc>
          <w:tcPr>
            <w:tcW w:w="63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880" w:type="dxa"/>
            <w:vAlign w:val="bottom"/>
            <w:shd w:val="clear" w:color="auto" w:fill="CFF0FC"/>
          </w:tcPr>
          <w:p>
            <w:pPr>
              <w:jc w:val="right"/>
              <w:ind w:right="7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121,338</w:t>
            </w:r>
          </w:p>
        </w:tc>
        <w:tc>
          <w:tcPr>
            <w:tcW w:w="14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199,777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218,189</w:t>
            </w:r>
          </w:p>
        </w:tc>
        <w:tc>
          <w:tcPr>
            <w:tcW w:w="100" w:type="dxa"/>
            <w:vAlign w:val="bottom"/>
            <w:shd w:val="clear" w:color="auto" w:fill="CFF0FC"/>
          </w:tcPr>
          <w:p>
            <w:pPr>
              <w:spacing w:after="0"/>
              <w:rPr>
                <w:sz w:val="15"/>
                <w:szCs w:val="15"/>
                <w:color w:val="auto"/>
              </w:rPr>
            </w:pPr>
          </w:p>
        </w:tc>
      </w:tr>
      <w:tr>
        <w:trPr>
          <w:trHeight w:val="129"/>
        </w:trPr>
        <w:tc>
          <w:tcPr>
            <w:tcW w:w="636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9"/>
        </w:trPr>
        <w:tc>
          <w:tcPr>
            <w:tcW w:w="63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paid during the year for:</w:t>
            </w:r>
          </w:p>
        </w:tc>
        <w:tc>
          <w:tcPr>
            <w:tcW w:w="8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jc w:val="right"/>
              <w:ind w:right="7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(3,982 )</w:t>
            </w:r>
          </w:p>
        </w:tc>
        <w:tc>
          <w:tcPr>
            <w:tcW w:w="4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(2,367 )</w:t>
            </w: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(1,782 )</w:t>
            </w:r>
          </w:p>
        </w:tc>
      </w:tr>
      <w:tr>
        <w:trPr>
          <w:trHeight w:val="20"/>
        </w:trPr>
        <w:tc>
          <w:tcPr>
            <w:tcW w:w="6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3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Supplemental disclosure of non-cash transactions:</w:t>
            </w:r>
          </w:p>
        </w:tc>
        <w:tc>
          <w:tcPr>
            <w:tcW w:w="8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6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Shares issued in settlement of Laxdale milestone payment</w:t>
            </w:r>
          </w:p>
        </w:tc>
        <w:tc>
          <w:tcPr>
            <w:tcW w:w="880" w:type="dxa"/>
            <w:vAlign w:val="bottom"/>
          </w:tcPr>
          <w:p>
            <w:pPr>
              <w:jc w:val="right"/>
              <w:ind w:right="7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8,203</w:t>
            </w:r>
          </w:p>
        </w:tc>
        <w:tc>
          <w:tcPr>
            <w:tcW w:w="100" w:type="dxa"/>
            <w:vAlign w:val="bottom"/>
          </w:tcPr>
          <w:p>
            <w:pPr>
              <w:spacing w:after="0"/>
              <w:rPr>
                <w:sz w:val="12"/>
                <w:szCs w:val="12"/>
                <w:color w:val="auto"/>
              </w:rPr>
            </w:pPr>
          </w:p>
        </w:tc>
      </w:tr>
      <w:tr>
        <w:trPr>
          <w:trHeight w:val="20"/>
        </w:trPr>
        <w:tc>
          <w:tcPr>
            <w:tcW w:w="6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360" w:type="dxa"/>
            <w:vAlign w:val="bottom"/>
            <w:tcBorders>
              <w:bottom w:val="single" w:sz="8" w:color="CFF0FC"/>
            </w:tcBorders>
            <w:shd w:val="clear" w:color="auto" w:fill="CFF0FC"/>
          </w:tcPr>
          <w:p>
            <w:pPr>
              <w:ind w:left="380"/>
              <w:spacing w:after="0" w:line="129" w:lineRule="exact"/>
              <w:rPr>
                <w:sz w:val="20"/>
                <w:szCs w:val="20"/>
                <w:color w:val="auto"/>
              </w:rPr>
            </w:pPr>
            <w:r>
              <w:rPr>
                <w:rFonts w:ascii="Times New Roman" w:cs="Times New Roman" w:eastAsia="Times New Roman" w:hAnsi="Times New Roman"/>
                <w:sz w:val="14"/>
                <w:szCs w:val="14"/>
                <w:color w:val="auto"/>
              </w:rPr>
              <w:t>Initial recognition of operating lease right-of-use asset</w:t>
            </w:r>
          </w:p>
        </w:tc>
        <w:tc>
          <w:tcPr>
            <w:tcW w:w="880" w:type="dxa"/>
            <w:vAlign w:val="bottom"/>
            <w:tcBorders>
              <w:bottom w:val="single" w:sz="8" w:color="auto"/>
            </w:tcBorders>
            <w:shd w:val="clear" w:color="auto" w:fill="CFF0FC"/>
          </w:tcPr>
          <w:p>
            <w:pPr>
              <w:jc w:val="right"/>
              <w:ind w:right="7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1,069</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607</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2,041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29"/>
        </w:trPr>
        <w:tc>
          <w:tcPr>
            <w:tcW w:w="6360" w:type="dxa"/>
            <w:vAlign w:val="bottom"/>
          </w:tcPr>
          <w:p>
            <w:pPr>
              <w:ind w:left="380"/>
              <w:spacing w:after="0" w:line="129" w:lineRule="exact"/>
              <w:rPr>
                <w:sz w:val="20"/>
                <w:szCs w:val="20"/>
                <w:color w:val="auto"/>
              </w:rPr>
            </w:pPr>
            <w:r>
              <w:rPr>
                <w:rFonts w:ascii="Times New Roman" w:cs="Times New Roman" w:eastAsia="Times New Roman" w:hAnsi="Times New Roman"/>
                <w:sz w:val="14"/>
                <w:szCs w:val="14"/>
                <w:color w:val="auto"/>
              </w:rPr>
              <w:t>Initial recognition of furniture, fixtures and equipment lease</w:t>
            </w:r>
          </w:p>
        </w:tc>
        <w:tc>
          <w:tcPr>
            <w:tcW w:w="880" w:type="dxa"/>
            <w:vAlign w:val="bottom"/>
          </w:tcPr>
          <w:p>
            <w:pPr>
              <w:jc w:val="right"/>
              <w:ind w:right="7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624</w:t>
            </w:r>
          </w:p>
        </w:tc>
        <w:tc>
          <w:tcPr>
            <w:tcW w:w="240" w:type="dxa"/>
            <w:vAlign w:val="bottom"/>
          </w:tcPr>
          <w:p>
            <w:pPr>
              <w:spacing w:after="0"/>
              <w:rPr>
                <w:sz w:val="11"/>
                <w:szCs w:val="11"/>
                <w:color w:val="auto"/>
              </w:rPr>
            </w:pPr>
          </w:p>
        </w:tc>
        <w:tc>
          <w:tcPr>
            <w:tcW w:w="320" w:type="dxa"/>
            <w:vAlign w:val="bottom"/>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-2150745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-2150745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-1567815</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-1567815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-1182370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-1182370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-788035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-770890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-788035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-770890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-144780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-128270</wp:posOffset>
            </wp:positionV>
            <wp:extent cx="768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-144780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-128270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 PLC</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8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or VASCEPA. The Company is also commercialized in various European countries, including the United Kingdom, or the UK, and Spain, under the brand name VAZKEPA, hereinafter along with VASCEPA, collectively referred to as VASCEPA. The Company’s operations outside of the U.S. and Europe are in varying stages of development and commercialization with reliance on third-party commercial partners in select geographies, including China, Australia and Canada.</w:t>
      </w:r>
    </w:p>
    <w:p>
      <w:pPr>
        <w:spacing w:after="0" w:line="14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VASCEPA,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 or the REDUCE-IT indication.</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MARINE indication. The Company sought appeals of the Nevada Court judgment up to the U.S. Supreme Court, but the Company was unsuccessful. As a result, the following generic versions of icosapent ethyl have obtained U.S. FDA approval with labeling consistent with the MARINE indication of VASCEPA and have entered the U.S. market:</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73"/>
        </w:trPr>
        <w:tc>
          <w:tcPr>
            <w:tcW w:w="38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Spriaso LLC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780" w:hanging="263"/>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520" w:right="780" w:hanging="3"/>
        <w:spacing w:after="0" w:line="282" w:lineRule="auto"/>
        <w:tabs>
          <w:tab w:leader="none" w:pos="7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in the European Union, or EU, to reduce the risk of cardiovascular events in high 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1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June 1, 2023, the Company announced the National Medical Products Administration, or NMPA, granted approval for VASCEPA under the MARINE indication and the Company's partner, Eddingpharm (Asia) Macao Commercial Offshore Limited, or Edding, launched commercially in October 2023. On June 28, 2024, the Company's partner in China received NMPA approval for VASCEPA in Mainland China for the REDUCE-IT indication. On February 23, 2022, the Hong Kong Department of Health concluded their evaluation and approved the use of VASCEPA under the REDUCE-IT indication.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02" w:name="page103"/>
    <w:bookmarkEnd w:id="102"/>
    <w:p>
      <w:pPr>
        <w:ind w:right="80"/>
        <w:spacing w:after="0" w:line="266" w:lineRule="auto"/>
        <w:rPr>
          <w:sz w:val="20"/>
          <w:szCs w:val="20"/>
          <w:color w:val="auto"/>
        </w:rPr>
      </w:pPr>
      <w:r>
        <w:rPr>
          <w:rFonts w:ascii="Times New Roman" w:cs="Times New Roman" w:eastAsia="Times New Roman" w:hAnsi="Times New Roman"/>
          <w:sz w:val="18"/>
          <w:szCs w:val="18"/>
          <w:color w:val="auto"/>
        </w:rPr>
        <w:t>Amarin is responsible for supplying VASCEPA to all markets in which the branded product is sold, including the U.S., and Europe, as well as in countries where the drug is promoted and sold via collaboration with third-party partners that compensate Amarin for such supply. Amarin is not responsible for providing any generic company with drug product. The Company operates in one business segment.</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by the Company in accordance with accounting principles generally accepted in the U.S. and pursuant to the rules and regulations of the Securities and Exchange Commission, or the SEC.</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years ended December 31, 2024, 2023 and 2022 are not necessarily indicative of the results for any future period. Certain numbers presented throughout this document may not add precisely to the totals provided due to rounding. Absolute and percentage changes are calculated using the underlying amounts in thousands. The consolidated financial statements include the accounts of the Company and its wholly-owned subsidiaries. All intercompany accounts and transactions have been eliminated in consolidation. Certain amounts in the consolidated financial statements of the prior year have been reclassified to conform to current year presentation.</w:t>
      </w:r>
    </w:p>
    <w:p>
      <w:pPr>
        <w:spacing w:after="0" w:line="1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total assets of $685.3 million, of which $294.2 million consisted of cash and liquid short-term investments. More specifically, the Company had current assets of $595.4 million, including cash and cash equivalents of $121.0 million, short-term investments of $173.2 million, accounts receivable, net, of $122.3 million and current inventory of $166.0 million. In addition, at December 31, 2024, the Company had long-term inventory of $64.7 million. At December 31, 2024, the Company had no debt outstanding.</w:t>
      </w:r>
    </w:p>
    <w:p>
      <w:pPr>
        <w:spacing w:after="0" w:line="216" w:lineRule="exact"/>
        <w:rPr>
          <w:sz w:val="20"/>
          <w:szCs w:val="20"/>
          <w:color w:val="auto"/>
        </w:rPr>
      </w:pPr>
    </w:p>
    <w:p>
      <w:pPr>
        <w:ind w:left="260" w:right="8280" w:hanging="252"/>
        <w:spacing w:after="0" w:line="346" w:lineRule="auto"/>
        <w:tabs>
          <w:tab w:leader="none" w:pos="561"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b w:val="1"/>
          <w:bCs w:val="1"/>
          <w:i w:val="1"/>
          <w:iCs w:val="1"/>
          <w:u w:val="single" w:color="auto"/>
          <w:color w:val="auto"/>
        </w:rPr>
        <w:t>Principles of Consolidation</w:t>
      </w:r>
    </w:p>
    <w:p>
      <w:pPr>
        <w:spacing w:after="0" w:line="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accounts and transactions have been eliminated in consolidation.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Accounting estimates are based on historical experience and other factors that are considered reasonable under the circumstances. Estimates and assumptions relied upon in preparing these consolidated financial statements relate to, but are not limited to,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Because of the uncertainties inherent in such estimates, actual results may differ from these estimates. Management periodically evaluates estimates used in the preparation of the consolidated financial statements for continued reasonableness.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Forecasted Financial Information in Accounting Estimates</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use of forecasted financial information is inherent in many of the Company’s accounting estimates including, but not limited to, determining the estimated fair values of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03" w:name="page104"/>
    <w:bookmarkEnd w:id="103"/>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w:t>
      </w:r>
      <w:r>
        <w:rPr>
          <w:rFonts w:ascii="Times New Roman" w:cs="Times New Roman" w:eastAsia="Times New Roman" w:hAnsi="Times New Roman"/>
          <w:sz w:val="18"/>
          <w:szCs w:val="18"/>
          <w:i w:val="1"/>
          <w:iCs w:val="1"/>
          <w:color w:val="auto"/>
        </w:rPr>
        <w:t>Note 12—Revenue Recognition</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Distribution Costs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records distribution costs related to shipping product to its customers, primarily through the use of common carriers or external distribution services, in Cost of goods sold.</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credit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spacing w:after="0" w:line="13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at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5"/>
                <w:szCs w:val="15"/>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133,072</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160,686</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allowances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(9,433 )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(18,834 )</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Chargebacks</w:t>
            </w: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(1,360 )</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(8,289 )</w:t>
            </w:r>
          </w:p>
        </w:tc>
      </w:tr>
      <w:tr>
        <w:trPr>
          <w:trHeight w:val="210"/>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133,563</w:t>
            </w:r>
          </w:p>
        </w:tc>
        <w:tc>
          <w:tcPr>
            <w:tcW w:w="12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9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states inventory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4" w:name="page105"/>
    <w:bookmarkEnd w:id="104"/>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 Impairment</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 net</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Intangible asset, net consists of website development costs and milestone payments to the former shareholders of Laxdale Limited, or Laxdale, related to the 2004 acquisition of the rights to VASCEPA, which is the result of VASCEPA receiving marketing approval in the U.S. for the first indication in 2012, the expanded label in 2019 and marketing authorization in Europe in 2021. These assets are amortized over its estimated useful life on a straight-line basis. See </w:t>
      </w:r>
      <w:r>
        <w:rPr>
          <w:rFonts w:ascii="Times New Roman" w:cs="Times New Roman" w:eastAsia="Times New Roman" w:hAnsi="Times New Roman"/>
          <w:sz w:val="18"/>
          <w:szCs w:val="18"/>
          <w:i w:val="1"/>
          <w:iCs w:val="1"/>
          <w:color w:val="auto"/>
        </w:rPr>
        <w:t>Note 7—Commitments and Contingencies</w:t>
      </w:r>
      <w:r>
        <w:rPr>
          <w:rFonts w:ascii="Times New Roman" w:cs="Times New Roman" w:eastAsia="Times New Roman" w:hAnsi="Times New Roman"/>
          <w:sz w:val="18"/>
          <w:szCs w:val="18"/>
          <w:color w:val="auto"/>
        </w:rPr>
        <w:t xml:space="preserve"> for further information regarding other obligations related to the acquisition of Laxdale.</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Costs for Patent Litigation and 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for patent litigation or other legal proceedings are expensed as incurred and included in Selling, general and administrative expense.</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Costs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 as well as license fees related to the Company’s strategic collaboration with Mochida Pharmaceutical Co., Ltd., or Mochida.</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Costs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charges selling, general and administrative costs to operations as incurred. Selling, general and administrative costs include salaries and benefits, stock-based compensation expense, and infrastructure necessary for the general conduct of the Company’s business, including those incurred as a result of the commercialization of VASCEPA in the U.S. and Europe.</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consolidated balance sheet.</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12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5" w:name="page106"/>
    <w:bookmarkEnd w:id="105"/>
    <w:p>
      <w:pPr>
        <w:ind w:right="20"/>
        <w:spacing w:after="0" w:line="282" w:lineRule="auto"/>
        <w:rPr>
          <w:sz w:val="20"/>
          <w:szCs w:val="20"/>
          <w:color w:val="auto"/>
        </w:rPr>
      </w:pPr>
      <w:r>
        <w:rPr>
          <w:rFonts w:ascii="Times New Roman" w:cs="Times New Roman" w:eastAsia="Times New Roman" w:hAnsi="Times New Roman"/>
          <w:sz w:val="18"/>
          <w:szCs w:val="18"/>
          <w:color w:val="auto"/>
        </w:rPr>
        <w:t>income tax returns.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earnings per share is determined by dividing net loss by diluted weighted average shares outstanding. Diluted weighted average shares reflects the dilutive effect, if any, of potentially dilutive common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years ended December 31, 2024, 2023, and 2022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—basic and 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(82,183 )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(59,112 )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(105,803 )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410,937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407,655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(loss) earnings per share—basic and diluted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(0.20 )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(0.15 )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(0.26 )</w:t>
            </w:r>
          </w:p>
        </w:tc>
      </w:tr>
    </w:tbl>
    <w:p>
      <w:pPr>
        <w:spacing w:after="0" w:line="225" w:lineRule="exact"/>
        <w:rPr>
          <w:sz w:val="20"/>
          <w:szCs w:val="20"/>
          <w:color w:val="auto"/>
        </w:rPr>
      </w:pPr>
    </w:p>
    <w:p>
      <w:pPr>
        <w:ind w:left="520" w:right="700" w:hanging="3"/>
        <w:spacing w:after="0" w:line="266" w:lineRule="auto"/>
        <w:tabs>
          <w:tab w:leader="none" w:pos="7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Excluding the licensing revenue change in estimate incurred in 2024 and the licensing revenue change in estimate and Medicaid change in estimate incurred in 2023, both discussed in </w:t>
      </w:r>
      <w:r>
        <w:rPr>
          <w:rFonts w:ascii="Times New Roman" w:cs="Times New Roman" w:eastAsia="Times New Roman" w:hAnsi="Times New Roman"/>
          <w:sz w:val="18"/>
          <w:szCs w:val="18"/>
          <w:i w:val="1"/>
          <w:iCs w:val="1"/>
          <w:color w:val="auto"/>
        </w:rPr>
        <w:t>Note 12 – Revenue Recognition</w:t>
      </w:r>
      <w:r>
        <w:rPr>
          <w:rFonts w:ascii="Times New Roman" w:cs="Times New Roman" w:eastAsia="Times New Roman" w:hAnsi="Times New Roman"/>
          <w:sz w:val="18"/>
          <w:szCs w:val="18"/>
          <w:color w:val="auto"/>
        </w:rPr>
        <w:t>, net loss per share basic and diluted for both years ended December 31, 2024 and 2023 would have been $(0.21).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 the following potentially dilutive securities were not included in the computation of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because the effect would be anti-dilutive or because performance criteria were not yet met for awards contingent upon such measures: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100" w:type="dxa"/>
            <w:vAlign w:val="bottom"/>
            <w:shd w:val="clear" w:color="auto" w:fill="CFF0FC"/>
          </w:tcPr>
          <w:p>
            <w:pPr>
              <w:spacing w:after="0"/>
              <w:rPr>
                <w:sz w:val="18"/>
                <w:szCs w:val="18"/>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tcPr>
          <w:p>
            <w:pPr>
              <w:spacing w:after="0"/>
              <w:rPr>
                <w:sz w:val="20"/>
                <w:szCs w:val="20"/>
                <w:color w:val="auto"/>
              </w:rPr>
            </w:pPr>
          </w:p>
        </w:tc>
      </w:tr>
    </w:tbl>
    <w:p>
      <w:pPr>
        <w:spacing w:after="0" w:line="16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92"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the guidance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or ASC 718, and requires the fair value of all stock-based payments to employees and non-employees to be recognized in the consolidated statement of operations over the requisite service period.</w:t>
      </w:r>
    </w:p>
    <w:p>
      <w:pPr>
        <w:spacing w:after="0" w:line="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fair value of the Company's restricted stock units is determined to be the higher of (1) our nominal par value of 50 pence per share, for which our Plan dictates under United Kingdom law, or (2) fair market value of stock price on the NASDAQ at close of business day on the date of the grant. The Company estimates the fair value of stock option awards on the date of the grant using the Black-Scholes Model, which requires that the Company makes certain assumptions regarding: (i) the expected volatility in the market price of its common stock; (ii) dividend yield; (iii) risk-free interest rates; and (iv) the period of time employees are expected to hold the award prior to exercise, referred to as the expected holding period. As a result, if the Company revises its assumptions and estimates, stock-based compensation expense could change materially for future grants.</w:t>
      </w:r>
    </w:p>
    <w:p>
      <w:pPr>
        <w:spacing w:after="0" w:line="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awards with performance conditions, if the achievement of the performance conditions is deemed probable, the Company recognizes compensation expense based on the grant date fair value of the award over the requisite service period. The Company reassesses the probability of achievement of the performance conditions each reporting period. For awards with market conditions, the Company recognizes compensation expense based on the grant date fair value of the award, using the Monte Carlo Model, over the requisite service period.</w:t>
      </w:r>
    </w:p>
    <w:p>
      <w:pPr>
        <w:spacing w:after="0" w:line="4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The Company estimates the level of forfeitures expected to occur based on its historical data and records compensation cost only for those awards that are ultimately expected to vest. See </w:t>
      </w:r>
      <w:r>
        <w:rPr>
          <w:rFonts w:ascii="Times New Roman" w:cs="Times New Roman" w:eastAsia="Times New Roman" w:hAnsi="Times New Roman"/>
          <w:sz w:val="18"/>
          <w:szCs w:val="18"/>
          <w:i w:val="1"/>
          <w:iCs w:val="1"/>
          <w:color w:val="auto"/>
        </w:rPr>
        <w:t>Note 9—Stock Incentive Plans and Stock-Based Compensation</w:t>
      </w:r>
      <w:r>
        <w:rPr>
          <w:rFonts w:ascii="Times New Roman" w:cs="Times New Roman" w:eastAsia="Times New Roman" w:hAnsi="Times New Roman"/>
          <w:sz w:val="18"/>
          <w:szCs w:val="18"/>
          <w:color w:val="auto"/>
        </w:rPr>
        <w:t xml:space="preserve"> for further discussion.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6" w:name="page107"/>
    <w:bookmarkEnd w:id="106"/>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9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investments, and accounts receivable. The Company maintains substantially all of its cash and cash equivalents and short-term, in financial institutions believed to be of high-credit quality.</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32%, 27%, and 30%, respectively, of gross product sales for the year ended December 31, 2024 and represented 25%, 13%, and 45%, respectively, of the gross accounts receivable balance as of December 31, 2024. Customers A, B, and C accounted for 36%, 28% and 29%, respectively, of gross product sales for the year ended December 31, 2023 and represented 36%, 18%, and 38%, respectively, of the gross accounts receivable balance as of December 31, 2023. The Company has not experienced any significant write-offs of its accounts receivable. All customer accounts are actively managed and no losses in excess of amounts reserved are currently expected.</w:t>
      </w: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Monetary assets and liabilities denominated in a foreign currency are remeasured into U.S. dollars at period-end exchange rates. Gains and losses from the remeasurement are included in Other income (expense), net in the consolidated statements of operations. For transactions settled during the applicable period, gains and losses are included in Other income (expense), net in the consolidated statements of operations. Certain amounts payable are denominated in currencies other than the U.S. dollar. During the year ended December 31, 2024, the Company recorded a foreign currency gain of $0.8 million and foreign currency losses of $2.6 million and $0.7 million for the years ended December 31, 2023 and 2022, respectively, within the Other income (expense), net on the consolidated statement of operations.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4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7" w:name="page108"/>
    <w:bookmarkEnd w:id="107"/>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and inputs that are derived principally from or corroborated by observable market data by correlation or other means (market corroborated inputs).</w:t>
      </w:r>
    </w:p>
    <w:p>
      <w:pPr>
        <w:spacing w:after="0" w:line="4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December 31, 2024 and 2023 and indicate the fair value hierarchy of the valuation techniques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174,722</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174,722</w:t>
            </w:r>
          </w:p>
        </w:tc>
        <w:tc>
          <w:tcPr>
            <w:tcW w:w="8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67,456</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67,456</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 Securities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247,178</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242,178</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123,992</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123,992</w:t>
            </w:r>
          </w:p>
        </w:tc>
        <w:tc>
          <w:tcPr>
            <w:tcW w:w="8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 Securities</w:t>
            </w: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235,380</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223,218</w:t>
            </w:r>
          </w:p>
        </w:tc>
        <w:tc>
          <w:tcPr>
            <w:tcW w:w="8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-1216660</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-1199515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-1216660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-1199515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-1216660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-1199515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-170815</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consolidated balance sheet. Those with remaining maturities in excess of 12 months are included in long-term investments on its consolidated balance sheet.</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years ended December 31, 2024 and December 31, 2023 were gains of $0.1 million and less than $0.1 million, respectively. Interest on investments is reported in interest income in our consolidated statement of operations. Interest receivable in investment securities is reported in prepaid and other current assets in our consolidated balance sheet.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CODM, in deciding how to allocate resources to an individual segment and in assessing performance of the segment. The Company currently operates in two business segments, U.S. and Europe, which are aggregated into a single reportable segment, for the development and commercialization of VASCEPA. A single management team that reports to the Company’s CODM, who is the Chief Executive Officer, comprehensively manages the business on an integrated basis for the purpose of allocating resources. The Company’s CODM does not currently assess segment performance or allocate resources based on a measure of total assets nor is it practical for the Company to disaggregate assets based on geography. Accordingly, a total asset measure has not been provided for segment disclosure. Accordingly, the Company does not have separately reportable segments.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The table below is a summary of the reportable segment profit or loss, including significant reportable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product revenue, net</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166,701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273,886</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 product revenue, net</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RoW product revenue, net</w:t>
            </w:r>
          </w:p>
        </w:tc>
        <w:tc>
          <w:tcPr>
            <w:tcW w:w="4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285,299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4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 net</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306,911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Cost of goods sold</w:t>
            </w:r>
          </w:p>
        </w:tc>
        <w:tc>
          <w:tcPr>
            <w:tcW w:w="4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110,758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102,142</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 of goods sold - restructuring inventory</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36,474</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39,228</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165,541</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w:t>
            </w:r>
          </w:p>
        </w:tc>
        <w:tc>
          <w:tcPr>
            <w:tcW w:w="4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Payroll and payroll related expense</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4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46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173,179</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233,129</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(91,797 )</w:t>
            </w:r>
          </w:p>
        </w:tc>
        <w:tc>
          <w:tcPr>
            <w:tcW w:w="10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(67,588 )</w:t>
            </w:r>
          </w:p>
        </w:tc>
        <w:tc>
          <w:tcPr>
            <w:tcW w:w="4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(105,869 )</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(8 )</w:t>
            </w:r>
          </w:p>
        </w:tc>
        <w:tc>
          <w:tcPr>
            <w:tcW w:w="4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(740 )</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4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(77,200 )</w:t>
            </w:r>
          </w:p>
        </w:tc>
        <w:tc>
          <w:tcPr>
            <w:tcW w:w="10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(53,670 )</w:t>
            </w:r>
          </w:p>
        </w:tc>
        <w:tc>
          <w:tcPr>
            <w:tcW w:w="4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(103,805 )</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(4,983 )</w:t>
            </w:r>
          </w:p>
        </w:tc>
        <w:tc>
          <w:tcPr>
            <w:tcW w:w="1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(5,442 )</w:t>
            </w:r>
          </w:p>
        </w:tc>
        <w:tc>
          <w:tcPr>
            <w:tcW w:w="4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(1,998 )</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&amp; consolidated net loss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(82,183 )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(59,112 )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(105,803 )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-2973705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-2973705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-2691130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-2691130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-2125345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-2125345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-1010920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-1010920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-454025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-454025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identifies a restructuring event as a program that is planned and controlled by management, and materially changes either the scope of the Company's business or the manner in which that business is conducted. The accounting for involuntary termination benefits that are provided pursuant to a one-time benefit arrangement are accounted for under </w:t>
      </w:r>
      <w:r>
        <w:rPr>
          <w:rFonts w:ascii="Times New Roman" w:cs="Times New Roman" w:eastAsia="Times New Roman" w:hAnsi="Times New Roman"/>
          <w:sz w:val="18"/>
          <w:szCs w:val="18"/>
          <w:i w:val="1"/>
          <w:iCs w:val="1"/>
          <w:color w:val="auto"/>
        </w:rPr>
        <w:t>ASC 420 – Exit or Disposal Cost Obligations</w:t>
      </w:r>
      <w:r>
        <w:rPr>
          <w:rFonts w:ascii="Times New Roman" w:cs="Times New Roman" w:eastAsia="Times New Roman" w:hAnsi="Times New Roman"/>
          <w:sz w:val="18"/>
          <w:szCs w:val="18"/>
          <w:color w:val="auto"/>
        </w:rPr>
        <w:t xml:space="preserve"> whereas involuntary termination benefits that are part of an ongoing written or substantive plan are accounted for under </w:t>
      </w:r>
      <w:r>
        <w:rPr>
          <w:rFonts w:ascii="Times New Roman" w:cs="Times New Roman" w:eastAsia="Times New Roman" w:hAnsi="Times New Roman"/>
          <w:sz w:val="18"/>
          <w:szCs w:val="18"/>
          <w:i w:val="1"/>
          <w:iCs w:val="1"/>
          <w:color w:val="auto"/>
        </w:rPr>
        <w:t>ASC 712 – Compensation – Nonretirement Postemployment Benefits.</w:t>
      </w:r>
      <w:r>
        <w:rPr>
          <w:rFonts w:ascii="Times New Roman" w:cs="Times New Roman" w:eastAsia="Times New Roman" w:hAnsi="Times New Roman"/>
          <w:sz w:val="18"/>
          <w:szCs w:val="18"/>
          <w:color w:val="auto"/>
        </w:rPr>
        <w:t xml:space="preserve"> The Company accrues a liability for termination benefits under ASC 712 when it is probable that a liability has been incurred and the amount can be reasonably estimated and under ASC 420 when the termination benefits are communicated.</w:t>
      </w:r>
    </w:p>
    <w:p>
      <w:pPr>
        <w:spacing w:after="0" w:line="133"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Company continued to assess its contractual supplier purchase obligations and has taken steps to amend supplier agreements to align supply arrangements with current and future market demand. As a result of the ongoing assessment, the Company recognized $36.5 million, $39.2 million, and $18.1 million during the year ended December 31, 2024, 2023, and 2022, respectively, within cost of goods sold - restructuring inventory on the consolidated statement of operations for both cash and non-cash obligations. During the year ended December 31, 2024, the Company entered into an amended supply agreement resulting in the return of approximately $36.5 million of API previously recorded within raw materials. The API is set to be returned over an agreed upon period at predetermined volumes. The Company continues to negotiate with other contract suppliers to align its supply arrangements with current and future global demand which may result in additional costs to the Company.</w:t>
      </w:r>
    </w:p>
    <w:p>
      <w:pPr>
        <w:spacing w:after="0" w:line="135"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In June 2023, the Company approved and subsequently announced on July 18, 2023, an Organizational Restructuring Plan, or ORP, to right-size and strengthen the Company. As part of the plan, the Company completed the elimination of its entire U.S. sales field force, as well as a reduction of approximately 30% of the non-sales positions. The Company maintained its managed care and trade organization to support U.S. commercial efforts. During the year ended December 31, 2023, the Company recognized approximately $11.0 million within restructuring expense on the consolidated statement of operations related to the reduction in force, substantially all of which are cash expenditures.</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6, 2022, the Company announced a Comprehensive Cost Reduction Plan, or CRP, which included an organizational restructuring plan to address the shifts within the Company’s U.S. business. As part of the plan, the Company completed a reduction of its U.S. field force from approximately 300 sales representatives to approximately 75 sales representatives. During the year 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9" w:name="page110"/>
    <w:bookmarkEnd w:id="109"/>
    <w:p>
      <w:pPr>
        <w:ind w:right="120"/>
        <w:spacing w:after="0" w:line="282" w:lineRule="auto"/>
        <w:rPr>
          <w:sz w:val="20"/>
          <w:szCs w:val="20"/>
          <w:color w:val="auto"/>
        </w:rPr>
      </w:pPr>
      <w:r>
        <w:rPr>
          <w:rFonts w:ascii="Times New Roman" w:cs="Times New Roman" w:eastAsia="Times New Roman" w:hAnsi="Times New Roman"/>
          <w:sz w:val="18"/>
          <w:szCs w:val="18"/>
          <w:color w:val="auto"/>
        </w:rPr>
        <w:t>December 31, 2022, the Company recognized approximately $9.4 million within restructuring expense on the consolidated statement of operations related to the reduction in force, substantially all of which was cash expenditures.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August 19, 2022, the Company announced that after the conclusion of the fourth and final round of negotiations in Germany with the National Association of Statutory Health Insurance Funds, or GKV-SV, a viable agreement on the reimbursement price of VAZKEPA in Germany could not be reached. As a result, the Company discontinued its German business operations effective September 1, 2022. During the year ended December 31, 2022, the Company recognized approximately $4.2 million within restructuring expense on the condensed consolidated statement of operations, substantially all of which was cash expenditures.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cash obligations of the Company's restructuring charges for the years ended December 31, 2024, 2023 and 2022:</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restructuring separation charges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4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inventory</w:t>
            </w:r>
          </w:p>
        </w:tc>
        <w:tc>
          <w:tcPr>
            <w:tcW w:w="440" w:type="dxa"/>
            <w:vAlign w:val="bottom"/>
          </w:tcPr>
          <w:p>
            <w:pPr>
              <w:spacing w:after="0"/>
              <w:rPr>
                <w:sz w:val="19"/>
                <w:szCs w:val="19"/>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39,228</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forfeitures</w:t>
            </w:r>
          </w:p>
        </w:tc>
        <w:tc>
          <w:tcPr>
            <w:tcW w:w="4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restructuring cash obligations incurred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51,234</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-496570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-479425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-496570</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-479425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-479425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5"/>
                <w:szCs w:val="15"/>
                <w:color w:val="auto"/>
              </w:rPr>
            </w:pPr>
          </w:p>
        </w:tc>
        <w:tc>
          <w:tcPr>
            <w:tcW w:w="3540" w:type="dxa"/>
            <w:vAlign w:val="bottom"/>
            <w:gridSpan w:val="2"/>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cash obligations incurred</w:t>
            </w:r>
          </w:p>
        </w:tc>
        <w:tc>
          <w:tcPr>
            <w:tcW w:w="740" w:type="dxa"/>
            <w:vAlign w:val="bottom"/>
          </w:tcPr>
          <w:p>
            <w:pPr>
              <w:spacing w:after="0"/>
              <w:rPr>
                <w:sz w:val="18"/>
                <w:szCs w:val="18"/>
                <w:color w:val="auto"/>
              </w:rPr>
            </w:pPr>
          </w:p>
        </w:tc>
        <w:tc>
          <w:tcPr>
            <w:tcW w:w="3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shd w:val="clear" w:color="auto" w:fill="CFF0FC"/>
          </w:tcPr>
          <w:p>
            <w:pPr>
              <w:spacing w:after="0"/>
              <w:rPr>
                <w:sz w:val="18"/>
                <w:szCs w:val="18"/>
                <w:color w:val="auto"/>
              </w:rPr>
            </w:pPr>
          </w:p>
        </w:tc>
        <w:tc>
          <w:tcPr>
            <w:tcW w:w="3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(13,589 )</w:t>
            </w: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94" w:lineRule="exact"/>
        <w:rPr>
          <w:sz w:val="20"/>
          <w:szCs w:val="20"/>
          <w:color w:val="auto"/>
        </w:rPr>
      </w:pPr>
    </w:p>
    <w:p>
      <w:pPr>
        <w:ind w:right="520"/>
        <w:spacing w:after="0" w:line="313"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w:t>
      </w:r>
      <w:r>
        <w:rPr>
          <w:rFonts w:ascii="Times New Roman" w:cs="Times New Roman" w:eastAsia="Times New Roman" w:hAnsi="Times New Roman"/>
          <w:sz w:val="18"/>
          <w:szCs w:val="18"/>
          <w:color w:val="auto"/>
        </w:rPr>
        <w:t>res, which improve reportable segment disclosure requirements, primarily through enhanced disclosures about significant segment expenses, requirements of public entities that have a single reportable segment provide all the disclosures required by ASU No. 2023-07 and all existing segment disclosures in Topic 280, among other disclosure enhancements. The Company adopted this standard effective January 1, 2024 and additional requirements are disclosed within the Company's consolidated financial statements.</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which provide more transparency about income tax information through improvements to income tax disclosures primarily related to the rate reconciliation and income taxes paid information. This change is effective for annual periods beginning after December 15, 2024. The Company is currently evaluating the impact that the adoption of ASU 2023-09 will have on our consolidated financial statements and disclosures.</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which require a public business entity to disclose specific information about certain costs and expenses in the notes to its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for interim and annual reporting periods beginning after December 15, 2026. The Company is currently evaluating the impact that the adoption of ASU 2024-03 will have on the Company’s consolidated financial statements.</w:t>
      </w:r>
    </w:p>
    <w:p>
      <w:pPr>
        <w:spacing w:after="0" w:line="12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198"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Intangible asset consists of internal-use software, website development costs and milestone payments to the former shareholders of Laxdale related to the 2004 acquisition of the rights to VASCEPA, which is the result of VASCEPA receiving marketing approval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0" w:name="page111"/>
    <w:bookmarkEnd w:id="110"/>
    <w:p>
      <w:pPr>
        <w:ind w:right="100"/>
        <w:spacing w:after="0" w:line="261" w:lineRule="auto"/>
        <w:rPr>
          <w:sz w:val="20"/>
          <w:szCs w:val="20"/>
          <w:color w:val="auto"/>
        </w:rPr>
      </w:pPr>
      <w:r>
        <w:rPr>
          <w:rFonts w:ascii="Times New Roman" w:cs="Times New Roman" w:eastAsia="Times New Roman" w:hAnsi="Times New Roman"/>
          <w:sz w:val="18"/>
          <w:szCs w:val="18"/>
          <w:color w:val="auto"/>
        </w:rPr>
        <w:t>the U.S. for the first indication in 2012, the expanded label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December 31, 2024, the intangible assets have an estimated weighted-average remaining useful life of 6.1 years. The carrying value as of December 31, 2024 and 2023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5"/>
                <w:szCs w:val="15"/>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rights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(16,799 )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(13,884 )</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2024 and 2023 was $2.9 million and $2.8 million, respectively. Estimated future amortization expense as of December 31, 2024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r>
      <w:tr>
        <w:trPr>
          <w:trHeight w:val="209"/>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FF0FC"/>
          </w:tcPr>
          <w:p>
            <w:pPr>
              <w:spacing w:after="0"/>
              <w:rPr>
                <w:sz w:val="18"/>
                <w:szCs w:val="18"/>
                <w:color w:val="auto"/>
              </w:rPr>
            </w:pP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Pr>
          <w:p>
            <w:pPr>
              <w:spacing w:after="0"/>
              <w:rPr>
                <w:sz w:val="21"/>
                <w:szCs w:val="21"/>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FF0FC"/>
          </w:tcPr>
          <w:p>
            <w:pPr>
              <w:spacing w:after="0"/>
              <w:rPr>
                <w:sz w:val="18"/>
                <w:szCs w:val="18"/>
                <w:color w:val="auto"/>
              </w:rPr>
            </w:pP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21"/>
                <w:szCs w:val="21"/>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FF0FC"/>
          </w:tcPr>
          <w:p>
            <w:pPr>
              <w:spacing w:after="0"/>
              <w:rPr>
                <w:sz w:val="18"/>
                <w:szCs w:val="18"/>
                <w:color w:val="auto"/>
              </w:rPr>
            </w:pP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9"/>
                <w:szCs w:val="19"/>
                <w:color w:val="auto"/>
              </w:rPr>
            </w:pPr>
          </w:p>
        </w:tc>
      </w:tr>
      <w:tr>
        <w:trPr>
          <w:trHeight w:val="249"/>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5"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Inventories as of December 31, 2024 and 2023 consist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91,421</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7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108,885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175,730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700" w:type="dxa"/>
            <w:vAlign w:val="bottom"/>
            <w:vMerge w:val="restart"/>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Inventory </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230,788</w:t>
            </w:r>
          </w:p>
        </w:tc>
        <w:tc>
          <w:tcPr>
            <w:tcW w:w="28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5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4" w:lineRule="exact"/>
        <w:rPr>
          <w:sz w:val="20"/>
          <w:szCs w:val="20"/>
          <w:color w:val="auto"/>
        </w:rPr>
      </w:pPr>
    </w:p>
    <w:p>
      <w:pPr>
        <w:ind w:left="520" w:right="680" w:hanging="3"/>
        <w:spacing w:after="0" w:line="258" w:lineRule="auto"/>
        <w:tabs>
          <w:tab w:leader="none" w:pos="7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inventory consists of both current inventory and long-term inventory. During the year ended December 31, 2024, approximately $8.0 million of inventory was expensed through cost of goods sold for both product dating and non-product dating unsellable inventory and as part of our ongoing supply agreement settlements, $36.5 million was expensed through cost of goods sold - inventory restructuring and reserved for the future return of API. During the year ended December 31, 2023, $5.1 million of inventory was expensed through cost of goods sold for both product dating and non-product dating unsellable inventory.</w:t>
      </w:r>
    </w:p>
    <w:p>
      <w:pPr>
        <w:spacing w:after="0" w:line="1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$64.7 million and $77.6 million of long-term inventory, respectively, as consumption is expected beyond the Company's operating cycle of 12 months.</w:t>
      </w:r>
    </w:p>
    <w:p>
      <w:pPr>
        <w:spacing w:after="0" w:line="18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as of December 31, 2024 and 2023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useful life or lease term</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3 - 5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r>
      <w:tr>
        <w:trPr>
          <w:trHeight w:val="21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(1,470 )</w:t>
            </w:r>
          </w:p>
        </w:tc>
        <w:tc>
          <w:tcPr>
            <w:tcW w:w="18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(1,379 )</w:t>
            </w:r>
          </w:p>
        </w:tc>
      </w:tr>
      <w:tr>
        <w:trPr>
          <w:trHeight w:val="249"/>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provides for depreciation and amortization using the straight-line method by charges to operations in amounts that depreciate the cost of the fixed asset over its estimated useful life. Depreciation expense for the years ended December 31, 2024,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1" w:name="page112"/>
    <w:bookmarkEnd w:id="111"/>
    <w:p>
      <w:pPr>
        <w:ind w:right="40"/>
        <w:spacing w:after="0" w:line="266" w:lineRule="auto"/>
        <w:rPr>
          <w:sz w:val="20"/>
          <w:szCs w:val="20"/>
          <w:color w:val="auto"/>
        </w:rPr>
      </w:pPr>
      <w:r>
        <w:rPr>
          <w:rFonts w:ascii="Times New Roman" w:cs="Times New Roman" w:eastAsia="Times New Roman" w:hAnsi="Times New Roman"/>
          <w:sz w:val="18"/>
          <w:szCs w:val="18"/>
          <w:color w:val="auto"/>
        </w:rPr>
        <w:t>and 2022 was $0.1 million, $0.2 million, and $0.6 million, respectively. Upon retirement or sale of assets, the cost of the assets disposed and the related accumulated depreciation are removed from the consolidated balance sheet and any resulting gain or loss is credited or expensed to operations. Repairs and maintenance costs are expensed as incurred.</w:t>
      </w:r>
    </w:p>
    <w:p>
      <w:pPr>
        <w:spacing w:after="0" w:line="212"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as of December 31,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r>
      <w:tr>
        <w:trPr>
          <w:trHeight w:val="210"/>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payroll-related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18,942</w:t>
            </w:r>
          </w:p>
        </w:tc>
        <w:tc>
          <w:tcPr>
            <w:tcW w:w="12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accruals</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20" w:type="dxa"/>
            <w:vAlign w:val="bottom"/>
          </w:tcPr>
          <w:p>
            <w:pPr>
              <w:spacing w:after="0"/>
              <w:rPr>
                <w:sz w:val="18"/>
                <w:szCs w:val="18"/>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revenue allowances</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104,482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145,034</w:t>
            </w:r>
          </w:p>
        </w:tc>
        <w:tc>
          <w:tcPr>
            <w:tcW w:w="12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2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139,583</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204,174</w:t>
            </w:r>
          </w:p>
        </w:tc>
        <w:tc>
          <w:tcPr>
            <w:tcW w:w="12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Amarin accrues a liability for legal contingencies when it believes that it is both probable that a liability has been incurred and that it can reasonably estimate the amount of the loss. Amarin reviews these accruals and adjusts them to reflect ongoing negotiations, settlements, rulings, advice of legal counsel and other relevant information. To the extent new information is obtained and Amarin’s views on the probable outcomes of claims, suits, assessments, investigations or legal proceedings change, changes in Amarin’s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Amarin provides disclosure of the possible loss or range of loss. If a reasonable estimate cannot be made, however, Amarin will provide disclosure to that effect.</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9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April 27, 2021 and February 21, 2023, Dr. Reddy’s and Hikma, respectively, filed complaints against the Company in the U.S. District Court for the District of New Jersey, Civil action No. 21-cv-10309 and No. 23-cv-01016, alleging various antitrust violations stemming from alleged anticompetitive practices related to the supply of active pharmaceutical ingredient of VASCEPA. DRL's complaint also includes a state law tortious interference claim related to the same alleged conduct. On March 28, 2024, Teva Pharmaceuticals USA, Inc., or Teva, filed a complaint against the Company in the U.S. District Court for the District of New Jersey, Civil action No. 24-cv-04341 alleging various antitrust violations analogous to those made by Dr. Reddy’s and Hikma. Further, on June 14, 2024, Apotex, Inc., or Apotex, filed a complaint against the Company in the U.S. District Court for the District of New Jersey. Civil action No. 24-cv-07041 alleging various antitrust violations analogous to those made by Dr. Reddy’s, Hikma and Teva, as well as a breach of contract claim related to the same alleged conduct. Apotex also seeks declaratory judgement regarding the applicability of a 2020 settlement agreement to its antitrust claims. In October 2024, Apotex amended its complaint to add as defendants KD Pharma-Bexbach GmbH; KD Swiss GmbH; Marine Ingredients, LLC; Innova Softgel, LLC; 03 Holding GmbH; Capiton AG. Relief sought include an unspecified amount of damages for alleged economic harm to each of Dr. Reddy’s, Hikma, Teva and Apotex, treble damages, other costs and fees and injunctive relief against the alleged violative activities. Amarin believes it has valid defenses and will vigorously defend against the claims. Such litigation can be lengthy, costly and could materially affect and disrupt our business.</w:t>
      </w:r>
    </w:p>
    <w:p>
      <w:pPr>
        <w:spacing w:after="0" w:line="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Amarin is named as a defendant in six antitrust class action lawsuits in the District Court for the District of New Jersey, as displayed in the table below. Each of the six antitrust class action lawsuits allege Amarin and its co-defendant suppliers violated federal antitrust laws by monopolizing and engaging in a conspiracy to restrain trade in the icosapent ethyl drug and API markets. The Indirect Purchaser Plaintiffs also assert related state antitrust, consumer protection, and unjust enrichment claims. The Indirect Purchaser Plaintiffs seek relief in the form of an unspecified amount of compensatory damages, treble damages, other costs and fees, restitution, and declaratory and injunctive relief against the alleged violative activities. The Direct Purchaser plaintiffs seek treble damages and other costs and fees.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2" w:name="page113"/>
    <w:bookmarkEnd w:id="112"/>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Lawsuits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825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Uniformed Fire Officers Association Family Protection Plan Local 854</w:t>
      </w:r>
    </w:p>
    <w:p>
      <w:pPr>
        <w:spacing w:after="0" w:line="7"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Uniformed Fire Officers Association for Retired Fire Officers Family Protection Plan The International Union of Operating Engineers Locals 137, 137A, 137B, 137C, 137R KPH Healthcare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right="260"/>
        <w:spacing w:after="0" w:line="250" w:lineRule="auto"/>
        <w:rPr>
          <w:sz w:val="20"/>
          <w:szCs w:val="20"/>
          <w:color w:val="auto"/>
        </w:rPr>
      </w:pPr>
      <w:r>
        <w:rPr>
          <w:rFonts w:ascii="Times New Roman" w:cs="Times New Roman" w:eastAsia="Times New Roman" w:hAnsi="Times New Roman"/>
          <w:sz w:val="18"/>
          <w:szCs w:val="18"/>
          <w:color w:val="auto"/>
        </w:rPr>
        <w:t>Local 464A United Food and Commercial Workers Union Welfare Service Benefit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Teamsters Health &amp; Welfare Fund of Philadelphia and Vicinity</w:t>
      </w:r>
    </w:p>
    <w:p>
      <w:pPr>
        <w:spacing w:after="0" w:line="9" w:lineRule="exact"/>
        <w:rPr>
          <w:sz w:val="20"/>
          <w:szCs w:val="20"/>
          <w:color w:val="auto"/>
        </w:rPr>
      </w:pPr>
    </w:p>
    <w:p>
      <w:pPr>
        <w:ind w:left="20" w:right="100"/>
        <w:spacing w:after="0" w:line="260" w:lineRule="auto"/>
        <w:rPr>
          <w:sz w:val="20"/>
          <w:szCs w:val="20"/>
          <w:color w:val="auto"/>
        </w:rPr>
      </w:pPr>
      <w:r>
        <w:rPr>
          <w:rFonts w:ascii="Times New Roman" w:cs="Times New Roman" w:eastAsia="Times New Roman" w:hAnsi="Times New Roman"/>
          <w:sz w:val="18"/>
          <w:szCs w:val="18"/>
          <w:color w:val="auto"/>
        </w:rPr>
        <w:t>Board of Trustees of Heavy and General Laborers’ Local Unions 472 and 172 of N.J. Welfare Fund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9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Civil Action #    Direct/Indirect Purchasers</w:t>
            </w:r>
          </w:p>
        </w:tc>
        <w:tc>
          <w:tcPr>
            <w:tcW w:w="120" w:type="dxa"/>
            <w:vAlign w:val="bottom"/>
          </w:tcPr>
          <w:p>
            <w:pPr>
              <w:spacing w:after="0"/>
              <w:rPr>
                <w:sz w:val="15"/>
                <w:szCs w:val="15"/>
                <w:color w:val="auto"/>
              </w:rPr>
            </w:pPr>
          </w:p>
        </w:tc>
        <w:tc>
          <w:tcPr>
            <w:tcW w:w="17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Date Filed</w:t>
            </w:r>
          </w:p>
        </w:tc>
      </w:tr>
      <w:tr>
        <w:trPr>
          <w:trHeight w:val="318"/>
        </w:trPr>
        <w:tc>
          <w:tcPr>
            <w:tcW w:w="10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21-12061</w:t>
            </w:r>
          </w:p>
        </w:tc>
        <w:tc>
          <w:tcPr>
            <w:tcW w:w="120" w:type="dxa"/>
            <w:vAlign w:val="bottom"/>
          </w:tcPr>
          <w:p>
            <w:pPr>
              <w:spacing w:after="0"/>
              <w:rPr>
                <w:sz w:val="24"/>
                <w:szCs w:val="24"/>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20" w:type="dxa"/>
            <w:vAlign w:val="bottom"/>
          </w:tcPr>
          <w:p>
            <w:pPr>
              <w:spacing w:after="0"/>
              <w:rPr>
                <w:sz w:val="24"/>
                <w:szCs w:val="24"/>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6/2/2021</w:t>
            </w:r>
          </w:p>
        </w:tc>
      </w:tr>
      <w:tr>
        <w:trPr>
          <w:trHeight w:val="306"/>
        </w:trPr>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21-12416</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6/11/2021</w:t>
            </w:r>
          </w:p>
        </w:tc>
      </w:tr>
      <w:tr>
        <w:trPr>
          <w:trHeight w:val="234"/>
        </w:trPr>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21-12747</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 Purchaser</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6/18/2021</w:t>
            </w:r>
          </w:p>
        </w:tc>
      </w:tr>
      <w:tr>
        <w:trPr>
          <w:trHeight w:val="324"/>
        </w:trPr>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21-13009</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6/25/2021</w:t>
            </w:r>
          </w:p>
        </w:tc>
      </w:tr>
      <w:tr>
        <w:trPr>
          <w:trHeight w:val="324"/>
        </w:trPr>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21-13406</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7/7/2021</w:t>
            </w:r>
          </w:p>
        </w:tc>
      </w:tr>
      <w:tr>
        <w:trPr>
          <w:trHeight w:val="324"/>
        </w:trPr>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21-14639</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Indirect Purchaser</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8/5/2021</w:t>
            </w:r>
          </w:p>
        </w:tc>
      </w:tr>
    </w:tbl>
    <w:p>
      <w:pPr>
        <w:spacing w:after="0" w:line="251" w:lineRule="exact"/>
        <w:rPr>
          <w:sz w:val="20"/>
          <w:szCs w:val="20"/>
          <w:color w:val="auto"/>
        </w:rPr>
      </w:pPr>
    </w:p>
    <w:p>
      <w:pPr>
        <w:sectPr>
          <w:pgSz w:w="11900" w:h="16838" w:orient="portrait"/>
          <w:cols w:equalWidth="0" w:num="2">
            <w:col w:w="6260" w:space="260"/>
            <w:col w:w="4720"/>
          </w:cols>
          <w:pgMar w:left="320" w:top="1006" w:right="339" w:bottom="1440" w:gutter="0" w:footer="0" w:header="0"/>
        </w:sect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Such antitrust litigation, and antitrust investigations, can be lengthy, costly and could materially affect and disrupt the Company’s business. The Company cannot predict when these matters will be resolved, their outcome or their potential impact on the Company’s business. If it is determined that Amarin has violated antitrust law, the Company could be subject to significant civil fines and penalties.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June 2020, the Company received a civil investigative demand, or CID, from the U.S. Department of Justice, or the DOJ, informing Amarin that the DOJ is investigating whether aspects of its promotional speaker programs and copayment waiver program during the period going back to January 1, 2015, violated the U.S. Anti-Kickback Statute and the U.S. Civil False Claims Act, in relation to the sale and marketing of VASCEPA by the Company and its previous co-marketing partner, Kowa Pharmaceuticals America, Inc. The inquiries require the Company to produce documents and answer written questions, or interrogatories, relevant to specified time periods. Amarin is cooperating with the government agencies and cannot predict when these investigations will be resolved, the outcome of the investigations or their potential impact on the Company’s business.</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October 21, 2021, a purported investor in the Company’s publicly-traded securities filed a putative class action lawsuit against the Company, the former chief executive officer and the former chief financial officer in the U.S. District Court for the District of New Jersey, </w:t>
      </w:r>
      <w:r>
        <w:rPr>
          <w:rFonts w:ascii="Times New Roman" w:cs="Times New Roman" w:eastAsia="Times New Roman" w:hAnsi="Times New Roman"/>
          <w:sz w:val="18"/>
          <w:szCs w:val="18"/>
          <w:i w:val="1"/>
          <w:iCs w:val="1"/>
          <w:color w:val="auto"/>
        </w:rPr>
        <w:t>Vincent Dang v. Amarin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plc, John F. Thero and Michael W. Kalb</w:t>
      </w:r>
      <w:r>
        <w:rPr>
          <w:rFonts w:ascii="Times New Roman" w:cs="Times New Roman" w:eastAsia="Times New Roman" w:hAnsi="Times New Roman"/>
          <w:sz w:val="18"/>
          <w:szCs w:val="18"/>
          <w:color w:val="auto"/>
        </w:rPr>
        <w:t>, No. 1:21-cv-19212 (D.N.J. Oct. 21, 2021). A subsequent case,</w:t>
      </w:r>
      <w:r>
        <w:rPr>
          <w:rFonts w:ascii="Times New Roman" w:cs="Times New Roman" w:eastAsia="Times New Roman" w:hAnsi="Times New Roman"/>
          <w:sz w:val="18"/>
          <w:szCs w:val="18"/>
          <w:i w:val="1"/>
          <w:iCs w:val="1"/>
          <w:color w:val="auto"/>
        </w:rPr>
        <w:t xml:space="preserve"> Dorfman v. Amarin Corporation plc, et al.</w:t>
      </w:r>
      <w:r>
        <w:rPr>
          <w:rFonts w:ascii="Times New Roman" w:cs="Times New Roman" w:eastAsia="Times New Roman" w:hAnsi="Times New Roman"/>
          <w:sz w:val="18"/>
          <w:szCs w:val="18"/>
          <w:color w:val="auto"/>
        </w:rPr>
        <w:t>, No.</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3:21-cv-19911 (D.N.J. filed Nov. 10, 2021), was filed in November 2021. In December 2021, several Amarin shareholders moved to consolidate the cases and appoint a lead plaintiff and lead counsel pursuant to the Private Securities Litigation Reform Act. The complaints in these actions are nearly identical and allege that the Company misled investors by allegedly downplaying the risk associated with the Company’s patent litigation related to its Abbreviated New Drug Application, or ANDA, that sought U.S. FDA approval for the sale of generic versions of icosapent ethyl, or ANDA litigation, and the risk that certain of the Company’s patents related to the MARINE indication would be invalidated. Based on these allegations, plaintiffs alleges that they purchased securities at an inflated share price and brought claims under the Securities and Exchange Act of 1934 seeking unspecified monetary damages and attorneys’ fees and costs. In October 2022, the court consolidated the cases and appointed a lead plaintiff for the putative class. On January 13, 2023, lead plaintiff filed an amended complaint that also named the former general counsel, and again alleged that the Company made false statements regarding the ANDA litigation as well as about the REDUCE-IT indication and VASCEPA’s financial prospects resulting from REDUCE-IT. All defendants have moved to dismiss the amended complaint and on September 25, 2024, the New Jersey District Court granted the Company’s motion to dismiss for all counts, without prejudice, permitting the Plaintiffs 30 days to amend and refile their lawsuit. The court subsequently granted on October 24, 2024, the Plaintiffs request for an additional 30 days to amend and refile the complaint. On November 6, 2024, the Plaintiffs advised the court that they would not refile their complaint, closing the case.</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March 29, 2023, purported investors in the Company’s publicly traded securities filed a derivative lawsuit, naming as defendants the Company’s former general counsel, the Company’s trial counsel for the ANDA litigation, and the Company as nominal defendant, in the Superior Court of New Jersey, Law Division, Monmouth County, captioned </w:t>
      </w:r>
      <w:r>
        <w:rPr>
          <w:rFonts w:ascii="Times New Roman" w:cs="Times New Roman" w:eastAsia="Times New Roman" w:hAnsi="Times New Roman"/>
          <w:sz w:val="18"/>
          <w:szCs w:val="18"/>
          <w:i w:val="1"/>
          <w:iCs w:val="1"/>
          <w:color w:val="auto"/>
        </w:rPr>
        <w:t>Anne Abramson, John Lissandrello, Georgette Appiano, and Andrew Bondarowicz v. Amarin Corporation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Covington &amp; Burling, LLP, Joseph T. Kennedy, and John Does A-Z</w:t>
      </w:r>
      <w:r>
        <w:rPr>
          <w:rFonts w:ascii="Times New Roman" w:cs="Times New Roman" w:eastAsia="Times New Roman" w:hAnsi="Times New Roman"/>
          <w:sz w:val="18"/>
          <w:szCs w:val="18"/>
          <w:color w:val="auto"/>
        </w:rPr>
        <w:t>, No. MON-L-000984-23 (N.J. Super. Ct. Law Div. Mar. 29, 2023).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alleged that the defendants failed to exercise appropriate diligence and due care in their conduct of the ANDA litigation. Based on those allegations, the complaint alleged that the defendants committed legal malpractice and sought monetary damages and attorneys’ fees and costs. On April 8, 2023, the plaintiffs voluntarily dismissed this case without prejudice.</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November 30, 2020, the Company filed a patent infringement lawsuit against Hikma for making, selling, offering to sell, and importing generic icosapent ethyl capsules in and into the U.S. in a manner that the Company alleges induced the infringement of patents covering the use of VASCEPA to reduce specified CV risk. On January 4, 2022, the district court for the District of Delaware granted a motion to dismiss the Company’s lawsuit for failure to state a claim. Thereafter, the Company appealed to the Court of Appeals for the Federal Circuit. On June 25, 2024, the Federal Circuit issued a decision reversing the district court, finding that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113" w:name="page114"/>
    <w:bookmarkEnd w:id="113"/>
    <w:p>
      <w:pPr>
        <w:ind w:right="100"/>
        <w:spacing w:after="0" w:line="312" w:lineRule="auto"/>
        <w:rPr>
          <w:sz w:val="20"/>
          <w:szCs w:val="20"/>
          <w:color w:val="auto"/>
        </w:rPr>
      </w:pPr>
      <w:r>
        <w:rPr>
          <w:rFonts w:ascii="Times New Roman" w:cs="Times New Roman" w:eastAsia="Times New Roman" w:hAnsi="Times New Roman"/>
          <w:sz w:val="17"/>
          <w:szCs w:val="17"/>
          <w:color w:val="auto"/>
        </w:rPr>
        <w:t>Company’s allegations against Hikma plausibly state a claim alleging Hikma actively induced infringement of the asserted patents. Hikma filed a petition for rehearing en banc on August 22, 2024, which was denied on October 17, 2024. The case is remanded to the district court and will proceed accordingly.</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Times New Roman" w:cs="Times New Roman" w:eastAsia="Times New Roman" w:hAnsi="Times New Roman"/>
          <w:sz w:val="18"/>
          <w:szCs w:val="18"/>
          <w:i w:val="1"/>
          <w:iCs w:val="1"/>
          <w:color w:val="auto"/>
        </w:rPr>
        <w:t>Mikhail v. Amarin Corporation, plc</w:t>
      </w:r>
      <w:r>
        <w:rPr>
          <w:rFonts w:ascii="Times New Roman" w:cs="Times New Roman" w:eastAsia="Times New Roman" w:hAnsi="Times New Roman"/>
          <w:sz w:val="18"/>
          <w:szCs w:val="18"/>
          <w:color w:val="auto"/>
        </w:rPr>
        <w:t xml:space="preserve"> (Docket No. SOM-L-000366-23), concerning Mr. Mikhail’s alleged “constructive termination” from the Company. The complaint seeks unspecified damages arising from claims for breaches of his employment agreement, Executive Severance and Change of Control Plan, and the implied covenant of good faith and fair dealing. On April 3, 2023, the case moved to the U.S. District Court for the District of New Jersey (Civ. No. 3:23-cv-01856). On June 30, 2023, all defendants moved to dismiss this case without prejudice due to lack of jurisdiction. On March 4, 2024, the District Court granted the motion in part and denied the motion in part, permitting the parties to pursue limited discovery on the issue of personal jurisdiction, and allowing defendants thereafter to refile a motion to dismiss. The Company believes it has valid defenses and will vigorously defend against the claims but cannot predict the outcome. The Company is unable to reasonably estimate the loss exposure, if any, associated with these claims.</w:t>
      </w:r>
    </w:p>
    <w:p>
      <w:pPr>
        <w:spacing w:after="0" w:line="1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12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continues to negotiate with contract suppliers to align its supply arrangements with current and future global demand which may result in additional costs to the Company. As of the date of filing this Annual Report, the Company has total obligations of $160.8 million contingent on certain suppliers obtaining regulatory approval in Europe. In addition, the Company has a total of approximately $63.6 million in future contractual purchase obligations without consideration to ongoing discussions with other suppliers. The unconditional purchase obligations for contracts with remaining terms in excess of one year are summarized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2027</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2028</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2029</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7"/>
              </w:rPr>
              <w:t>Thereafter</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Unconditional Purchase Obligations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18,900</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63,600</w:t>
            </w:r>
          </w:p>
        </w:tc>
        <w:tc>
          <w:tcPr>
            <w:tcW w:w="100" w:type="dxa"/>
            <w:vAlign w:val="bottom"/>
            <w:shd w:val="clear" w:color="auto" w:fill="CFF0FC"/>
          </w:tcPr>
          <w:p>
            <w:pPr>
              <w:spacing w:after="0"/>
              <w:rPr>
                <w:sz w:val="17"/>
                <w:szCs w:val="17"/>
                <w:color w:val="auto"/>
              </w:rPr>
            </w:pPr>
          </w:p>
        </w:tc>
      </w:tr>
    </w:tbl>
    <w:p>
      <w:pPr>
        <w:spacing w:after="0" w:line="14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the above, the Company was unable to obtain pricing reimbursement in certain countries outlined within renegotiated supply agreements by June 30, 2024, triggering obligations up to $15.8 million. The Company entered into an amended supply agreement, resulting in a liability amounting to $7.8 million, which the Company had previously recorded in cost of goods sold - restructuring inventory on the consolidated statement of operations in 2023.</w:t>
      </w:r>
    </w:p>
    <w:p>
      <w:pPr>
        <w:spacing w:after="0" w:line="12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Under the Laxdale agreement, upon receipt of a marketing approval in Europe for a further indication of VASCEPA (or further indication of any other product acquired from Laxdale in 2004), the Company must make an aggregate stock or cash payment (at the sole option of each of such former shareholder) of £5.0 million (approximately $6.3 million as of December 31, 2024) for the potential market approval.</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no provision for any of these obligations, except as noted above, since the amounts are either not paid or payable as of December 31, 2024.</w:t>
      </w:r>
    </w:p>
    <w:p>
      <w:pPr>
        <w:spacing w:after="0" w:line="198"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9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January 10, 2024, the Company announced plans to initiate a share repurchase program to purchase up to $50.0 million of the Company's ordinary shares held in the form of American Depository Shares, or ADS. We received shareholder and UK High Court approval of the share repurchase plan in April and May 2024, respectively. The Company has not commenced any share repurchases to date, but will continue to monitor business and market conditions.</w:t>
      </w:r>
    </w:p>
    <w:p>
      <w:pPr>
        <w:spacing w:after="0" w:line="4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other than as described elsewhere in this Annual Report on Form 10-K, including in the Notes to Consolidated Financial Statements, the Company did not engage in any transactions involving its common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4" w:name="page115"/>
    <w:bookmarkEnd w:id="114"/>
    <w:p>
      <w:pPr>
        <w:ind w:right="240"/>
        <w:spacing w:after="0" w:line="267" w:lineRule="auto"/>
        <w:rPr>
          <w:sz w:val="20"/>
          <w:szCs w:val="20"/>
          <w:color w:val="auto"/>
        </w:rPr>
      </w:pPr>
      <w:r>
        <w:rPr>
          <w:rFonts w:ascii="Times New Roman" w:cs="Times New Roman" w:eastAsia="Times New Roman" w:hAnsi="Times New Roman"/>
          <w:sz w:val="18"/>
          <w:szCs w:val="18"/>
          <w:color w:val="auto"/>
        </w:rPr>
        <w:t xml:space="preserve">stock. Refer to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 for discussion of ordinary shares issued as a result of stock option exercises and the vesting of restricted stock units. Refer to </w:t>
      </w:r>
      <w:r>
        <w:rPr>
          <w:rFonts w:ascii="Times New Roman" w:cs="Times New Roman" w:eastAsia="Times New Roman" w:hAnsi="Times New Roman"/>
          <w:sz w:val="18"/>
          <w:szCs w:val="18"/>
          <w:i w:val="1"/>
          <w:iCs w:val="1"/>
          <w:color w:val="auto"/>
        </w:rPr>
        <w:t>Note 9—Stock Incentive Plans and Stock Based Compensation</w:t>
      </w:r>
      <w:r>
        <w:rPr>
          <w:rFonts w:ascii="Times New Roman" w:cs="Times New Roman" w:eastAsia="Times New Roman" w:hAnsi="Times New Roman"/>
          <w:sz w:val="18"/>
          <w:szCs w:val="18"/>
          <w:color w:val="auto"/>
        </w:rPr>
        <w:t xml:space="preserve"> for discussion of shares issued under the Company’s employee stock purchase plan.</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March 12, 2025, the Company announced its intent to effect a ratio change on its ADSs from one ADS representing one ordinary share, to the new ratio of one ADS representing 20 ordinary shares, or the Ratio Change. The effective date of the Ratio Change is expected to be on or about April 11, 2025.​</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9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 xml:space="preserve">The Company issues incentive equity awards, including incentive and non-qualified stock options and restricted stock units, under the Amarin Corporation plc 2020 Stock Incentive Plan, or the 2020 Plan, which is the successor to the Amarin Corporation plc 2011 Stock Incentive Plan, as amended, or the 2011 Plan, and the Amarin Corporation plc 2002 Stock Option Plan, as amended, or the 2002 Plan, and together with the 2020 Plan and 2011 Plan, the Plans. Refer to </w:t>
      </w:r>
      <w:r>
        <w:rPr>
          <w:rFonts w:ascii="Times New Roman" w:cs="Times New Roman" w:eastAsia="Times New Roman" w:hAnsi="Times New Roman"/>
          <w:sz w:val="17"/>
          <w:szCs w:val="17"/>
          <w:i w:val="1"/>
          <w:iCs w:val="1"/>
          <w:color w:val="auto"/>
        </w:rPr>
        <w:t>Note 9—Stock Incentive Plans and Stock Based Compensation</w:t>
      </w:r>
      <w:r>
        <w:rPr>
          <w:rFonts w:ascii="Times New Roman" w:cs="Times New Roman" w:eastAsia="Times New Roman" w:hAnsi="Times New Roman"/>
          <w:sz w:val="17"/>
          <w:szCs w:val="17"/>
          <w:color w:val="auto"/>
        </w:rPr>
        <w:t xml:space="preserve"> for further information regarding the Company’s incentive equity plans and awards.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restricted stock units, or RSUs, outstanding under the 2020 Plan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4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50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27,696,061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1500" w:type="dxa"/>
            <w:vAlign w:val="bottom"/>
          </w:tcPr>
          <w:p>
            <w:pPr>
              <w:spacing w:after="0"/>
              <w:rPr>
                <w:sz w:val="18"/>
                <w:szCs w:val="18"/>
                <w:color w:val="auto"/>
              </w:rPr>
            </w:pPr>
          </w:p>
        </w:tc>
        <w:tc>
          <w:tcPr>
            <w:tcW w:w="3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150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13,865,487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1500" w:type="dxa"/>
            <w:vAlign w:val="bottom"/>
          </w:tcPr>
          <w:p>
            <w:pPr>
              <w:spacing w:after="0"/>
              <w:rPr>
                <w:sz w:val="20"/>
                <w:szCs w:val="20"/>
                <w:color w:val="auto"/>
              </w:rPr>
            </w:pPr>
          </w:p>
        </w:tc>
        <w:tc>
          <w:tcPr>
            <w:tcW w:w="3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400"/>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years ended December 31, 2024 and 2023:</w:t>
            </w:r>
          </w:p>
        </w:tc>
        <w:tc>
          <w:tcPr>
            <w:tcW w:w="0" w:type="dxa"/>
            <w:vAlign w:val="bottom"/>
          </w:tcPr>
          <w:p>
            <w:pPr>
              <w:spacing w:after="0"/>
              <w:rPr>
                <w:sz w:val="1"/>
                <w:szCs w:val="1"/>
                <w:color w:val="auto"/>
              </w:rPr>
            </w:pPr>
          </w:p>
        </w:tc>
      </w:tr>
      <w:tr>
        <w:trPr>
          <w:trHeight w:val="418"/>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tc>
        <w:tc>
          <w:tcPr>
            <w:tcW w:w="1500" w:type="dxa"/>
            <w:vAlign w:val="bottom"/>
          </w:tcPr>
          <w:p>
            <w:pPr>
              <w:spacing w:after="0"/>
              <w:rPr>
                <w:sz w:val="24"/>
                <w:szCs w:val="24"/>
                <w:color w:val="auto"/>
              </w:rPr>
            </w:pPr>
          </w:p>
        </w:tc>
        <w:tc>
          <w:tcPr>
            <w:tcW w:w="3920" w:type="dxa"/>
            <w:vAlign w:val="bottom"/>
            <w:gridSpan w:val="4"/>
          </w:tcPr>
          <w:p>
            <w:pPr>
              <w:jc w:val="right"/>
              <w:ind w:right="17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3"/>
        </w:trPr>
        <w:tc>
          <w:tcPr>
            <w:tcW w:w="5820" w:type="dxa"/>
            <w:vAlign w:val="bottom"/>
            <w:vMerge w:val="continue"/>
          </w:tcPr>
          <w:p>
            <w:pPr>
              <w:spacing w:after="0"/>
              <w:rPr>
                <w:sz w:val="15"/>
                <w:szCs w:val="15"/>
                <w:color w:val="auto"/>
              </w:rPr>
            </w:pPr>
          </w:p>
        </w:tc>
        <w:tc>
          <w:tcPr>
            <w:tcW w:w="15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740" w:type="dxa"/>
            <w:vAlign w:val="bottom"/>
            <w:tcBorders>
              <w:top w:val="single" w:sz="8" w:color="auto"/>
            </w:tcBorders>
            <w:gridSpan w:val="2"/>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0</wp:posOffset>
            </wp:positionV>
            <wp:extent cx="15513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9">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Common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right="880"/>
        <w:spacing w:after="0" w:line="249" w:lineRule="auto"/>
        <w:rPr>
          <w:sz w:val="20"/>
          <w:szCs w:val="20"/>
          <w:color w:val="auto"/>
        </w:rPr>
      </w:pPr>
      <w:r>
        <w:rPr>
          <w:rFonts w:ascii="Times New Roman" w:cs="Times New Roman" w:eastAsia="Times New Roman" w:hAnsi="Times New Roman"/>
          <w:sz w:val="18"/>
          <w:szCs w:val="18"/>
          <w:color w:val="auto"/>
        </w:rPr>
        <w:t>Gross and net proceeds from stock option exercises $ Common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right="1360"/>
        <w:spacing w:after="0" w:line="234" w:lineRule="auto"/>
        <w:rPr>
          <w:sz w:val="20"/>
          <w:szCs w:val="20"/>
          <w:color w:val="auto"/>
        </w:rPr>
      </w:pPr>
      <w:r>
        <w:rPr>
          <w:rFonts w:ascii="Times New Roman" w:cs="Times New Roman" w:eastAsia="Times New Roman" w:hAnsi="Times New Roman"/>
          <w:sz w:val="18"/>
          <w:szCs w:val="18"/>
          <w:color w:val="auto"/>
        </w:rPr>
        <w:t xml:space="preserve">Shares retained for settlement of employee tax obligations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RSUs Common shares issued in settlement of vested Performance-Based RSUs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Shares retained for settlement of employee tax obligations ─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9,500</w:t>
            </w:r>
          </w:p>
        </w:tc>
        <w:tc>
          <w:tcPr>
            <w:tcW w:w="9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1,239,763</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3,351,960</w:t>
            </w:r>
          </w:p>
        </w:tc>
        <w:tc>
          <w:tcPr>
            <w:tcW w:w="9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3,890,395</w:t>
            </w:r>
          </w:p>
        </w:tc>
      </w:tr>
      <w:tr>
        <w:trPr>
          <w:trHeight w:val="230"/>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1,009,154</w:t>
            </w:r>
          </w:p>
        </w:tc>
        <w:tc>
          <w:tcPr>
            <w:tcW w:w="9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1,187,251</w:t>
            </w:r>
          </w:p>
        </w:tc>
      </w:tr>
      <w:tr>
        <w:trPr>
          <w:trHeight w:val="23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497,397</w:t>
            </w:r>
          </w:p>
        </w:tc>
        <w:tc>
          <w:tcPr>
            <w:tcW w:w="9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358,440</w:t>
            </w:r>
          </w:p>
        </w:tc>
      </w:tr>
      <w:tr>
        <w:trPr>
          <w:trHeight w:val="32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345,693</w:t>
            </w:r>
          </w:p>
        </w:tc>
        <w:tc>
          <w:tcPr>
            <w:tcW w:w="9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143,120</w:t>
            </w:r>
          </w:p>
        </w:tc>
      </w:tr>
    </w:tbl>
    <w:p>
      <w:pPr>
        <w:spacing w:after="0" w:line="291" w:lineRule="exact"/>
        <w:rPr>
          <w:sz w:val="20"/>
          <w:szCs w:val="20"/>
          <w:color w:val="auto"/>
        </w:rPr>
      </w:pPr>
    </w:p>
    <w:p>
      <w:pPr>
        <w:sectPr>
          <w:pgSz w:w="11900" w:h="16838" w:orient="portrait"/>
          <w:cols w:equalWidth="0" w:num="2">
            <w:col w:w="6820" w:space="720"/>
            <w:col w:w="3700"/>
          </w:cols>
          <w:pgMar w:left="320" w:top="1091" w:right="339" w:bottom="1440" w:gutter="0" w:footer="0" w:header="0"/>
          <w:type w:val="continuous"/>
        </w:sectPr>
      </w:pPr>
    </w:p>
    <w:p>
      <w:pPr>
        <w:ind w:left="1020" w:right="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RSUs vested in connection with the achievement of certain performance conditions. These performance-based RSUs will primarily vest over a three-year period based on continuous service from the grant date.</w:t>
      </w:r>
    </w:p>
    <w:p>
      <w:pPr>
        <w:spacing w:after="0" w:line="10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granted a total of 2,662,000 and 5,456,800 stock options, respectively, and 7,445,700 and 8,227,800 RSUs, respectively, to employees under the Plans. The RSUs typically vest annually over a three-year period and the stock options typically vest quarterly over a four-year period.</w:t>
      </w:r>
    </w:p>
    <w:p>
      <w:pPr>
        <w:spacing w:after="0" w:line="1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to the grants noted above, in July 2024, the Company granted 5,000,000 stock options to Aaron Berg in connection with his appointment as President and Chief Executive Officer, which will vest upon achievement of specified stock price conditions for the Company.</w:t>
      </w:r>
    </w:p>
    <w:p>
      <w:pPr>
        <w:spacing w:after="0" w:line="108"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granted a total of 1,438,360 and 3,853,025 stock options, respectively, and 492,296 and 1,392,257 RSUs, respectively, to members of the Company’s Board of Directors under the Plans.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15" w:name="page116"/>
    <w:bookmarkEnd w:id="115"/>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implementation of a retention program in July 2023, the Company granted a total of 3,978,300 stock options to employees under the 2020 Plan. The options vest 50% on both January 1, 2024 and January 1, 2025, respectively. Also in July 2023, the Company granted 5,000,000 stock options to Patrick Holt in connection with his appointment as President and Chief Executive Officer, which would have vested upon achievement of specified stock price conditions for the Company, but was forfeited upon Mr. Holt's resignation from the Company.</w:t>
      </w:r>
    </w:p>
    <w:p>
      <w:pPr>
        <w:spacing w:after="0" w:line="216"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 and Stock-Based Compensation</w:t>
      </w:r>
    </w:p>
    <w:p>
      <w:pPr>
        <w:spacing w:after="0" w:line="9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upon the recommendation of the Remuneration Committee, adopted, subject to shareholder approval, the 2020 Plan which was subsequently approved by the Company’s shareholders on July 13, 2020 at the Annual General Meeting of Shareholders. The 2020 Plan is the successor to the Company’s 2011 Plan, which was set to expire on July 12, 2021, and the Company’s 2002 Plan, the Plans.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2020 Plan allows the Company to grant stock options, both incentive and non-qualified options, to employees and Directors, restricted stock units to employees and unrestricted shares to Directors. The maximum number of the Company’s Ordinary Shares of £0.50 each or any ADS’s, as to be issued under the 2020 Plan shall not exceed the sum of (i) 20,000,000 shares and (ii) the number of Shares that remained available for grants under the Company’s 2011 Plan as of July 13, 2020. If any award granted and outstanding under the Plans expires or is forfeited, surrendered, canceled or otherwise terminated, the shares may be made available for subsequent grants under the 2020 Plan. The 2020 Plan is administered by the Remuneration Committee of the Company’s Board of Directors and expires on July 13, 2030.</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terms of the Plans, stock options typically vest over a four-year period and expire after a 10-year term. The stock options are granted at an exercise price equal to the closing price of the Company’s American Depositary Shares on the grant date. The following table summarizes all stock option activity for the year ended December 31,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5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80" w:type="dxa"/>
            <w:vAlign w:val="bottom"/>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 and years)</w:t>
            </w: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27,956</w:t>
            </w:r>
          </w:p>
        </w:tc>
        <w:tc>
          <w:tcPr>
            <w:tcW w:w="28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70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(8,961 )</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(389 )</w:t>
            </w: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27,696</w:t>
            </w:r>
          </w:p>
        </w:tc>
        <w:tc>
          <w:tcPr>
            <w:tcW w:w="28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Borders>
              <w:top w:val="single" w:sz="8" w:color="CFF0FC"/>
            </w:tcBorders>
          </w:tcPr>
          <w:p>
            <w:pPr>
              <w:spacing w:after="0"/>
              <w:rPr>
                <w:sz w:val="18"/>
                <w:szCs w:val="18"/>
                <w:color w:val="auto"/>
              </w:rPr>
            </w:pPr>
          </w:p>
        </w:tc>
        <w:tc>
          <w:tcPr>
            <w:tcW w:w="1300" w:type="dxa"/>
            <w:vAlign w:val="bottom"/>
            <w:tcBorders>
              <w:top w:val="single" w:sz="8" w:color="CFF0FC"/>
            </w:tcBorders>
          </w:tcPr>
          <w:p>
            <w:pPr>
              <w:ind w:left="640"/>
              <w:spacing w:after="0"/>
              <w:rPr>
                <w:sz w:val="20"/>
                <w:szCs w:val="20"/>
                <w:color w:val="auto"/>
              </w:rPr>
            </w:pPr>
            <w:r>
              <w:rPr>
                <w:rFonts w:ascii="Times New Roman" w:cs="Times New Roman" w:eastAsia="Times New Roman" w:hAnsi="Times New Roman"/>
                <w:sz w:val="18"/>
                <w:szCs w:val="18"/>
                <w:color w:val="auto"/>
                <w:w w:val="98"/>
              </w:rPr>
              <w:t>7.3 years</w:t>
            </w:r>
          </w:p>
        </w:tc>
        <w:tc>
          <w:tcPr>
            <w:tcW w:w="28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2024</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13,834</w:t>
            </w:r>
          </w:p>
        </w:tc>
        <w:tc>
          <w:tcPr>
            <w:tcW w:w="2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4.33</w:t>
            </w:r>
          </w:p>
        </w:tc>
        <w:tc>
          <w:tcPr>
            <w:tcW w:w="26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ind w:left="640"/>
              <w:spacing w:after="0" w:line="196" w:lineRule="exact"/>
              <w:rPr>
                <w:sz w:val="20"/>
                <w:szCs w:val="20"/>
                <w:color w:val="auto"/>
              </w:rPr>
            </w:pPr>
            <w:r>
              <w:rPr>
                <w:rFonts w:ascii="Times New Roman" w:cs="Times New Roman" w:eastAsia="Times New Roman" w:hAnsi="Times New Roman"/>
                <w:sz w:val="18"/>
                <w:szCs w:val="18"/>
                <w:color w:val="auto"/>
                <w:w w:val="98"/>
              </w:rPr>
              <w:t>5.6 years</w:t>
            </w:r>
          </w:p>
        </w:tc>
        <w:tc>
          <w:tcPr>
            <w:tcW w:w="28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27,005</w:t>
            </w:r>
          </w:p>
        </w:tc>
        <w:tc>
          <w:tcPr>
            <w:tcW w:w="2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17"/>
                <w:szCs w:val="17"/>
                <w:color w:val="auto"/>
              </w:rPr>
            </w:pPr>
          </w:p>
        </w:tc>
        <w:tc>
          <w:tcPr>
            <w:tcW w:w="130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w w:val="98"/>
              </w:rPr>
              <w:t>6.5 years</w:t>
            </w: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Available for future grant as of December 31, 2024</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27,290</w:t>
            </w:r>
          </w:p>
        </w:tc>
        <w:tc>
          <w:tcPr>
            <w:tcW w:w="2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-659130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-659130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-350520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-333375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-350520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-333375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2024, 2023, and 2022 was $0.57, $1.27, and $2.56, respectively. The total grant date fair value of options vested during the years ended December 31, 2024, 2023, and 2022 was $7.3 million, $8.2 million, and $16.6 million, respectively. Included within the above table is the 5,000,000 market-based stock option award with a weighted average grant date fair value of $0.29.</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received proceeds from the exercise of options of less than $0.1 million, $1.9 million, and $0.1 million, respectively. The total intrinsic value of options exercised during the years ended December 31, 2024, 2023, and 2022 was less than $0.1 million, $0.4 million and less than $0.1 million, respectively, calculated as the difference between the quoted stock price of the Company’s common stock as of the reporting date and the exercise prices of the underlying awards.</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options have $6.2 million of unrecognized stock-based compensation expense with such expense expected to be recognized over a weighted-average period of approximately 3.2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6" w:name="page117"/>
    <w:bookmarkEnd w:id="116"/>
    <w:p>
      <w:pPr>
        <w:ind w:right="8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on the date of grant was estimated using the Black-Scholes option pricing model except for the market-based option awards which used the Monte Carlo option pricing model. Use of a valuation model requires management to make certain assumptions with respect to selected model inputs, which include:</w:t>
      </w:r>
    </w:p>
    <w:p>
      <w:pPr>
        <w:spacing w:after="0" w:line="66" w:lineRule="exact"/>
        <w:rPr>
          <w:sz w:val="20"/>
          <w:szCs w:val="20"/>
          <w:color w:val="auto"/>
        </w:rPr>
      </w:pPr>
    </w:p>
    <w:p>
      <w:pPr>
        <w:ind w:left="1020" w:right="200" w:hanging="503"/>
        <w:spacing w:after="0" w:line="284"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free rate</w:t>
      </w:r>
      <w:r>
        <w:rPr>
          <w:rFonts w:ascii="Times New Roman" w:cs="Times New Roman" w:eastAsia="Times New Roman" w:hAnsi="Times New Roman"/>
          <w:sz w:val="18"/>
          <w:szCs w:val="18"/>
          <w:color w:val="auto"/>
        </w:rPr>
        <w:t>: The risk-free interest rate is based on zero-coupon U.S. Treasury securities with a maturity term approximating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option at the date of grant.</w:t>
      </w:r>
    </w:p>
    <w:p>
      <w:pPr>
        <w:spacing w:after="0" w:line="50"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No dividend yield has been assumed as the Company does not currently pay dividends on its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anticipate doing so in the foreseeable future.</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option life: </w:t>
      </w:r>
      <w:r>
        <w:rPr>
          <w:rFonts w:ascii="Times New Roman" w:cs="Times New Roman" w:eastAsia="Times New Roman" w:hAnsi="Times New Roman"/>
          <w:sz w:val="18"/>
          <w:szCs w:val="18"/>
          <w:color w:val="auto"/>
        </w:rPr>
        <w:t>The expected life was determined using the simplified method based on the term and vesting period.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Expected stock price volatility for the Black-Scholes model was calculated based on the historical volatility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over the expected life of the option. For the Monte Carlo model, expected stock price volatility was calculated based on the historical volatility of both the Company's common stock and comparable company's common stock over the expected life of the option.</w:t>
      </w:r>
    </w:p>
    <w:p>
      <w:pPr>
        <w:spacing w:after="0" w:line="12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2024, 2023, and 2022, the Company used the following assumptions to estimate the fair value of share-based payment awards under the Black-Scholes model: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3.84% - 4.66%</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- 4.72%</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1.64% - 4.35%</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70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0.00%</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c>
          <w:tcPr>
            <w:tcW w:w="1700" w:type="dxa"/>
            <w:vAlign w:val="bottom"/>
            <w:gridSpan w:val="3"/>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5"/>
              </w:rPr>
              <w:t>6.25</w:t>
            </w:r>
          </w:p>
        </w:tc>
        <w:tc>
          <w:tcPr>
            <w:tcW w:w="16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5"/>
              </w:rPr>
              <w:t>6.25</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- 104%</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96% - 101%</w:t>
            </w: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assumptions to estimate the fair value of share-based payment awards under the Monte Carlo model in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- 3.96%</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4.06% - 4.09%</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760" w:type="dxa"/>
            <w:vAlign w:val="bottom"/>
            <w:shd w:val="clear" w:color="auto" w:fill="CFF0FC"/>
          </w:tcPr>
          <w:p>
            <w:pPr>
              <w:spacing w:after="0"/>
              <w:rPr>
                <w:sz w:val="18"/>
                <w:szCs w:val="18"/>
                <w:color w:val="auto"/>
              </w:rPr>
            </w:pPr>
          </w:p>
        </w:tc>
        <w:tc>
          <w:tcPr>
            <w:tcW w:w="860" w:type="dxa"/>
            <w:vAlign w:val="bottom"/>
            <w:shd w:val="clear" w:color="auto" w:fill="CFF0FC"/>
          </w:tcPr>
          <w:p>
            <w:pPr>
              <w:jc w:val="center"/>
              <w:ind w:right="670"/>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- 42.80%</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42.5% - 43.00%</w:t>
            </w:r>
          </w:p>
        </w:tc>
      </w:tr>
    </w:tbl>
    <w:p>
      <w:pPr>
        <w:spacing w:after="0" w:line="14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Employee stock options generally require future service and vest ratably over a four-year service period and are settled by the issuance of new common shares. The grant date fair value of the stock options, net of an estimated forfeiture rate is amortized straight-line over the awards’ vesting periods or respective requisite service periods and is adjusted for actual forfeitures over such period. The Company recorded compensation expense in relation to stock options of $7.3 million, $6.8 million, and $14.8 million for the years ended December 31, 2024, 2023, and 2022, respectively.</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restricted stock units vest based upon either a time-based service condition, a performance condition, or both. The grant date fair value of the restricted stock units, net of the estimated forfeiture rate, is amortized straight-line over the vesting periods or requisite service periods and is adjusted for actual forfeitures over such period. For any awards with a performance condition, the probability that any performance criteria will be achieved is assessed by management and compensation expense for such awards is only recorded to the extent that the attainment of the performance criteria is deemed to be probable.</w:t>
      </w:r>
    </w:p>
    <w:p>
      <w:pPr>
        <w:sectPr>
          <w:pgSz w:w="11900" w:h="16838" w:orient="portrait"/>
          <w:cols w:equalWidth="0" w:num="1">
            <w:col w:w="11240"/>
          </w:cols>
          <w:pgMar w:left="320" w:top="1174" w:right="339" w:bottom="1440" w:gutter="0" w:footer="0" w:header="0"/>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restricted stock unit activity for the year ended December 31, 2024:</w:t>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186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4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1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11,983</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(3,852 )</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4"/>
        </w:trPr>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(2,204 )</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0"/>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2">
            <w:col w:w="7240" w:space="480"/>
            <w:col w:w="3520"/>
          </w:cols>
          <w:pgMar w:left="320" w:top="1174" w:right="33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 in relation to restricted stock units of $10.4 million, $9.8 million, and $11.4 million, for the years ended December 31, 2024, 2023, and 2022, respectively. The total grant date fair value of restricted stock units vested during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17" w:name="page118"/>
    <w:bookmarkEnd w:id="117"/>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years ended December 31, 2024, 2023, and 2022 was $9.3 million, $16.3 million, and $14.3 million, respectively. As of December 31, 2024, restricted stock units have $10.1 million of unrecognized stock-based compensation expense with such expense to be recognized over a weighted-average period of approximately 1.7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expense related to stock-based awards for the years ended December 31, 2024, 2023, and 2022:</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22,339</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(1,034 )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(591 )</w:t>
            </w:r>
          </w:p>
        </w:tc>
      </w:tr>
      <w:tr>
        <w:trPr>
          <w:trHeight w:val="249"/>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13, 2017, the Board adopted, subject to shareholder approval, the Amarin Corporation plc 2017 Employee Stock Purchase Plan, or the ESPP, which was approved by the Company’s shareholders on May 15, 2017. The ESPP is intended to qualify as an “employee stock purchase plan” within the meaning of Section 423 of the Internal Revenue Code. The maximum fair market value of stock which can be purchased by a participant in a calendar year is $25,000.</w:t>
      </w:r>
    </w:p>
    <w:p>
      <w:pPr>
        <w:spacing w:after="0" w:line="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ESPP, an aggregate of 3,000,000 ordinary shares (each ordinary share to be represented by one ADS) are reserved and available for issuance, which were registered with the SEC on August 2, 2017, for sale to eligible employees. Subject to certain exclusions, any employee of the Company’s U.S. subsidiary, Amarin Pharma, Inc., who works at least 20 hours per week and has been employed for at least six months as of the first day of the applicable offering period is eligible to participate in the ESPP. Eligible employees may authorize payroll deductions of up to 15 percent of their base pay to be withheld to purchase ordinary shares, subject to terms and limitations of the plan, at a price equal to 85 percent of the lower of the fair market values of the Company’s ordinary shares as of the beginning or the end of six-month offering periods.</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offering periods ended on the last business day on or before each of May 31, 2024 and November 30, 2024, the Company issued 139,982 shares and 116,766 shares, respectively, at a purchase price of $0.64 per share and $0.43 per share, respectively.</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offering periods ended on the last business day on or before each of May 31, 2023 and November 30, 2023, the Company issued 205,861 shares and 113,749 shares, respectively, at a purchase price of $1.01 per share and $0.66 per share, respectively.</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offering periods ended on the last business day on or before each of May 31, 2022 and November 30, 2022, the Company issued 265,214 shares and 191,482 shares, respectively, at a purchase price of $1.45 per share and $1.15 per share,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785,219 shares were reserved for future issuance under the ESPP.</w:t>
      </w:r>
    </w:p>
    <w:p>
      <w:pPr>
        <w:spacing w:after="0" w:line="262"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within the provision for income taxes. The total amount of unrecognized tax benefits that would affect the Company’s effective tax rate if recognized is $11.7 million and $8.9 million as of December 31, 2024 and 2023, respectively. The Company recognized interest related to uncertain tax positions of $1.7 million and $0.7 million for the years ended December 31, 2024 and 2023, respectively. No penalties have been recognized in conjunction with these positions.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 for the years ended December 31, 2024,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210"/>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uncertain tax benefits</w:t>
            </w:r>
          </w:p>
        </w:tc>
        <w:tc>
          <w:tcPr>
            <w:tcW w:w="2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year—decreases</w:t>
            </w: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(1,612 )</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(2,261 )</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(9,107 )</w:t>
            </w:r>
          </w:p>
        </w:tc>
      </w:tr>
      <w:tr>
        <w:trPr>
          <w:trHeight w:val="21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year—increases</w:t>
            </w:r>
          </w:p>
        </w:tc>
        <w:tc>
          <w:tcPr>
            <w:tcW w:w="2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uncertain tax benefits</w:t>
            </w:r>
          </w:p>
        </w:tc>
        <w:tc>
          <w:tcPr>
            <w:tcW w:w="21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19,483</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12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3900" w:type="dxa"/>
            <w:vAlign w:val="bottom"/>
          </w:tcPr>
          <w:p>
            <w:pPr>
              <w:spacing w:after="0"/>
              <w:rPr>
                <w:sz w:val="24"/>
                <w:szCs w:val="24"/>
                <w:color w:val="auto"/>
              </w:rPr>
            </w:pPr>
          </w:p>
        </w:tc>
        <w:tc>
          <w:tcPr>
            <w:tcW w:w="25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F-24</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-1079500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-1079500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8" w:name="page119"/>
    <w:bookmarkEnd w:id="118"/>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United States, Ireland and United Kingdom, or UK. The Company remains subject to tax examinations in the following jurisdictions as of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Tax Years</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209"/>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States—Federal</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2018-2024</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States—State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2018-2024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2019-2024</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2022-2024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0"/>
        </w:trPr>
        <w:tc>
          <w:tcPr>
            <w:tcW w:w="7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 does not expect any gross liabilities to expire in 2025 based on statutory lapses or audits.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components of loss from operations before taxes were as follows for the years ended December 31, 2024, 2023 and 2022:</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r>
      <w:tr>
        <w:trPr>
          <w:trHeight w:val="210"/>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(5,284 )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 and United Kingdom</w:t>
            </w:r>
          </w:p>
        </w:tc>
        <w:tc>
          <w:tcPr>
            <w:tcW w:w="34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(76,910 )</w:t>
            </w:r>
          </w:p>
        </w:tc>
        <w:tc>
          <w:tcPr>
            <w:tcW w:w="34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(85,177 )</w:t>
            </w:r>
          </w:p>
        </w:tc>
        <w:tc>
          <w:tcPr>
            <w:tcW w:w="8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(112,527 )</w:t>
            </w:r>
          </w:p>
        </w:tc>
      </w:tr>
      <w:tr>
        <w:trPr>
          <w:trHeight w:val="216"/>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4,994</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2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before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(77,200 )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(53,670 )</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(103,805 )</w:t>
            </w:r>
          </w:p>
        </w:tc>
      </w:tr>
      <w:tr>
        <w:trPr>
          <w:trHeight w:val="20"/>
        </w:trPr>
        <w:tc>
          <w:tcPr>
            <w:tcW w:w="6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-170815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provision for income taxes shown in the accompanying consolidated statements of operations consists of the following for the years ended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States—Federal</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States—State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18"/>
                <w:szCs w:val="18"/>
                <w:color w:val="auto"/>
              </w:rPr>
            </w:pPr>
          </w:p>
        </w:tc>
      </w:tr>
      <w:tr>
        <w:trPr>
          <w:trHeight w:val="210"/>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States—Federal</w:t>
            </w:r>
          </w:p>
        </w:tc>
        <w:tc>
          <w:tcPr>
            <w:tcW w:w="3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(2,886 )</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(3,721 )</w:t>
            </w:r>
          </w:p>
        </w:tc>
      </w:tr>
      <w:tr>
        <w:trPr>
          <w:trHeight w:val="216"/>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States—State</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(1,369 )</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(934 )</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(11,514 )</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(15,408 )</w:t>
            </w: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(1,646 )</w:t>
            </w:r>
          </w:p>
        </w:tc>
      </w:tr>
      <w:tr>
        <w:trPr>
          <w:trHeight w:val="216"/>
        </w:trPr>
        <w:tc>
          <w:tcPr>
            <w:tcW w:w="6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-1156970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-1156970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-316865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-316865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income tax rate to income before taxes due to the following for the years ended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Benefits from taxes at statutory rate</w:t>
            </w:r>
          </w:p>
        </w:tc>
        <w:tc>
          <w:tcPr>
            <w:tcW w:w="22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(19,300 )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(13,418 )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(25,952 )</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differential</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tcPr>
          <w:p>
            <w:pPr>
              <w:spacing w:after="0"/>
              <w:rPr>
                <w:sz w:val="18"/>
                <w:szCs w:val="18"/>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reserves</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employee compensation</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Pr>
          <w:p>
            <w:pPr>
              <w:spacing w:after="0"/>
              <w:rPr>
                <w:sz w:val="18"/>
                <w:szCs w:val="18"/>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option/RSU windfall</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ISO disqualifying disposition windfall</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Branded prescription drug fee</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(280 )</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(257 )</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(376 )</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(958 )</w:t>
            </w: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return to provision adjustments</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(2,921 )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20" w:type="dxa"/>
            <w:vAlign w:val="bottom"/>
          </w:tcPr>
          <w:p>
            <w:pPr>
              <w:spacing w:after="0"/>
              <w:rPr>
                <w:sz w:val="18"/>
                <w:szCs w:val="18"/>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and other</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(1,048 )</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(1,542 )</w:t>
            </w:r>
          </w:p>
        </w:tc>
      </w:tr>
      <w:tr>
        <w:trPr>
          <w:trHeight w:val="198"/>
        </w:trPr>
        <w:tc>
          <w:tcPr>
            <w:tcW w:w="4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Stock Option/RSU Deferred Only</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(1,716 )</w:t>
            </w:r>
          </w:p>
        </w:tc>
        <w:tc>
          <w:tcPr>
            <w:tcW w:w="3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(3,290 )</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(1,162 )</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(1,939 )</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(2,935 )</w:t>
            </w:r>
          </w:p>
        </w:tc>
      </w:tr>
      <w:tr>
        <w:trPr>
          <w:trHeight w:val="216"/>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of tax attributes</w:t>
            </w:r>
          </w:p>
        </w:tc>
        <w:tc>
          <w:tcPr>
            <w:tcW w:w="18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4160" w:type="dxa"/>
            <w:vAlign w:val="bottom"/>
          </w:tcPr>
          <w:p>
            <w:pPr>
              <w:spacing w:after="0"/>
              <w:rPr>
                <w:sz w:val="24"/>
                <w:szCs w:val="24"/>
                <w:color w:val="auto"/>
              </w:rPr>
            </w:pPr>
          </w:p>
        </w:tc>
        <w:tc>
          <w:tcPr>
            <w:tcW w:w="22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F-25</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-1079500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-1079500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9" w:name="page120"/>
    <w:bookmarkEnd w:id="119"/>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is subject to a corporate tax rate in Ireland of 25% for non-trading activities and 12.5% for trading activities. For the years ended December 31, 2024, 2023, and 2022,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 In the table above, the Company used Amarin Corporation plc’s 25% tax rate as the starting point for the reconciliation since it is the parent entity of the business.</w:t>
      </w:r>
    </w:p>
    <w:p>
      <w:pPr>
        <w:spacing w:after="0" w:line="12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In April 2016, the Company adopted ASU No. 2016-09, </w:t>
      </w:r>
      <w:r>
        <w:rPr>
          <w:rFonts w:ascii="Times New Roman" w:cs="Times New Roman" w:eastAsia="Times New Roman" w:hAnsi="Times New Roman"/>
          <w:sz w:val="18"/>
          <w:szCs w:val="18"/>
          <w:i w:val="1"/>
          <w:iCs w:val="1"/>
          <w:color w:val="auto"/>
        </w:rPr>
        <w:t>Compensation-Stock Compensation (Topic 718): Improvements to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which changes the accounting for certain aspects of share-based payments to employees. One aspect of the standard requires that excess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provisions for income taxes for the years ended December 31, 2024, 2023 and 2022 includes $1.0 million, nil and $0.6 million of excess tax benefits, respectively, arising from share-based payments during the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effect of each type of temporary difference comprising the net deferred tax asset as of December 31, 2024 and 2023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5"/>
                <w:szCs w:val="15"/>
                <w:color w:val="auto"/>
              </w:rPr>
            </w:pP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5"/>
                <w:szCs w:val="15"/>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166,405</w:t>
            </w:r>
          </w:p>
        </w:tc>
        <w:tc>
          <w:tcPr>
            <w:tcW w:w="3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154,086</w:t>
            </w:r>
          </w:p>
        </w:tc>
        <w:tc>
          <w:tcPr>
            <w:tcW w:w="12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reserves and accrued liabilities</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20" w:type="dxa"/>
            <w:vAlign w:val="bottom"/>
          </w:tcPr>
          <w:p>
            <w:pPr>
              <w:spacing w:after="0"/>
              <w:rPr>
                <w:sz w:val="18"/>
                <w:szCs w:val="18"/>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191,922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176,311</w:t>
            </w: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(187,562 )</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(171,793 )</w:t>
            </w:r>
          </w:p>
        </w:tc>
      </w:tr>
      <w:tr>
        <w:trPr>
          <w:trHeight w:val="210"/>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3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(2,985 )</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(3,050 )</w:t>
            </w: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asset</w:t>
            </w:r>
          </w:p>
        </w:tc>
        <w:tc>
          <w:tcPr>
            <w:tcW w:w="22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(1,375 )</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(1,468 )</w:t>
            </w:r>
          </w:p>
        </w:tc>
      </w:tr>
      <w:tr>
        <w:trPr>
          <w:trHeight w:val="20"/>
        </w:trPr>
        <w:tc>
          <w:tcPr>
            <w:tcW w:w="7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(4,360 )</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(4,518 )</w:t>
            </w:r>
          </w:p>
        </w:tc>
      </w:tr>
      <w:tr>
        <w:trPr>
          <w:trHeight w:val="210"/>
        </w:trPr>
        <w:tc>
          <w:tcPr>
            <w:tcW w:w="7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assesses whether it is more-likely-than-not that the Company will realize its deferred tax assets. The Company determined that it was more likely than not that the net operating losses and the related deferred tax assets would not be realized in future periods and a full valuation allowance has been provided for all periods.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2024, the Company recorded adjustments to its deferred tax accounts related to the impact of foreign exchange rate changes and to reconcile the financial statement accounts to the amounts expected to result in future income and deductions under local law, primarily as it relates to Irish net operating losses and deferred taxes for stock compensation. These adjustments were fully offset with valuation allowances based on the Company’s position with respect to the realizability of its recorded deferred tax assets.</w:t>
      </w:r>
    </w:p>
    <w:p>
      <w:pPr>
        <w:spacing w:after="0" w:line="12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The Company has combined U.S. and non-U.S. net operating loss carryforwards of $1.0 billion, which do not expire. The total net operating loss carryforwards increased by approximately $75.6 million from the prior year primarily as a result of current year loss generated by the Company’s U.S. and non-U.S. subsidiaries, the impact of foreign exchange rate changes and adjustments to reconcile to the amount reported on the filed 2023 foreign tax returns. In addition, the Company has U.S. Federal tax credit carryforwards of $7.8 million and state tax credit carryforwards of $4.1 million. These amounts exclude the impact of any unrecognized tax benefits and valuation allowances. These carryforwards, which will expire between 2025 and 2044, may be used to offset future taxable income, if any.</w:t>
      </w:r>
    </w:p>
    <w:p>
      <w:pPr>
        <w:spacing w:after="0" w:line="12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there are no earnings that have been retained indefinitely for reinvestment by foreign subsidiary; therefore, no provision has been made for income taxes that would be payable upon the distribution of such earnings or the recovery of the Company’s investment in its subsidiaries as the amount of the related unrecognized deferred income tax liability is zero.</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taxing authorities. The Company is currently under audit by the IRS for the Company’s 2018 U.S. income tax return and by the New York Department of Finance for the years 2018 and 2019.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0" w:name="page121"/>
    <w:bookmarkEnd w:id="120"/>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9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makes available a 401(k) plan for its U.S. employees. Under the 401(k) plan, employees may make contributions which are eligible for a discretionary percentage match, in cash, as defined in the 401(k) plan and determined by the Board of Directors. The Company recognized $2.2 million, $2.7 million and $1.7 million of related compensation expense for the years ended December 31, 2024, 2023 and 2022, respectively.</w:t>
      </w:r>
    </w:p>
    <w:p>
      <w:pPr>
        <w:spacing w:after="0" w:line="199"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retail pharmacy providers in the U.S.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and in certain instances upon shipment. Payments from distributors are generally received 45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 The Company calculates gross product revenues generally based on the wholesale acquisition cost or list price that the Company charges its distributors for VASCEPA.</w:t>
      </w: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Reserves for Variable Consideration</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1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 organizations,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121" w:name="page122"/>
    <w:bookmarkEnd w:id="121"/>
    <w:p>
      <w:pPr>
        <w:ind w:right="120"/>
        <w:spacing w:after="0" w:line="255" w:lineRule="auto"/>
        <w:rPr>
          <w:sz w:val="20"/>
          <w:szCs w:val="20"/>
          <w:color w:val="auto"/>
        </w:rPr>
      </w:pPr>
      <w:r>
        <w:rPr>
          <w:rFonts w:ascii="Times New Roman" w:cs="Times New Roman" w:eastAsia="Times New Roman" w:hAnsi="Times New Roman"/>
          <w:sz w:val="18"/>
          <w:szCs w:val="18"/>
          <w:color w:val="auto"/>
        </w:rPr>
        <w:t>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 For the year ended December 31, 2023, the Company recognized $15.1 million related to a change in estimate primarily for the Medicaid rebate provision as a result of a change in the percentage of business within the Medicaid segment, with a related reduction in net loss by $15.1 million in the year ended December 31, 2023. Excluding this change in estimate, net loss per share basic and diluted for the year ended December 31, 2023 would have been $(0.18).</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 beginning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consolidated balance sheets.</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consolidated balance sheets. The Company adjusts its accruals for co-pay mitigation rebates based on actual redemption activity and estimates regarding the portion of issued co-pay mitigation rebates that it estimates will be redeemed.</w:t>
      </w:r>
    </w:p>
    <w:p>
      <w:pPr>
        <w:spacing w:after="0" w:line="1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years ended December 31, 2024 and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80" w:type="dxa"/>
            <w:vAlign w:val="bottom"/>
          </w:tcPr>
          <w:p>
            <w:pPr>
              <w:spacing w:after="0"/>
              <w:rPr>
                <w:sz w:val="13"/>
                <w:szCs w:val="13"/>
                <w:color w:val="auto"/>
              </w:rPr>
            </w:pPr>
          </w:p>
        </w:tc>
        <w:tc>
          <w:tcPr>
            <w:tcW w:w="10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60" w:type="dxa"/>
            <w:vAlign w:val="bottom"/>
          </w:tcPr>
          <w:p>
            <w:pPr>
              <w:spacing w:after="0"/>
              <w:rPr>
                <w:sz w:val="13"/>
                <w:szCs w:val="13"/>
                <w:color w:val="auto"/>
              </w:rPr>
            </w:pPr>
          </w:p>
        </w:tc>
        <w:tc>
          <w:tcPr>
            <w:tcW w:w="10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8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60" w:type="dxa"/>
            <w:vAlign w:val="bottom"/>
          </w:tcPr>
          <w:p>
            <w:pPr>
              <w:spacing w:after="0"/>
              <w:rPr>
                <w:sz w:val="15"/>
                <w:szCs w:val="15"/>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2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44,626</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136,093</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8,746</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2,056</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191,521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(897 )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(16,337 )</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(250 )</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(17,378 )</w:t>
            </w: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(71,972 )</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(593,584 )</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(1,744 )</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(14,658 )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(681,958 )</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(43,729 )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(109,258 )</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(1,219 )</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(2,163 )</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(156,369 )</w:t>
            </w: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18,834</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143,033</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7,732</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1,902</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171,501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846,449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(2,111 )</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(2,111 )</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(72,281 )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(656,381 )</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(246 )</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(10,387 )</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(739,295 )</w:t>
            </w:r>
          </w:p>
        </w:tc>
        <w:tc>
          <w:tcPr>
            <w:tcW w:w="0" w:type="dxa"/>
            <w:vAlign w:val="bottom"/>
          </w:tcPr>
          <w:p>
            <w:pPr>
              <w:spacing w:after="0"/>
              <w:rPr>
                <w:sz w:val="1"/>
                <w:szCs w:val="1"/>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(18,382 )</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(138,269 )</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(4,666 )</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(1,986 )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(163,303 )</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9,433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97,526</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4,734</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113,241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-864870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-864870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-864870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-864870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2" w:name="page123"/>
    <w:bookmarkEnd w:id="122"/>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9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 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1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During the three months ended June 30, 2024, the Company adjusted the measure of performance and recognized an additional $4.0 million of license revenue relating to Edding. Excluding this change in estimate, net loss per share basic and diluted for the year ended December 31, 2024 would have been $(0.21). During the three months ended June 30, 2023, the Company adjusted the measure of performance and recognized an additional $5.0 million and $5.3 million of license revenue relating to Edding and HLS Therapeutics Inc., or HLS, respectively. Excluding this change in estimate, net loss per share basic and diluted for the year ended December 31, 2023 would have been $(0.17). Refer to </w:t>
      </w:r>
      <w:r>
        <w:rPr>
          <w:rFonts w:ascii="Times New Roman" w:cs="Times New Roman" w:eastAsia="Times New Roman" w:hAnsi="Times New Roman"/>
          <w:sz w:val="18"/>
          <w:szCs w:val="18"/>
          <w:i w:val="1"/>
          <w:iCs w:val="1"/>
          <w:color w:val="auto"/>
        </w:rPr>
        <w:t>Note 13—Development, Commercialization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Supply Agreements </w:t>
      </w:r>
      <w:r>
        <w:rPr>
          <w:rFonts w:ascii="Times New Roman" w:cs="Times New Roman" w:eastAsia="Times New Roman" w:hAnsi="Times New Roman"/>
          <w:sz w:val="18"/>
          <w:szCs w:val="18"/>
          <w:color w:val="auto"/>
        </w:rPr>
        <w:t>for further details.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20" w:lineRule="exact"/>
        <w:rPr>
          <w:sz w:val="20"/>
          <w:szCs w:val="20"/>
          <w:color w:val="auto"/>
        </w:rPr>
      </w:pPr>
    </w:p>
    <w:p>
      <w:pPr>
        <w:ind w:right="6240" w:firstLine="8"/>
        <w:spacing w:after="0" w:line="380" w:lineRule="auto"/>
        <w:tabs>
          <w:tab w:leader="none" w:pos="509"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Development, Commercialization and Supply Agreements </w:t>
      </w:r>
      <w:r>
        <w:rPr>
          <w:rFonts w:ascii="Times New Roman" w:cs="Times New Roman" w:eastAsia="Times New Roman" w:hAnsi="Times New Roman"/>
          <w:sz w:val="18"/>
          <w:szCs w:val="18"/>
          <w:i w:val="1"/>
          <w:iCs w:val="1"/>
          <w:u w:val="single" w:color="auto"/>
          <w:color w:val="auto"/>
        </w:rPr>
        <w:t>In-licenses</w:t>
      </w:r>
    </w:p>
    <w:p>
      <w:pPr>
        <w:spacing w:after="0" w:line="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92"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8" w:right="359" w:bottom="1440" w:gutter="0" w:footer="0" w:header="0"/>
        </w:sectPr>
      </w:pPr>
    </w:p>
    <w:bookmarkStart w:id="123" w:name="page124"/>
    <w:bookmarkEnd w:id="123"/>
    <w:p>
      <w:pPr>
        <w:spacing w:after="0" w:line="261" w:lineRule="auto"/>
        <w:rPr>
          <w:sz w:val="20"/>
          <w:szCs w:val="20"/>
          <w:color w:val="auto"/>
        </w:rPr>
      </w:pPr>
      <w:r>
        <w:rPr>
          <w:rFonts w:ascii="Times New Roman" w:cs="Times New Roman" w:eastAsia="Times New Roman" w:hAnsi="Times New Roman"/>
          <w:sz w:val="18"/>
          <w:szCs w:val="18"/>
          <w:color w:val="auto"/>
        </w:rPr>
        <w:t>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12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January 2024, 2023 and 2022, the Company exercised certain rights under the agreement, resulting in payments of $1.0 million, in each of such periods, to Mochida, which was recorded as research and development expense in the consolidated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ANCHOR and REDUCE-IT clinical trials of VASCEPA.</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ind w:left="20"/>
              <w:spacing w:after="0"/>
              <w:rPr>
                <w:sz w:val="20"/>
                <w:szCs w:val="20"/>
                <w:color w:val="auto"/>
              </w:rPr>
            </w:pPr>
            <w:r>
              <w:rPr>
                <w:rFonts w:ascii="Calibri" w:cs="Calibri" w:eastAsia="Calibri" w:hAnsi="Calibri"/>
                <w:sz w:val="16"/>
                <w:szCs w:val="16"/>
                <w:b w:val="1"/>
                <w:bCs w:val="1"/>
                <w:i w:val="1"/>
                <w:iCs w:val="1"/>
                <w:color w:val="auto"/>
              </w:rPr>
              <w:t>In thousands</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r>
      <w:tr>
        <w:trPr>
          <w:trHeight w:val="21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Upfront fee</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2015</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Submission of the CTA for the MARINE indication</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Approval of VASCEPA under the MARINE indication</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Submission of the CTA for the REDUCE-IT indication</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Approval of VASCEPA under the REDUCE-IT indication</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Development Support</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8"/>
                <w:szCs w:val="18"/>
                <w:color w:val="auto"/>
              </w:rPr>
            </w:pPr>
          </w:p>
        </w:tc>
      </w:tr>
      <w:tr>
        <w:trPr>
          <w:trHeight w:val="250"/>
        </w:trPr>
        <w:tc>
          <w:tcPr>
            <w:tcW w:w="6980" w:type="dxa"/>
            <w:vAlign w:val="bottom"/>
            <w:tcBorders>
              <w:bottom w:val="single" w:sz="8" w:color="CFF0FC"/>
            </w:tcBorders>
            <w:shd w:val="clear" w:color="auto" w:fill="CFF0FC"/>
          </w:tcPr>
          <w:p>
            <w:pPr>
              <w:ind w:left="5280"/>
              <w:spacing w:after="0"/>
              <w:rPr>
                <w:sz w:val="20"/>
                <w:szCs w:val="20"/>
                <w:color w:val="auto"/>
              </w:rPr>
            </w:pPr>
            <w:r>
              <w:rPr>
                <w:rFonts w:ascii="Times New Roman" w:cs="Times New Roman" w:eastAsia="Times New Roman" w:hAnsi="Times New Roman"/>
                <w:sz w:val="18"/>
                <w:szCs w:val="18"/>
                <w:color w:val="auto"/>
                <w:w w:val="99"/>
              </w:rPr>
              <w:t>Total Transaction Price</w:t>
            </w:r>
          </w:p>
        </w:tc>
        <w:tc>
          <w:tcPr>
            <w:tcW w:w="120" w:type="dxa"/>
            <w:vAlign w:val="bottom"/>
            <w:tcBorders>
              <w:bottom w:val="single" w:sz="8" w:color="CFF0FC"/>
            </w:tcBorders>
            <w:shd w:val="clear" w:color="auto" w:fill="CFF0FC"/>
          </w:tcPr>
          <w:p>
            <w:pPr>
              <w:spacing w:after="0"/>
              <w:rPr>
                <w:sz w:val="21"/>
                <w:szCs w:val="21"/>
                <w:color w:val="auto"/>
              </w:rPr>
            </w:pPr>
          </w:p>
        </w:tc>
        <w:tc>
          <w:tcPr>
            <w:tcW w:w="2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tiered double-digit percentage royalties on net sales of VASCEPA in the China Territory escalating to the high teens. The achievement of sales-based milestone events occur when annual aggregate net sales of VASCEPA in the China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4" w:name="page125"/>
    <w:bookmarkEnd w:id="124"/>
    <w:p>
      <w:pPr>
        <w:ind w:right="140"/>
        <w:spacing w:after="0" w:line="258" w:lineRule="auto"/>
        <w:rPr>
          <w:sz w:val="20"/>
          <w:szCs w:val="20"/>
          <w:color w:val="auto"/>
        </w:rPr>
      </w:pPr>
      <w:r>
        <w:rPr>
          <w:rFonts w:ascii="Times New Roman" w:cs="Times New Roman" w:eastAsia="Times New Roman" w:hAnsi="Times New Roman"/>
          <w:sz w:val="18"/>
          <w:szCs w:val="18"/>
          <w:color w:val="auto"/>
        </w:rPr>
        <w:t>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second quarter of 2023, Edding received regulatory approval in China under the MARINE indication and pursuit of additional indications outside of the REDUCE-IT indication was not probable. As a result, the Company reevaluated the performance period and determined that completion of the remaining performance obligations was estimated to be by the end of December 2025. The effect of this change in estimate from the previously received upfront payment and prior year milestone payments was an increase of $5.0 million in licensing revenue and a related reduction in net loss by $5.0 million for the year ended December 31, 2023. In addition, the Company recognized $3.9 million related to the milestone payment received in the second quarter of 2023 for the MARINE indication approval and the remaining $1.1 million would have been recognized over the remaining performance period through December 2025. The change in estimate in 2023 resulted in the remaining performance period decreasing from 11 years to three years for recognizing the remaining deferred revenue.</w:t>
      </w:r>
    </w:p>
    <w:p>
      <w:pPr>
        <w:spacing w:after="0" w:line="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Edding received approval in China under the REDUCE-IT indication. The REDUCE-IT indication approval concludes the Company's support for regulatory activities and, as noted above, pursuit of additional indications was deemed to be not probable. As a result, the Company reevaluated the performance period and determined that all remaining performance obligations were satisfied as of June 30, 2024, resulting in a decrease of the previous performance period of two years. The effect of this change in estimate from the previously received upfront payment and prior year milestone payments was an increase of $4.0 million in licensing revenue and a related reduction in net loss by $4.0 million for the year ended December 31, 2024. In addition, the Company also recognized $15.0 million in the second quarter related to the REDUCE-IT indication approval milestone.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40" w:type="dxa"/>
            <w:vAlign w:val="bottom"/>
          </w:tcPr>
          <w:p>
            <w:pPr>
              <w:ind w:left="20"/>
              <w:spacing w:after="0"/>
              <w:rPr>
                <w:sz w:val="20"/>
                <w:szCs w:val="20"/>
                <w:color w:val="auto"/>
              </w:rPr>
            </w:pPr>
            <w:r>
              <w:rPr>
                <w:rFonts w:ascii="Calibri" w:cs="Calibri" w:eastAsia="Calibri" w:hAnsi="Calibri"/>
                <w:sz w:val="16"/>
                <w:szCs w:val="16"/>
                <w:b w:val="1"/>
                <w:bCs w:val="1"/>
                <w:i w:val="1"/>
                <w:iCs w:val="1"/>
                <w:color w:val="auto"/>
              </w:rPr>
              <w:t>In thousands</w:t>
            </w:r>
          </w:p>
        </w:tc>
        <w:tc>
          <w:tcPr>
            <w:tcW w:w="32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44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Licensing revenue recognized during the year ended December 31, 2024 </w:t>
            </w:r>
            <w:r>
              <w:rPr>
                <w:rFonts w:ascii="Times New Roman" w:cs="Times New Roman" w:eastAsia="Times New Roman" w:hAnsi="Times New Roman"/>
                <w:sz w:val="24"/>
                <w:szCs w:val="24"/>
                <w:color w:val="auto"/>
                <w:vertAlign w:val="superscript"/>
              </w:rPr>
              <w:t>(1)</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100" w:type="dxa"/>
            <w:vAlign w:val="bottom"/>
            <w:shd w:val="clear" w:color="auto" w:fill="CFF0FC"/>
          </w:tcPr>
          <w:p>
            <w:pPr>
              <w:spacing w:after="0"/>
              <w:rPr>
                <w:sz w:val="18"/>
                <w:szCs w:val="18"/>
                <w:color w:val="auto"/>
              </w:rPr>
            </w:pPr>
          </w:p>
        </w:tc>
      </w:tr>
      <w:tr>
        <w:trPr>
          <w:trHeight w:val="216"/>
        </w:trPr>
        <w:tc>
          <w:tcPr>
            <w:tcW w:w="94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Licensing revenue recognized during the year ended December 31, 2023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00" w:type="dxa"/>
            <w:vAlign w:val="bottom"/>
          </w:tcPr>
          <w:p>
            <w:pPr>
              <w:spacing w:after="0"/>
              <w:rPr>
                <w:sz w:val="18"/>
                <w:szCs w:val="18"/>
                <w:color w:val="auto"/>
              </w:rPr>
            </w:pPr>
          </w:p>
        </w:tc>
      </w:tr>
      <w:tr>
        <w:trPr>
          <w:trHeight w:val="216"/>
        </w:trPr>
        <w:tc>
          <w:tcPr>
            <w:tcW w:w="9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Licensing revenue recognized from contract inception through December 31, 2024</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shd w:val="clear" w:color="auto" w:fill="CFF0FC"/>
          </w:tcPr>
          <w:p>
            <w:pPr>
              <w:spacing w:after="0"/>
              <w:rPr>
                <w:sz w:val="18"/>
                <w:szCs w:val="18"/>
                <w:color w:val="auto"/>
              </w:rPr>
            </w:pPr>
          </w:p>
        </w:tc>
      </w:tr>
      <w:tr>
        <w:trPr>
          <w:trHeight w:val="23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revenue recognized from contract inception through December 31, 2023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tcPr>
          <w:p>
            <w:pPr>
              <w:spacing w:after="0"/>
              <w:rPr>
                <w:sz w:val="20"/>
                <w:szCs w:val="20"/>
                <w:color w:val="auto"/>
              </w:rPr>
            </w:pPr>
          </w:p>
        </w:tc>
      </w:tr>
    </w:tbl>
    <w:p>
      <w:pPr>
        <w:spacing w:after="0" w:line="71" w:lineRule="exact"/>
        <w:rPr>
          <w:sz w:val="20"/>
          <w:szCs w:val="20"/>
          <w:color w:val="auto"/>
        </w:rPr>
      </w:pPr>
    </w:p>
    <w:p>
      <w:pPr>
        <w:ind w:left="1020" w:right="52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under the DCS Agreement is recognized concurrent with the input measure of support hours provided by Amarin to Edding in achieving the combined development and regulatory performance obligation, which in the Company’s judgment is the best measure of progress towards satisfying this performance obligation.</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the remaining transaction price of $4.4 million is recorded in deferred revenue on the consolidated balance sheets. The Company fully recognized the transaction price as of June 30, 2024.</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$16.0 million and $1.8 million for the years ended December 31, 2024 and 2023, respectively, related to sales to Edding.</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has been fully recognized as of June 30, 2024.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28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2018</w:t>
            </w:r>
          </w:p>
        </w:tc>
        <w:tc>
          <w:tcPr>
            <w:tcW w:w="2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2019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2019</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2021</w:t>
            </w:r>
          </w:p>
        </w:tc>
        <w:tc>
          <w:tcPr>
            <w:tcW w:w="2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3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560" w:type="dxa"/>
            <w:vAlign w:val="bottom"/>
          </w:tcPr>
          <w:p>
            <w:pPr>
              <w:spacing w:after="0"/>
              <w:rPr>
                <w:sz w:val="20"/>
                <w:szCs w:val="20"/>
                <w:color w:val="auto"/>
              </w:rPr>
            </w:pPr>
          </w:p>
        </w:tc>
      </w:tr>
      <w:tr>
        <w:trPr>
          <w:trHeight w:val="630"/>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F-31</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5" w:name="page126"/>
    <w:bookmarkEnd w:id="125"/>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$2.7 million and $3.4 million as of December 31, 2024 and 2023, respectively, related to sales to Biologix.</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ind w:left="20"/>
              <w:spacing w:after="0"/>
              <w:rPr>
                <w:sz w:val="20"/>
                <w:szCs w:val="20"/>
                <w:color w:val="auto"/>
              </w:rPr>
            </w:pPr>
            <w:r>
              <w:rPr>
                <w:rFonts w:ascii="Calibri" w:cs="Calibri" w:eastAsia="Calibri" w:hAnsi="Calibri"/>
                <w:sz w:val="16"/>
                <w:szCs w:val="16"/>
                <w:b w:val="1"/>
                <w:bCs w:val="1"/>
                <w:i w:val="1"/>
                <w:iCs w:val="1"/>
                <w:color w:val="auto"/>
              </w:rPr>
              <w:t>In thousands</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r>
      <w:tr>
        <w:trPr>
          <w:trHeight w:val="20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Upfront fee</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2017</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Achievement of the REDUCE-IT trial primary endpoint</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Approval from Health Canada</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exclusivity from the Office of Patented Medicines and Liaison</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8"/>
                <w:szCs w:val="18"/>
                <w:color w:val="auto"/>
              </w:rPr>
            </w:pPr>
          </w:p>
        </w:tc>
      </w:tr>
      <w:tr>
        <w:trPr>
          <w:trHeight w:val="249"/>
        </w:trPr>
        <w:tc>
          <w:tcPr>
            <w:tcW w:w="6980" w:type="dxa"/>
            <w:vAlign w:val="bottom"/>
            <w:tcBorders>
              <w:bottom w:val="single" w:sz="8" w:color="CFF0FC"/>
            </w:tcBorders>
            <w:shd w:val="clear" w:color="auto" w:fill="CFF0FC"/>
          </w:tcPr>
          <w:p>
            <w:pPr>
              <w:ind w:left="5280"/>
              <w:spacing w:after="0"/>
              <w:rPr>
                <w:sz w:val="20"/>
                <w:szCs w:val="20"/>
                <w:color w:val="auto"/>
              </w:rPr>
            </w:pPr>
            <w:r>
              <w:rPr>
                <w:rFonts w:ascii="Times New Roman" w:cs="Times New Roman" w:eastAsia="Times New Roman" w:hAnsi="Times New Roman"/>
                <w:sz w:val="18"/>
                <w:szCs w:val="18"/>
                <w:color w:val="auto"/>
                <w:w w:val="99"/>
              </w:rPr>
              <w:t>Total Transaction Price</w:t>
            </w:r>
          </w:p>
        </w:tc>
        <w:tc>
          <w:tcPr>
            <w:tcW w:w="120" w:type="dxa"/>
            <w:vAlign w:val="bottom"/>
            <w:tcBorders>
              <w:bottom w:val="single" w:sz="8" w:color="CFF0FC"/>
            </w:tcBorders>
            <w:shd w:val="clear" w:color="auto" w:fill="CFF0FC"/>
          </w:tcPr>
          <w:p>
            <w:pPr>
              <w:spacing w:after="0"/>
              <w:rPr>
                <w:sz w:val="21"/>
                <w:szCs w:val="21"/>
                <w:color w:val="auto"/>
              </w:rPr>
            </w:pPr>
          </w:p>
        </w:tc>
        <w:tc>
          <w:tcPr>
            <w:tcW w:w="2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just described, the Company is entitled to receive certain sales-based milestone payments of up to an additional $50.0 million, as well as tiered double-digit royalties on net sales of VASCEPA in Canada. 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the Company concluded support for regulatory activities and pursuit of additional indications was deemed to be not probable. As a result, the Company reevaluated the performance period and determined that all remaining performance obligations were satisfied as of June 30, 2023, resulting in a decrease of the previous performance period of eight years. The effect of this change in estimate was the remaining transaction price of $5.3 million being recognized in licensing revenue and a related reduction in net loss by $5.3 million in the year ended December 31, 2023 from the previously received upfront payment and prior year milestone payments.</w:t>
      </w:r>
    </w:p>
    <w:p>
      <w:pPr>
        <w:spacing w:after="0" w:line="1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During the December 31, 2023, the Company recognized $5.6 million as licensing revenue related to upfront and milestone payments received in connection with the HLS agreement. The Company fully recognized the transaction price as of June 30, 2023.</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$4.7 million and $3.1 million for the years ended December 31, 2024 and 2023, respectively, related to sales to HLS.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October 2024, CSL obtained listing of VAZKEPA on the Pharmaceutical Benefits Scheme, or PBS, in Australia, as a result the Company received a non-refundable $1.2 million milestone payment. In addition to the upfront and milestone payment, the Company will be eligible to receive event-related milestone payments of approximately $6.0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6" w:name="page127"/>
    <w:bookmarkEnd w:id="126"/>
    <w:p>
      <w:pPr>
        <w:ind w:right="480"/>
        <w:spacing w:after="0" w:line="282" w:lineRule="auto"/>
        <w:rPr>
          <w:sz w:val="20"/>
          <w:szCs w:val="20"/>
          <w:color w:val="auto"/>
        </w:rPr>
      </w:pPr>
      <w:r>
        <w:rPr>
          <w:rFonts w:ascii="Times New Roman" w:cs="Times New Roman" w:eastAsia="Times New Roman" w:hAnsi="Times New Roman"/>
          <w:sz w:val="18"/>
          <w:szCs w:val="18"/>
          <w:color w:val="auto"/>
        </w:rPr>
        <w:t>to use its trademarks in connection with the importation, distribution, promotion, marketing and sale of VASCEPA in the Australia and New Zealand territories.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as well as the $1.2 million milestone payment received related to the listing of VAZKEPA on the PBS in Australia.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$1.2 million as licensing revenue related to the listing of VAZKEPA on the PBS in Australia. During the year ended December 31, 2023, the Company recognized $0.5 million as licensing revenue related to the upfront payment received in connection with the CSL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net product revenue of $0.8 million for the year ended December 31, 2024 related to sales to CSL (none in 2023).</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Lotus Pharmaceuticals</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July 2023, the Company entered into a distribution agreement with Lotus Pharmaceuticals, or Lotus, to commercialize and distribute VAZKEPA in South Korea and nine countries in Southeast Asia. The Company received an upfront payment of $0.3 million and is eligible to receive event-related and product-related milestone payments. The Company will be responsible for supplying finished product to Lotus at a pre-defined supply price.</w:t>
      </w:r>
    </w:p>
    <w:p>
      <w:pPr>
        <w:spacing w:after="0" w:line="12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Lotus, is a customer. The Company identified the following distinct performance obligations at the inception of the contract: an exclusive license to use its trademarks in connection with the importation, distribution, promotion, marketing and sale of VASCEPA in the South Korea and Southeast Asian territories.</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transaction price includes the $0.3 million upfront consideration.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12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$0.3 million as licensing revenue related to the upfront payment received in connection with the Lotus agreement (none in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for years ended December 31, 2024 and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5"/>
                <w:szCs w:val="15"/>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4"/>
                <w:szCs w:val="24"/>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(4,850 )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(18,586 )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20" w:right="44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approximately $4.9 million reduction consists primarily of recognition of $4.0 million relating to the change in estimate for Edding during the three months ended June 30, 2024.</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1"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approximately $18.5 million reduction consists of recognition of $5.0 million and $5.3 million relating to the change in estimate for Edding and HLS, respectively, as well as recognizing, based on the revised timeline, $3.9 million for the MARINE indication approval in China achieved during the three months ended June 30, 2023 and $2.5 million for the CTA submission with respect to the REDUCE-IT indication in China during the three months ended December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7" w:name="page128"/>
    <w:bookmarkEnd w:id="127"/>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the following revenues as a result of changes in the contract asset and contract liability balances in the respective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1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4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420" w:type="dxa"/>
            <w:vAlign w:val="bottom"/>
            <w:gridSpan w:val="2"/>
            <w:shd w:val="clear" w:color="auto" w:fill="CCEE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18"/>
                <w:szCs w:val="18"/>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42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100" w:type="dxa"/>
            <w:vAlign w:val="bottom"/>
          </w:tcPr>
          <w:p>
            <w:pPr>
              <w:spacing w:after="0"/>
              <w:rPr>
                <w:sz w:val="20"/>
                <w:szCs w:val="20"/>
                <w:color w:val="auto"/>
              </w:rPr>
            </w:pPr>
          </w:p>
        </w:tc>
      </w:tr>
    </w:tbl>
    <w:p>
      <w:pPr>
        <w:spacing w:after="0" w:line="243" w:lineRule="exact"/>
        <w:rPr>
          <w:sz w:val="20"/>
          <w:szCs w:val="20"/>
          <w:color w:val="auto"/>
        </w:rPr>
      </w:pPr>
    </w:p>
    <w:p>
      <w:pPr>
        <w:jc w:val="both"/>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(14)</w:t>
        <w:tab/>
        <w:t>Leases</w:t>
      </w:r>
    </w:p>
    <w:p>
      <w:pPr>
        <w:spacing w:after="0" w:line="173" w:lineRule="exact"/>
        <w:rPr>
          <w:sz w:val="20"/>
          <w:szCs w:val="20"/>
          <w:color w:val="auto"/>
        </w:rPr>
      </w:pPr>
    </w:p>
    <w:p>
      <w:pPr>
        <w:jc w:val="right"/>
        <w:ind w:right="10240"/>
        <w:spacing w:after="0"/>
        <w:rPr>
          <w:sz w:val="20"/>
          <w:szCs w:val="20"/>
          <w:color w:val="auto"/>
        </w:rPr>
      </w:pPr>
      <w:r>
        <w:rPr>
          <w:rFonts w:ascii="Times New Roman" w:cs="Times New Roman" w:eastAsia="Times New Roman" w:hAnsi="Times New Roman"/>
          <w:sz w:val="18"/>
          <w:szCs w:val="18"/>
          <w:i w:val="1"/>
          <w:iCs w:val="1"/>
          <w:u w:val="single" w:color="auto"/>
          <w:color w:val="auto"/>
        </w:rPr>
        <w:t>Lessee</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3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consolidated financial statements.</w:t>
      </w:r>
    </w:p>
    <w:p>
      <w:pPr>
        <w:spacing w:after="0" w:line="12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Amarin receives certain abatements subject to the limitations in the Lease.</w:t>
      </w:r>
    </w:p>
    <w:p>
      <w:pPr>
        <w:spacing w:after="0" w:line="14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new office space in Zug Switzerland, or the Zug Lease. The Zug Lease commenced on February 1, 2022, or the Zug Commencement Date, for a five-year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September 13, 2022, the Company entered into a lease agreement for new office space in Dublin, Ireland, or the Dublin Lease. The Dublin Lease commenced on October 1, 2022, or the Dublin Commencement Date, for a two-year period. Under the Dublin Lease, the Company will pay annual rent of approximately $0.4 million during the duration of the lease term.</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April 26, 2024, the Company entered into a lease agreement for new office space in Dublin, Ireland, or the Subsequent Dublin Lease. The Subsequent Dublin Lease commenced on September 1, 2024, or the Subsequent Dublin Commencement Date, for a two-year period. Under the Dublin Lease, the Company will pay annual rent of approximately $0.5 million during the duration of the lease term.</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to the real estate leases, the Company continually enters into leases agreements for various vehicles with terms ranging from month-to-month up to 36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8" w:name="page129"/>
    <w:bookmarkEnd w:id="128"/>
    <w:p>
      <w:pPr>
        <w:ind w:right="20"/>
        <w:spacing w:after="0" w:line="282" w:lineRule="auto"/>
        <w:rPr>
          <w:sz w:val="20"/>
          <w:szCs w:val="20"/>
          <w:color w:val="auto"/>
        </w:rPr>
      </w:pPr>
      <w:r>
        <w:rPr>
          <w:rFonts w:ascii="Times New Roman" w:cs="Times New Roman" w:eastAsia="Times New Roman" w:hAnsi="Times New Roman"/>
          <w:sz w:val="18"/>
          <w:szCs w:val="18"/>
          <w:color w:val="auto"/>
        </w:rPr>
        <w:t>The operating lease liability is $9.7 million and $10.6 million and the operating lease right-of-use asset is $7.6 million and $8.3 million, as of December 31, 2024 and 2023,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expense for the years ended December 31, 2024, 2023 and 2022 is approximately $2.9 million, $3.2 million and $2.8 million, respectively.</w:t>
      </w:r>
    </w:p>
    <w:p>
      <w:pPr>
        <w:spacing w:after="0" w:line="1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December 31,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49"/>
        </w:trPr>
        <w:tc>
          <w:tcPr>
            <w:tcW w:w="9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lease</w:t>
            </w:r>
          </w:p>
        </w:tc>
      </w:tr>
      <w:tr>
        <w:trPr>
          <w:trHeight w:val="148"/>
        </w:trPr>
        <w:tc>
          <w:tcPr>
            <w:tcW w:w="9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r>
      <w:tr>
        <w:trPr>
          <w:trHeight w:val="173"/>
        </w:trPr>
        <w:tc>
          <w:tcPr>
            <w:tcW w:w="9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0" w:type="dxa"/>
            <w:vAlign w:val="bottom"/>
          </w:tcPr>
          <w:p>
            <w:pPr>
              <w:spacing w:after="0"/>
              <w:rPr>
                <w:sz w:val="15"/>
                <w:szCs w:val="15"/>
                <w:color w:val="auto"/>
              </w:rPr>
            </w:pPr>
          </w:p>
        </w:tc>
      </w:tr>
      <w:tr>
        <w:trPr>
          <w:trHeight w:val="209"/>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8"/>
                <w:szCs w:val="18"/>
                <w:color w:val="auto"/>
              </w:rPr>
            </w:pPr>
          </w:p>
        </w:tc>
      </w:tr>
      <w:tr>
        <w:trPr>
          <w:trHeight w:val="210"/>
        </w:trPr>
        <w:tc>
          <w:tcPr>
            <w:tcW w:w="9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Adjustments</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(3,047 )</w:t>
            </w:r>
          </w:p>
        </w:tc>
      </w:tr>
      <w:tr>
        <w:trPr>
          <w:trHeight w:val="209"/>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FF0FC"/>
          </w:tcPr>
          <w:p>
            <w:pPr>
              <w:spacing w:after="0"/>
              <w:rPr>
                <w:sz w:val="18"/>
                <w:szCs w:val="18"/>
                <w:color w:val="auto"/>
              </w:rPr>
            </w:pPr>
          </w:p>
        </w:tc>
      </w:tr>
      <w:tr>
        <w:trPr>
          <w:trHeight w:val="234"/>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for 50,000 square feet of the 67,747 square foot New Jersey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Amarin will provide certain abatements subject to the limitations in the Lease.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5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1820" w:type="dxa"/>
            <w:vAlign w:val="bottom"/>
            <w:shd w:val="clear" w:color="auto" w:fill="CFF0FC"/>
          </w:tcPr>
          <w:p>
            <w:pPr>
              <w:jc w:val="right"/>
              <w:ind w:right="16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recognized at commencement date of sales type lease</w:t>
            </w:r>
          </w:p>
        </w:tc>
        <w:tc>
          <w:tcPr>
            <w:tcW w:w="1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37"/>
        </w:trPr>
        <w:tc>
          <w:tcPr>
            <w:tcW w:w="54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tcBorders>
          </w:tcPr>
          <w:p>
            <w:pPr>
              <w:jc w:val="right"/>
              <w:ind w:right="16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324"/>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Future minimum sales type lease and operating lease receivables as of December 31, 2024 are as follows: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5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r>
      <w:tr>
        <w:trPr>
          <w:trHeight w:val="210"/>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r>
      <w:tr>
        <w:trPr>
          <w:trHeight w:val="210"/>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6,126</w:t>
            </w:r>
          </w:p>
        </w:tc>
        <w:tc>
          <w:tcPr>
            <w:tcW w:w="100" w:type="dxa"/>
            <w:vAlign w:val="bottom"/>
            <w:shd w:val="clear" w:color="auto" w:fill="CFF0FC"/>
          </w:tcPr>
          <w:p>
            <w:pPr>
              <w:spacing w:after="0"/>
              <w:rPr>
                <w:sz w:val="18"/>
                <w:szCs w:val="18"/>
                <w:color w:val="auto"/>
              </w:rPr>
            </w:pPr>
          </w:p>
        </w:tc>
      </w:tr>
      <w:tr>
        <w:trPr>
          <w:trHeight w:val="648"/>
        </w:trPr>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3"/>
          </w:tcPr>
          <w:p>
            <w:pPr>
              <w:jc w:val="right"/>
              <w:ind w:right="1820"/>
              <w:spacing w:after="0"/>
              <w:rPr>
                <w:sz w:val="20"/>
                <w:szCs w:val="20"/>
                <w:color w:val="auto"/>
              </w:rPr>
            </w:pPr>
            <w:r>
              <w:rPr>
                <w:rFonts w:ascii="Times New Roman" w:cs="Times New Roman" w:eastAsia="Times New Roman" w:hAnsi="Times New Roman"/>
                <w:sz w:val="18"/>
                <w:szCs w:val="18"/>
                <w:color w:val="auto"/>
              </w:rPr>
              <w:t>F-35</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-2468245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-2468245</wp:posOffset>
            </wp:positionV>
            <wp:extent cx="77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58" w:lineRule="exact"/>
        <w:rPr>
          <w:sz w:val="20"/>
          <w:szCs w:val="20"/>
          <w:color w:val="auto"/>
        </w:rPr>
      </w:pPr>
    </w:p>
    <w:p>
      <w:pPr>
        <w:ind w:left="3949"/>
        <w:spacing w:after="0"/>
        <w:rPr>
          <w:sz w:val="20"/>
          <w:szCs w:val="20"/>
          <w:color w:val="auto"/>
        </w:rPr>
      </w:pPr>
      <w:r>
        <w:rPr>
          <w:rFonts w:ascii="Times New Roman" w:cs="Times New Roman" w:eastAsia="Times New Roman" w:hAnsi="Times New Roman"/>
          <w:sz w:val="22"/>
          <w:szCs w:val="22"/>
          <w:b w:val="1"/>
          <w:bCs w:val="1"/>
          <w:color w:val="auto"/>
        </w:rPr>
        <w:t>AMARIN CORPORATION PLC</w:t>
      </w:r>
    </w:p>
    <w:p>
      <w:pPr>
        <w:spacing w:after="0" w:line="206" w:lineRule="exact"/>
        <w:rPr>
          <w:sz w:val="20"/>
          <w:szCs w:val="20"/>
          <w:color w:val="auto"/>
        </w:rPr>
      </w:pPr>
    </w:p>
    <w:p>
      <w:pPr>
        <w:ind w:left="2109"/>
        <w:spacing w:after="0"/>
        <w:rPr>
          <w:sz w:val="20"/>
          <w:szCs w:val="20"/>
          <w:color w:val="auto"/>
        </w:rPr>
      </w:pPr>
      <w:r>
        <w:rPr>
          <w:rFonts w:ascii="Times New Roman" w:cs="Times New Roman" w:eastAsia="Times New Roman" w:hAnsi="Times New Roman"/>
          <w:sz w:val="22"/>
          <w:szCs w:val="22"/>
          <w:b w:val="1"/>
          <w:bCs w:val="1"/>
          <w:color w:val="auto"/>
        </w:rPr>
        <w:t>STATEMENT OF COMPANY POLICY ON INSIDER TRADING AND</w:t>
      </w:r>
    </w:p>
    <w:p>
      <w:pPr>
        <w:spacing w:after="0" w:line="18"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DISCLOSURE</w:t>
      </w:r>
    </w:p>
    <w:p>
      <w:pPr>
        <w:spacing w:after="0" w:line="205"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December 9, 2019</w:t>
      </w:r>
    </w:p>
    <w:p>
      <w:pPr>
        <w:spacing w:after="0" w:line="237" w:lineRule="exact"/>
        <w:rPr>
          <w:sz w:val="20"/>
          <w:szCs w:val="20"/>
          <w:color w:val="auto"/>
        </w:rPr>
      </w:pPr>
    </w:p>
    <w:p>
      <w:pPr>
        <w:jc w:val="both"/>
        <w:ind w:left="9" w:right="120" w:firstLine="747"/>
        <w:spacing w:after="0" w:line="234" w:lineRule="auto"/>
        <w:rPr>
          <w:sz w:val="20"/>
          <w:szCs w:val="20"/>
          <w:color w:val="auto"/>
        </w:rPr>
      </w:pPr>
      <w:r>
        <w:rPr>
          <w:rFonts w:ascii="Times New Roman" w:cs="Times New Roman" w:eastAsia="Times New Roman" w:hAnsi="Times New Roman"/>
          <w:sz w:val="22"/>
          <w:szCs w:val="22"/>
          <w:color w:val="auto"/>
        </w:rPr>
        <w:t xml:space="preserve">This memorandum sets forth the policy of Amarin Corporation plc and its subsidiaries (collectively, the “Company”) regarding trading in the Company’s securities as described below and the disclosure of information concerning the Company. This Statement of Company Policy on Insider Trading and Disclosure (the “Insider Trading Policy”) is designed to prevent insider trading or the appearance of impropriety, to satisfy the Company’s obligation to reasonably supervise the activities of Company personnel, and to help Company personnel avoid the severe consequences associated with violations of insider trading laws. </w:t>
      </w:r>
      <w:r>
        <w:rPr>
          <w:rFonts w:ascii="Times New Roman" w:cs="Times New Roman" w:eastAsia="Times New Roman" w:hAnsi="Times New Roman"/>
          <w:sz w:val="22"/>
          <w:szCs w:val="22"/>
          <w:b w:val="1"/>
          <w:bCs w:val="1"/>
          <w:color w:val="auto"/>
        </w:rPr>
        <w:t>It is your obligation to understand and comply with this Insider Trading Policy.</w:t>
      </w:r>
      <w:r>
        <w:rPr>
          <w:rFonts w:ascii="Times New Roman" w:cs="Times New Roman" w:eastAsia="Times New Roman" w:hAnsi="Times New Roman"/>
          <w:sz w:val="22"/>
          <w:szCs w:val="22"/>
          <w:color w:val="auto"/>
        </w:rPr>
        <w:t xml:space="preserve"> The Company has designated its General Counsel as its insider trading compliance officer. Please contact the Company’s General Counsel at c/o Amarin Pharma, Inc., 440 Route 22 Bridgewater, NJ 08807, USA if you have any questions regarding the policy. The General Counsel may, at his discretion, designate the Company’s President as his substitute and the party responsible for administering the Insider Trading Policy and Trading Procedures (defined below).</w:t>
      </w:r>
    </w:p>
    <w:p>
      <w:pPr>
        <w:spacing w:after="0" w:line="281" w:lineRule="exact"/>
        <w:rPr>
          <w:sz w:val="20"/>
          <w:szCs w:val="20"/>
          <w:color w:val="auto"/>
        </w:rPr>
      </w:pPr>
    </w:p>
    <w:p>
      <w:pPr>
        <w:ind w:left="749" w:hanging="747"/>
        <w:spacing w:after="0"/>
        <w:tabs>
          <w:tab w:leader="none" w:pos="749" w:val="left"/>
        </w:tabs>
        <w:numPr>
          <w:ilvl w:val="0"/>
          <w:numId w:val="7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To Whom does this Insider Trading Policy Apply?</w:t>
      </w:r>
    </w:p>
    <w:p>
      <w:pPr>
        <w:spacing w:after="0" w:line="212" w:lineRule="exact"/>
        <w:rPr>
          <w:sz w:val="20"/>
          <w:szCs w:val="20"/>
          <w:color w:val="auto"/>
        </w:rPr>
      </w:pPr>
    </w:p>
    <w:p>
      <w:pPr>
        <w:jc w:val="both"/>
        <w:ind w:left="9" w:right="120" w:firstLine="747"/>
        <w:spacing w:after="0" w:line="235" w:lineRule="auto"/>
        <w:rPr>
          <w:sz w:val="20"/>
          <w:szCs w:val="20"/>
          <w:color w:val="auto"/>
        </w:rPr>
      </w:pPr>
      <w:r>
        <w:rPr>
          <w:rFonts w:ascii="Times New Roman" w:cs="Times New Roman" w:eastAsia="Times New Roman" w:hAnsi="Times New Roman"/>
          <w:sz w:val="22"/>
          <w:szCs w:val="22"/>
          <w:color w:val="auto"/>
        </w:rPr>
        <w:t>This Insider Trading Policy is applicable to the Company’s directors, officers and employees, and continues to apply following the termination of any such individual’s service to or employment with the Company until any material, nonpublic information possessed by such individual has become public or is no longer material. The same restrictions that apply to you also apply to your spouse, significant other, child, parent or other family member, in each case, living in the same household, and to any investment fund, trust, retirement plan, partnership, corporation or other entity over which you have the ability to influence or direct investment decisions concerning securities. You are responsible for ensuring compliance with this Insider Trading Policy by all such persons affiliated with you.</w:t>
      </w:r>
    </w:p>
    <w:p>
      <w:pPr>
        <w:spacing w:after="0" w:line="183" w:lineRule="exact"/>
        <w:rPr>
          <w:sz w:val="20"/>
          <w:szCs w:val="20"/>
          <w:color w:val="auto"/>
        </w:rPr>
      </w:pPr>
    </w:p>
    <w:p>
      <w:pPr>
        <w:jc w:val="both"/>
        <w:ind w:left="9" w:right="120" w:firstLine="747"/>
        <w:spacing w:after="0" w:line="228" w:lineRule="auto"/>
        <w:rPr>
          <w:sz w:val="20"/>
          <w:szCs w:val="20"/>
          <w:color w:val="auto"/>
        </w:rPr>
      </w:pPr>
      <w:r>
        <w:rPr>
          <w:rFonts w:ascii="Times New Roman" w:cs="Times New Roman" w:eastAsia="Times New Roman" w:hAnsi="Times New Roman"/>
          <w:sz w:val="22"/>
          <w:szCs w:val="22"/>
          <w:color w:val="auto"/>
        </w:rPr>
        <w:t>All members of the Board of Directors and certain designated officers and employees also must comply with the Company’s Special Trading Procedures for Insiders (the “Trading Procedures”), which supplement and shall be deemed a part of this Insider Trading Policy. The officers and employees that are required to comply with the Trading Procedures shall be designated from time to time and notified of their status accordingly by the Company’s General Counsel.</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Generally, the Trading Procedures establish trading windows outside of which the persons covered by the Trading Procedures will be restricted from trading in the Company's securities and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9" w:hanging="109"/>
        <w:spacing w:after="0"/>
        <w:tabs>
          <w:tab w:leader="none" w:pos="109" w:val="left"/>
        </w:tabs>
        <w:numPr>
          <w:ilvl w:val="0"/>
          <w:numId w:val="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Per Procedures, only specified individuals will be subject to quarterly blackouts, pre-clearance procedures and other specified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467360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9"/>
          </w:cols>
          <w:pgMar w:left="431" w:top="1391" w:right="339" w:bottom="1440" w:gutter="0" w:footer="0" w:header="0"/>
        </w:sectPr>
      </w:pPr>
    </w:p>
    <w:bookmarkStart w:id="130" w:name="page131"/>
    <w:bookmarkEnd w:id="130"/>
    <w:p>
      <w:pPr>
        <w:ind w:left="40" w:right="640"/>
        <w:spacing w:after="0" w:line="258" w:lineRule="auto"/>
        <w:rPr>
          <w:sz w:val="20"/>
          <w:szCs w:val="20"/>
          <w:color w:val="auto"/>
        </w:rPr>
      </w:pPr>
      <w:r>
        <w:rPr>
          <w:rFonts w:ascii="Times New Roman" w:cs="Times New Roman" w:eastAsia="Times New Roman" w:hAnsi="Times New Roman"/>
          <w:sz w:val="22"/>
          <w:szCs w:val="22"/>
          <w:color w:val="auto"/>
        </w:rPr>
        <w:t>require the pre-clearance of all transactions in the Company’s securities by such persons. You will be notified if you are required to comply with the Company’s Trading Procedures.</w:t>
      </w:r>
    </w:p>
    <w:p>
      <w:pPr>
        <w:spacing w:after="0" w:line="158" w:lineRule="exact"/>
        <w:rPr>
          <w:sz w:val="20"/>
          <w:szCs w:val="20"/>
          <w:color w:val="auto"/>
        </w:rPr>
      </w:pPr>
    </w:p>
    <w:p>
      <w:pPr>
        <w:jc w:val="both"/>
        <w:ind w:left="40" w:right="20" w:firstLine="747"/>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58" w:lineRule="exact"/>
        <w:rPr>
          <w:sz w:val="20"/>
          <w:szCs w:val="20"/>
          <w:color w:val="auto"/>
        </w:rPr>
      </w:pPr>
    </w:p>
    <w:p>
      <w:pPr>
        <w:jc w:val="both"/>
        <w:ind w:left="40" w:firstLine="747"/>
        <w:spacing w:after="0" w:line="239" w:lineRule="auto"/>
        <w:rPr>
          <w:sz w:val="20"/>
          <w:szCs w:val="20"/>
          <w:color w:val="auto"/>
        </w:rPr>
      </w:pPr>
      <w:r>
        <w:rPr>
          <w:rFonts w:ascii="Times New Roman" w:cs="Times New Roman" w:eastAsia="Times New Roman" w:hAnsi="Times New Roman"/>
          <w:sz w:val="22"/>
          <w:szCs w:val="22"/>
          <w:color w:val="auto"/>
        </w:rPr>
        <w:t>In the event that you leave the Company for any reason, this Insider Trading Policy, including, if applicable, the Trading Procedures contained herein, will continue to apply to you and your Affiliated Persons until the later of: (1) the second trading day following the public release of earnings for the fiscal quarter in which you leave the Company or (2) the second trading day after any material nonpublic information known to you has become public or is no longer material.</w:t>
      </w:r>
    </w:p>
    <w:p>
      <w:pPr>
        <w:spacing w:after="0" w:line="174" w:lineRule="exact"/>
        <w:rPr>
          <w:sz w:val="20"/>
          <w:szCs w:val="20"/>
          <w:color w:val="auto"/>
        </w:rPr>
      </w:pPr>
    </w:p>
    <w:p>
      <w:pPr>
        <w:ind w:left="780" w:hanging="747"/>
        <w:spacing w:after="0"/>
        <w:tabs>
          <w:tab w:leader="none" w:pos="780" w:val="left"/>
        </w:tabs>
        <w:numPr>
          <w:ilvl w:val="0"/>
          <w:numId w:val="7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212" w:lineRule="exact"/>
        <w:rPr>
          <w:sz w:val="20"/>
          <w:szCs w:val="20"/>
          <w:color w:val="auto"/>
        </w:rPr>
      </w:pPr>
    </w:p>
    <w:p>
      <w:pPr>
        <w:jc w:val="both"/>
        <w:ind w:left="40" w:firstLine="747"/>
        <w:spacing w:after="0" w:line="238" w:lineRule="auto"/>
        <w:rPr>
          <w:sz w:val="20"/>
          <w:szCs w:val="20"/>
          <w:color w:val="auto"/>
        </w:rPr>
      </w:pPr>
      <w:r>
        <w:rPr>
          <w:rFonts w:ascii="Times New Roman" w:cs="Times New Roman" w:eastAsia="Times New Roman" w:hAnsi="Times New Roman"/>
          <w:sz w:val="22"/>
          <w:szCs w:val="22"/>
          <w:color w:val="auto"/>
        </w:rPr>
        <w:t>It is generally illegal for any director, officer or employee of the Company to trade in the securities of the Company, whether for your account or for the account of another, while in the possession of material, nonpublic information about the Company. It is also generally illegal for any director, officer or employee of the Company to disclose material, nonpublic information about the Company to others who may trade on the basis of that information. These illegal activities are commonly referred to as “</w:t>
      </w:r>
      <w:r>
        <w:rPr>
          <w:rFonts w:ascii="Times New Roman" w:cs="Times New Roman" w:eastAsia="Times New Roman" w:hAnsi="Times New Roman"/>
          <w:sz w:val="22"/>
          <w:szCs w:val="22"/>
          <w:i w:val="1"/>
          <w:iCs w:val="1"/>
          <w:color w:val="auto"/>
        </w:rPr>
        <w:t>insider trading</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Prohibited Activities</w:t>
      </w:r>
    </w:p>
    <w:p>
      <w:pPr>
        <w:spacing w:after="0" w:line="210" w:lineRule="exact"/>
        <w:rPr>
          <w:sz w:val="20"/>
          <w:szCs w:val="20"/>
          <w:color w:val="auto"/>
        </w:rPr>
      </w:pPr>
    </w:p>
    <w:p>
      <w:pPr>
        <w:jc w:val="both"/>
        <w:ind w:left="40" w:right="20" w:firstLine="747"/>
        <w:spacing w:after="0" w:line="258" w:lineRule="auto"/>
        <w:rPr>
          <w:sz w:val="20"/>
          <w:szCs w:val="20"/>
          <w:color w:val="auto"/>
        </w:rPr>
      </w:pPr>
      <w:r>
        <w:rPr>
          <w:rFonts w:ascii="Times New Roman" w:cs="Times New Roman" w:eastAsia="Times New Roman" w:hAnsi="Times New Roman"/>
          <w:sz w:val="22"/>
          <w:szCs w:val="22"/>
          <w:color w:val="auto"/>
        </w:rPr>
        <w:t>When you know or are in possession of material, nonpublic information about the Company, you generally are prohibited from the following activities:</w:t>
      </w:r>
    </w:p>
    <w:p>
      <w:pPr>
        <w:spacing w:after="0" w:line="158" w:lineRule="exact"/>
        <w:rPr>
          <w:sz w:val="20"/>
          <w:szCs w:val="20"/>
          <w:color w:val="auto"/>
        </w:rPr>
      </w:pPr>
    </w:p>
    <w:p>
      <w:pPr>
        <w:jc w:val="both"/>
        <w:ind w:left="1160" w:hanging="378"/>
        <w:spacing w:after="0" w:line="247" w:lineRule="auto"/>
        <w:tabs>
          <w:tab w:leader="none" w:pos="11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(whether for your account or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in compliance with the affirmative defense of Rule 10b5-1 under the Exchange Act, such as when trades are made pursuant to a written plan that was adopted, or trading instructions that were given, before you knew or had possession of such material, nonpublic information and certain other conditions are satisfied;;</w:t>
      </w:r>
    </w:p>
    <w:p>
      <w:pPr>
        <w:spacing w:after="0" w:line="63" w:lineRule="exact"/>
        <w:rPr>
          <w:rFonts w:ascii="Times New Roman" w:cs="Times New Roman" w:eastAsia="Times New Roman" w:hAnsi="Times New Roman"/>
          <w:sz w:val="21"/>
          <w:szCs w:val="21"/>
          <w:color w:val="auto"/>
        </w:rPr>
      </w:pPr>
    </w:p>
    <w:p>
      <w:pPr>
        <w:ind w:left="1160" w:hanging="378"/>
        <w:spacing w:after="0"/>
        <w:tabs>
          <w:tab w:leader="none" w:pos="11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others trade for you in the Company’s securities;</w:t>
      </w:r>
    </w:p>
    <w:p>
      <w:pPr>
        <w:spacing w:after="0" w:line="84" w:lineRule="exact"/>
        <w:rPr>
          <w:rFonts w:ascii="Times New Roman" w:cs="Times New Roman" w:eastAsia="Times New Roman" w:hAnsi="Times New Roman"/>
          <w:sz w:val="22"/>
          <w:szCs w:val="22"/>
          <w:color w:val="auto"/>
        </w:rPr>
      </w:pPr>
    </w:p>
    <w:p>
      <w:pPr>
        <w:ind w:left="1160" w:hanging="378"/>
        <w:spacing w:after="0" w:line="258" w:lineRule="auto"/>
        <w:tabs>
          <w:tab w:leader="none" w:pos="11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giving trading advice of any kind about the Company except that you should, when appropriate, advise others not to trade if doing so might violate the law or this Insider Trading Policy; and</w:t>
      </w:r>
    </w:p>
    <w:p>
      <w:pPr>
        <w:spacing w:after="0" w:line="50" w:lineRule="exact"/>
        <w:rPr>
          <w:rFonts w:ascii="Times New Roman" w:cs="Times New Roman" w:eastAsia="Times New Roman" w:hAnsi="Times New Roman"/>
          <w:sz w:val="22"/>
          <w:szCs w:val="22"/>
          <w:color w:val="auto"/>
        </w:rPr>
      </w:pPr>
    </w:p>
    <w:p>
      <w:pPr>
        <w:jc w:val="both"/>
        <w:ind w:left="1160" w:hanging="378"/>
        <w:spacing w:after="0" w:line="244" w:lineRule="auto"/>
        <w:tabs>
          <w:tab w:leader="none" w:pos="11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the material, nonpublic information about the Company to anyone else who might then trade, or recommending to anyone that they purchase or sell the Company’s securities when you are aware of material, nonpublic information (these practices are known as “</w:t>
      </w:r>
      <w:r>
        <w:rPr>
          <w:rFonts w:ascii="Times New Roman" w:cs="Times New Roman" w:eastAsia="Times New Roman" w:hAnsi="Times New Roman"/>
          <w:sz w:val="22"/>
          <w:szCs w:val="22"/>
          <w:i w:val="1"/>
          <w:iCs w:val="1"/>
          <w:color w:val="auto"/>
        </w:rPr>
        <w:t>tipping</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08" w:right="459" w:bottom="1440" w:gutter="0" w:footer="0" w:header="0"/>
        </w:sectPr>
      </w:pPr>
    </w:p>
    <w:bookmarkStart w:id="131" w:name="page132"/>
    <w:bookmarkEnd w:id="131"/>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As noted above, these prohibitions also apply to your spouse, significant other, child, parent or other family member, in each case, living in the same household; and any investment fund, trust, retirement plan, partnership, corporation or other entity over which you have the ability to influence or direct investment decisions concerning securities.</w:t>
      </w:r>
    </w:p>
    <w:p>
      <w:pPr>
        <w:spacing w:after="0" w:line="169" w:lineRule="exact"/>
        <w:rPr>
          <w:sz w:val="20"/>
          <w:szCs w:val="20"/>
          <w:color w:val="auto"/>
        </w:rPr>
      </w:pPr>
    </w:p>
    <w:p>
      <w:pPr>
        <w:jc w:val="both"/>
        <w:ind w:left="40" w:firstLine="747"/>
        <w:spacing w:after="0" w:line="238" w:lineRule="auto"/>
        <w:rPr>
          <w:sz w:val="20"/>
          <w:szCs w:val="20"/>
          <w:color w:val="auto"/>
        </w:rPr>
      </w:pPr>
      <w:r>
        <w:rPr>
          <w:rFonts w:ascii="Times New Roman" w:cs="Times New Roman" w:eastAsia="Times New Roman" w:hAnsi="Times New Roman"/>
          <w:sz w:val="22"/>
          <w:szCs w:val="22"/>
          <w:b w:val="1"/>
          <w:bCs w:val="1"/>
          <w:color w:val="auto"/>
        </w:rPr>
        <w:t>This Insider Trading Policy does not apply to an exercise of an employee stock option or a warrant when payment of the exercise price is made in cash. The policy does apply, however, to the use of outstanding Company securities to constitute part or all of the exercise price of an option or warrant, any sale of stock as part of a broker-assisted cashless exercise of an option or warrant, or any other market sale for the purpose of generating the cash needed to pay the exercise price of an option or warrant.</w:t>
      </w:r>
    </w:p>
    <w:p>
      <w:pPr>
        <w:spacing w:after="0" w:line="181" w:lineRule="exact"/>
        <w:rPr>
          <w:sz w:val="20"/>
          <w:szCs w:val="20"/>
          <w:color w:val="auto"/>
        </w:rPr>
      </w:pPr>
    </w:p>
    <w:p>
      <w:pPr>
        <w:jc w:val="both"/>
        <w:ind w:left="40" w:firstLine="747"/>
        <w:spacing w:after="0" w:line="239" w:lineRule="auto"/>
        <w:rPr>
          <w:sz w:val="20"/>
          <w:szCs w:val="20"/>
          <w:color w:val="auto"/>
        </w:rPr>
      </w:pPr>
      <w:r>
        <w:rPr>
          <w:rFonts w:ascii="Times New Roman" w:cs="Times New Roman" w:eastAsia="Times New Roman" w:hAnsi="Times New Roman"/>
          <w:sz w:val="22"/>
          <w:szCs w:val="22"/>
          <w:color w:val="auto"/>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Definition of Material, Nonpublic Information</w:t>
      </w:r>
    </w:p>
    <w:p>
      <w:pPr>
        <w:spacing w:after="0" w:line="210" w:lineRule="exact"/>
        <w:rPr>
          <w:sz w:val="20"/>
          <w:szCs w:val="20"/>
          <w:color w:val="auto"/>
        </w:rPr>
      </w:pPr>
    </w:p>
    <w:p>
      <w:pPr>
        <w:jc w:val="both"/>
        <w:ind w:left="40" w:firstLine="747"/>
        <w:spacing w:after="0" w:line="258" w:lineRule="auto"/>
        <w:rPr>
          <w:sz w:val="20"/>
          <w:szCs w:val="20"/>
          <w:color w:val="auto"/>
        </w:rPr>
      </w:pPr>
      <w:r>
        <w:rPr>
          <w:rFonts w:ascii="Times New Roman" w:cs="Times New Roman" w:eastAsia="Times New Roman" w:hAnsi="Times New Roman"/>
          <w:sz w:val="22"/>
          <w:szCs w:val="22"/>
          <w:color w:val="auto"/>
        </w:rPr>
        <w:t>This Insider Trading Policy prohibits you from trading in the Company’s securities if you are in possession of information about the Company that is both “</w:t>
      </w:r>
      <w:r>
        <w:rPr>
          <w:rFonts w:ascii="Times New Roman" w:cs="Times New Roman" w:eastAsia="Times New Roman" w:hAnsi="Times New Roman"/>
          <w:sz w:val="22"/>
          <w:szCs w:val="22"/>
          <w:i w:val="1"/>
          <w:iCs w:val="1"/>
          <w:color w:val="auto"/>
        </w:rPr>
        <w:t>material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i w:val="1"/>
          <w:iCs w:val="1"/>
          <w:color w:val="auto"/>
        </w:rPr>
        <w:t>What is “Material” Information?</w:t>
      </w:r>
    </w:p>
    <w:p>
      <w:pPr>
        <w:spacing w:after="0" w:line="212" w:lineRule="exact"/>
        <w:rPr>
          <w:sz w:val="20"/>
          <w:szCs w:val="20"/>
          <w:color w:val="auto"/>
        </w:rPr>
      </w:pPr>
    </w:p>
    <w:p>
      <w:pPr>
        <w:jc w:val="both"/>
        <w:ind w:left="40" w:firstLine="747"/>
        <w:spacing w:after="0" w:line="236" w:lineRule="auto"/>
        <w:rPr>
          <w:sz w:val="20"/>
          <w:szCs w:val="20"/>
          <w:color w:val="auto"/>
        </w:rPr>
      </w:pPr>
      <w:r>
        <w:rPr>
          <w:rFonts w:ascii="Times New Roman" w:cs="Times New Roman" w:eastAsia="Times New Roman" w:hAnsi="Times New Roman"/>
          <w:sz w:val="22"/>
          <w:szCs w:val="22"/>
          <w:color w:val="auto"/>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81" w:lineRule="exact"/>
        <w:rPr>
          <w:sz w:val="20"/>
          <w:szCs w:val="20"/>
          <w:color w:val="auto"/>
        </w:rPr>
      </w:pPr>
    </w:p>
    <w:p>
      <w:pPr>
        <w:ind w:left="1520" w:hanging="738"/>
        <w:spacing w:after="0"/>
        <w:tabs>
          <w:tab w:leader="none" w:pos="15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related to clinical trials or the expected timing of announcing the results of such trials;</w:t>
      </w:r>
    </w:p>
    <w:p>
      <w:pPr>
        <w:spacing w:after="0" w:line="98" w:lineRule="exact"/>
        <w:rPr>
          <w:rFonts w:ascii="Times New Roman" w:cs="Times New Roman" w:eastAsia="Times New Roman" w:hAnsi="Times New Roman"/>
          <w:sz w:val="22"/>
          <w:szCs w:val="22"/>
          <w:color w:val="auto"/>
        </w:rPr>
      </w:pPr>
    </w:p>
    <w:p>
      <w:pPr>
        <w:ind w:left="1520" w:hanging="738"/>
        <w:spacing w:after="0" w:line="258" w:lineRule="auto"/>
        <w:tabs>
          <w:tab w:leader="none" w:pos="15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related to decisions by regulatory authorities regarding regulatory approval with respect to applications of drug candidates or regulatory exclusivity with respect to approved applications;</w:t>
      </w:r>
    </w:p>
    <w:p>
      <w:pPr>
        <w:spacing w:after="0" w:line="50" w:lineRule="exact"/>
        <w:rPr>
          <w:rFonts w:ascii="Times New Roman" w:cs="Times New Roman" w:eastAsia="Times New Roman" w:hAnsi="Times New Roman"/>
          <w:sz w:val="22"/>
          <w:szCs w:val="22"/>
          <w:color w:val="auto"/>
        </w:rPr>
      </w:pPr>
    </w:p>
    <w:p>
      <w:pPr>
        <w:ind w:left="1540" w:hanging="758"/>
        <w:spacing w:after="0"/>
        <w:tabs>
          <w:tab w:leader="none" w:pos="15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84" w:lineRule="exact"/>
        <w:rPr>
          <w:rFonts w:ascii="Times New Roman" w:cs="Times New Roman" w:eastAsia="Times New Roman" w:hAnsi="Times New Roman"/>
          <w:sz w:val="22"/>
          <w:szCs w:val="22"/>
          <w:color w:val="auto"/>
        </w:rPr>
      </w:pPr>
    </w:p>
    <w:p>
      <w:pPr>
        <w:ind w:left="1520" w:hanging="738"/>
        <w:spacing w:after="0"/>
        <w:tabs>
          <w:tab w:leader="none" w:pos="15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revenue that are inconsistent with the consensus expectations of the investment community;</w:t>
      </w:r>
    </w:p>
    <w:p>
      <w:pPr>
        <w:spacing w:after="0" w:line="98" w:lineRule="exact"/>
        <w:rPr>
          <w:rFonts w:ascii="Times New Roman" w:cs="Times New Roman" w:eastAsia="Times New Roman" w:hAnsi="Times New Roman"/>
          <w:sz w:val="22"/>
          <w:szCs w:val="22"/>
          <w:color w:val="auto"/>
        </w:rPr>
      </w:pPr>
    </w:p>
    <w:p>
      <w:pPr>
        <w:ind w:left="1520" w:hanging="738"/>
        <w:spacing w:after="0" w:line="258" w:lineRule="auto"/>
        <w:tabs>
          <w:tab w:leader="none" w:pos="15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23" w:lineRule="exact"/>
        <w:rPr>
          <w:rFonts w:ascii="Times New Roman" w:cs="Times New Roman" w:eastAsia="Times New Roman" w:hAnsi="Times New Roman"/>
          <w:sz w:val="22"/>
          <w:szCs w:val="22"/>
          <w:color w:val="auto"/>
        </w:rPr>
      </w:pPr>
    </w:p>
    <w:p>
      <w:pPr>
        <w:ind w:left="1520" w:hanging="738"/>
        <w:spacing w:after="0"/>
        <w:tabs>
          <w:tab w:leader="none" w:pos="15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mergers, acquisitions, tender offers, joint ventures or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08" w:right="459" w:bottom="1440" w:gutter="0" w:footer="0" w:header="0"/>
        </w:sectPr>
      </w:pPr>
    </w:p>
    <w:bookmarkStart w:id="132" w:name="page133"/>
    <w:bookmarkEnd w:id="132"/>
    <w:p>
      <w:pPr>
        <w:ind w:left="1520"/>
        <w:spacing w:after="0"/>
        <w:rPr>
          <w:sz w:val="20"/>
          <w:szCs w:val="20"/>
          <w:color w:val="auto"/>
        </w:rPr>
      </w:pPr>
      <w:r>
        <w:rPr>
          <w:rFonts w:ascii="Times New Roman" w:cs="Times New Roman" w:eastAsia="Times New Roman" w:hAnsi="Times New Roman"/>
          <w:sz w:val="22"/>
          <w:szCs w:val="22"/>
          <w:color w:val="auto"/>
        </w:rPr>
        <w:t>dispositions of significant assets;</w:t>
      </w:r>
    </w:p>
    <w:p>
      <w:pPr>
        <w:spacing w:after="0" w:line="98" w:lineRule="exact"/>
        <w:rPr>
          <w:sz w:val="20"/>
          <w:szCs w:val="20"/>
          <w:color w:val="auto"/>
        </w:rPr>
      </w:pPr>
    </w:p>
    <w:p>
      <w:pPr>
        <w:ind w:left="1540" w:hanging="758"/>
        <w:spacing w:after="0"/>
        <w:tabs>
          <w:tab w:leader="none" w:pos="154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management or the Board of Directors;</w:t>
      </w:r>
    </w:p>
    <w:p>
      <w:pPr>
        <w:sectPr>
          <w:pgSz w:w="11900" w:h="16838" w:orient="portrait"/>
          <w:cols w:equalWidth="0" w:num="1">
            <w:col w:w="10940"/>
          </w:cols>
          <w:pgMar w:left="400" w:top="1408" w:right="559" w:bottom="1440" w:gutter="0" w:footer="0" w:header="0"/>
        </w:sectPr>
      </w:pP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tabs>
          <w:tab w:leader="none" w:pos="840" w:val="left"/>
          <w:tab w:leader="none" w:pos="1280" w:val="left"/>
          <w:tab w:leader="none" w:pos="2580" w:val="left"/>
          <w:tab w:leader="none" w:pos="3860" w:val="left"/>
          <w:tab w:leader="none" w:pos="6900" w:val="left"/>
        </w:tabs>
        <w:rPr>
          <w:sz w:val="20"/>
          <w:szCs w:val="20"/>
          <w:color w:val="auto"/>
        </w:rPr>
      </w:pPr>
      <w:r>
        <w:rPr>
          <w:rFonts w:ascii="Times New Roman" w:cs="Times New Roman" w:eastAsia="Times New Roman" w:hAnsi="Times New Roman"/>
          <w:sz w:val="22"/>
          <w:szCs w:val="22"/>
          <w:color w:val="auto"/>
        </w:rPr>
        <w:t>actual</w:t>
        <w:tab/>
        <w:t>or</w:t>
        <w:tab/>
        <w:t>threatened</w:t>
      </w:r>
      <w:r>
        <w:rPr>
          <w:sz w:val="20"/>
          <w:szCs w:val="20"/>
          <w:color w:val="auto"/>
        </w:rPr>
        <w:tab/>
      </w:r>
      <w:r>
        <w:rPr>
          <w:rFonts w:ascii="Times New Roman" w:cs="Times New Roman" w:eastAsia="Times New Roman" w:hAnsi="Times New Roman"/>
          <w:sz w:val="22"/>
          <w:szCs w:val="22"/>
          <w:color w:val="auto"/>
        </w:rPr>
        <w:t>litigation or</w:t>
        <w:tab/>
        <w:t>governmental investigations or</w:t>
      </w:r>
      <w:r>
        <w:rPr>
          <w:sz w:val="20"/>
          <w:szCs w:val="20"/>
          <w:color w:val="auto"/>
        </w:rPr>
        <w:tab/>
      </w:r>
      <w:r>
        <w:rPr>
          <w:rFonts w:ascii="Times New Roman" w:cs="Times New Roman" w:eastAsia="Times New Roman" w:hAnsi="Times New Roman"/>
          <w:sz w:val="21"/>
          <w:szCs w:val="21"/>
          <w:color w:val="auto"/>
        </w:rPr>
        <w:t>major developments in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matters;</w:t>
      </w:r>
    </w:p>
    <w:p>
      <w:pPr>
        <w:spacing w:after="0" w:line="74" w:lineRule="exact"/>
        <w:rPr>
          <w:sz w:val="20"/>
          <w:szCs w:val="20"/>
          <w:color w:val="auto"/>
        </w:rPr>
      </w:pPr>
    </w:p>
    <w:p>
      <w:pPr>
        <w:sectPr>
          <w:pgSz w:w="11900" w:h="16838" w:orient="portrait"/>
          <w:cols w:equalWidth="0" w:num="2">
            <w:col w:w="860" w:space="660"/>
            <w:col w:w="9420"/>
          </w:cols>
          <w:pgMar w:left="400" w:top="1408" w:right="559" w:bottom="1440" w:gutter="0" w:footer="0" w:header="0"/>
          <w:type w:val="continuous"/>
        </w:sectPr>
      </w:pPr>
    </w:p>
    <w:p>
      <w:pPr>
        <w:ind w:left="1540" w:hanging="758"/>
        <w:spacing w:after="0"/>
        <w:tabs>
          <w:tab w:leader="none" w:pos="15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w:t>
      </w:r>
    </w:p>
    <w:p>
      <w:pPr>
        <w:spacing w:after="0" w:line="98" w:lineRule="exact"/>
        <w:rPr>
          <w:rFonts w:ascii="Times New Roman" w:cs="Times New Roman" w:eastAsia="Times New Roman" w:hAnsi="Times New Roman"/>
          <w:sz w:val="22"/>
          <w:szCs w:val="22"/>
          <w:color w:val="auto"/>
        </w:rPr>
      </w:pPr>
    </w:p>
    <w:p>
      <w:pPr>
        <w:ind w:left="1540" w:hanging="758"/>
        <w:spacing w:after="0"/>
        <w:tabs>
          <w:tab w:leader="none" w:pos="15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product candidates, suppliers, or financing sources;</w:t>
      </w:r>
    </w:p>
    <w:p>
      <w:pPr>
        <w:spacing w:after="0" w:line="98" w:lineRule="exact"/>
        <w:rPr>
          <w:rFonts w:ascii="Times New Roman" w:cs="Times New Roman" w:eastAsia="Times New Roman" w:hAnsi="Times New Roman"/>
          <w:sz w:val="22"/>
          <w:szCs w:val="22"/>
          <w:color w:val="auto"/>
        </w:rPr>
      </w:pPr>
    </w:p>
    <w:p>
      <w:pPr>
        <w:ind w:left="1520" w:hanging="738"/>
        <w:spacing w:after="0"/>
        <w:tabs>
          <w:tab w:leader="none" w:pos="15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public or private sales of additional securities;</w:t>
      </w:r>
    </w:p>
    <w:p>
      <w:pPr>
        <w:spacing w:after="0" w:line="98" w:lineRule="exact"/>
        <w:rPr>
          <w:rFonts w:ascii="Times New Roman" w:cs="Times New Roman" w:eastAsia="Times New Roman" w:hAnsi="Times New Roman"/>
          <w:sz w:val="22"/>
          <w:szCs w:val="22"/>
          <w:color w:val="auto"/>
        </w:rPr>
      </w:pPr>
    </w:p>
    <w:p>
      <w:pPr>
        <w:ind w:left="1520" w:hanging="738"/>
        <w:spacing w:after="0" w:line="258" w:lineRule="auto"/>
        <w:tabs>
          <w:tab w:leader="none" w:pos="15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the Company’s credit agreements or indentures, or the existence of material liquidity deficiencies; and</w:t>
      </w:r>
    </w:p>
    <w:p>
      <w:pPr>
        <w:spacing w:after="0" w:line="50" w:lineRule="exact"/>
        <w:rPr>
          <w:rFonts w:ascii="Times New Roman" w:cs="Times New Roman" w:eastAsia="Times New Roman" w:hAnsi="Times New Roman"/>
          <w:sz w:val="22"/>
          <w:szCs w:val="22"/>
          <w:color w:val="auto"/>
        </w:rPr>
      </w:pPr>
    </w:p>
    <w:p>
      <w:pPr>
        <w:ind w:left="1540" w:hanging="758"/>
        <w:spacing w:after="0"/>
        <w:tabs>
          <w:tab w:leader="none" w:pos="15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1408" w:right="559" w:bottom="1440" w:gutter="0" w:footer="0" w:header="0"/>
          <w:type w:val="continuous"/>
        </w:sectPr>
      </w:pPr>
    </w:p>
    <w:bookmarkStart w:id="133" w:name="page134"/>
    <w:bookmarkEnd w:id="133"/>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 xml:space="preserve">By including the list above, the Company does not mean to imply that each of these items above is </w:t>
      </w:r>
      <w:r>
        <w:rPr>
          <w:rFonts w:ascii="Times New Roman" w:cs="Times New Roman" w:eastAsia="Times New Roman" w:hAnsi="Times New Roman"/>
          <w:sz w:val="22"/>
          <w:szCs w:val="22"/>
          <w:u w:val="single" w:color="auto"/>
          <w:color w:val="auto"/>
        </w:rPr>
        <w:t>per se</w:t>
      </w:r>
      <w:r>
        <w:rPr>
          <w:rFonts w:ascii="Times New Roman" w:cs="Times New Roman" w:eastAsia="Times New Roman" w:hAnsi="Times New Roman"/>
          <w:sz w:val="22"/>
          <w:szCs w:val="22"/>
          <w:color w:val="auto"/>
        </w:rPr>
        <w:t xml:space="preserve"> material. Furthermore, the Company cannot create an exclusive list of events and information that have a higher probability of being considered material.</w:t>
      </w:r>
    </w:p>
    <w:p>
      <w:pPr>
        <w:spacing w:after="0" w:line="173" w:lineRule="exact"/>
        <w:rPr>
          <w:sz w:val="20"/>
          <w:szCs w:val="20"/>
          <w:color w:val="auto"/>
        </w:rPr>
      </w:pPr>
    </w:p>
    <w:p>
      <w:pPr>
        <w:jc w:val="both"/>
        <w:ind w:left="40" w:firstLine="747"/>
        <w:spacing w:after="0" w:line="244" w:lineRule="auto"/>
        <w:rPr>
          <w:sz w:val="20"/>
          <w:szCs w:val="20"/>
          <w:color w:val="auto"/>
        </w:rPr>
      </w:pPr>
      <w:r>
        <w:rPr>
          <w:rFonts w:ascii="Times New Roman" w:cs="Times New Roman" w:eastAsia="Times New Roman" w:hAnsi="Times New Roman"/>
          <w:sz w:val="22"/>
          <w:szCs w:val="22"/>
          <w:color w:val="auto"/>
        </w:rPr>
        <w:t>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i w:val="1"/>
          <w:iCs w:val="1"/>
          <w:color w:val="auto"/>
        </w:rPr>
        <w:t>What is “Nonpublic” Information?</w:t>
      </w:r>
    </w:p>
    <w:p>
      <w:pPr>
        <w:spacing w:after="0" w:line="212" w:lineRule="exact"/>
        <w:rPr>
          <w:sz w:val="20"/>
          <w:szCs w:val="20"/>
          <w:color w:val="auto"/>
        </w:rPr>
      </w:pPr>
    </w:p>
    <w:p>
      <w:pPr>
        <w:jc w:val="both"/>
        <w:ind w:left="40" w:firstLine="747"/>
        <w:spacing w:after="0" w:line="248" w:lineRule="auto"/>
        <w:rPr>
          <w:sz w:val="20"/>
          <w:szCs w:val="20"/>
          <w:color w:val="auto"/>
        </w:rPr>
      </w:pPr>
      <w:r>
        <w:rPr>
          <w:rFonts w:ascii="Times New Roman" w:cs="Times New Roman" w:eastAsia="Times New Roman" w:hAnsi="Times New Roman"/>
          <w:sz w:val="21"/>
          <w:szCs w:val="21"/>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after the close of trading on the second full trading day following the Company’s public release of the information.</w:t>
      </w:r>
    </w:p>
    <w:p>
      <w:pPr>
        <w:spacing w:after="0" w:line="170" w:lineRule="exact"/>
        <w:rPr>
          <w:sz w:val="20"/>
          <w:szCs w:val="20"/>
          <w:color w:val="auto"/>
        </w:rPr>
      </w:pPr>
    </w:p>
    <w:p>
      <w:pPr>
        <w:jc w:val="both"/>
        <w:ind w:left="40" w:firstLine="747"/>
        <w:spacing w:after="0" w:line="239" w:lineRule="auto"/>
        <w:rPr>
          <w:sz w:val="20"/>
          <w:szCs w:val="20"/>
          <w:color w:val="auto"/>
        </w:rPr>
      </w:pPr>
      <w:r>
        <w:rPr>
          <w:rFonts w:ascii="Times New Roman" w:cs="Times New Roman" w:eastAsia="Times New Roman" w:hAnsi="Times New Roman"/>
          <w:sz w:val="22"/>
          <w:szCs w:val="22"/>
          <w:color w:val="auto"/>
        </w:rPr>
        <w:t>For example, if the Company announces material information of which you are aware before trading begins on a Tuesday, the first time you can buy or sell Company securities is the opening of the market on Thursday. However, if the Company announces this material information after trading begins on that Tuesday, the first time that you can buy or sell Company securities is the opening of the market on Friday.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35" w:right="459" w:bottom="1440" w:gutter="0" w:footer="0" w:header="0"/>
        </w:sectPr>
      </w:pPr>
    </w:p>
    <w:bookmarkStart w:id="134" w:name="page135"/>
    <w:bookmarkEnd w:id="134"/>
    <w:p>
      <w:pPr>
        <w:ind w:left="740" w:hanging="707"/>
        <w:spacing w:after="0"/>
        <w:tabs>
          <w:tab w:leader="none" w:pos="740" w:val="left"/>
        </w:tabs>
        <w:numPr>
          <w:ilvl w:val="0"/>
          <w:numId w:val="7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Are there any Restrictions on the Use of Electronic Bulletin Boards, Internet Chat Rooms or Websites?</w:t>
      </w:r>
    </w:p>
    <w:p>
      <w:pPr>
        <w:spacing w:after="0" w:line="212" w:lineRule="exact"/>
        <w:rPr>
          <w:sz w:val="20"/>
          <w:szCs w:val="20"/>
          <w:color w:val="auto"/>
        </w:rPr>
      </w:pPr>
    </w:p>
    <w:p>
      <w:pPr>
        <w:jc w:val="both"/>
        <w:ind w:left="40" w:firstLine="747"/>
        <w:spacing w:after="0" w:line="234" w:lineRule="auto"/>
        <w:rPr>
          <w:sz w:val="20"/>
          <w:szCs w:val="20"/>
          <w:color w:val="auto"/>
        </w:rPr>
      </w:pPr>
      <w:r>
        <w:rPr>
          <w:rFonts w:ascii="Times New Roman" w:cs="Times New Roman" w:eastAsia="Times New Roman" w:hAnsi="Times New Roman"/>
          <w:sz w:val="22"/>
          <w:szCs w:val="22"/>
          <w:color w:val="auto"/>
        </w:rPr>
        <w:t>While the Company encourages its stockholders and potential investors to obtain as much information as possible about the Company, the Company believes that information should come from its publicly-filed SEC reports, press releases and external website or from a designated Company spokesperson, rather than from speculation or unauthorized disclosures by the Company’s directors, officers or employees. For this reason, the Company has designated certain members of management to respond to inquiries regarding the Company’s business and prospects. This centralization of communication is designed to ensure that the information the Company discloses is accurate and considered in light of previous disclosures. Formal announcements are generally reviewed by management and legal counsel before they are made public. Any communications that do not go through this review process create an increased risk to the Company, as well as to the individual responsible for the communication, of civil and criminal liability.</w:t>
      </w:r>
    </w:p>
    <w:p>
      <w:pPr>
        <w:spacing w:after="0" w:line="183" w:lineRule="exact"/>
        <w:rPr>
          <w:sz w:val="20"/>
          <w:szCs w:val="20"/>
          <w:color w:val="auto"/>
        </w:rPr>
      </w:pPr>
    </w:p>
    <w:p>
      <w:pPr>
        <w:jc w:val="both"/>
        <w:ind w:left="40" w:firstLine="747"/>
        <w:spacing w:after="0" w:line="234" w:lineRule="auto"/>
        <w:rPr>
          <w:sz w:val="20"/>
          <w:szCs w:val="20"/>
          <w:color w:val="auto"/>
        </w:rPr>
      </w:pPr>
      <w:r>
        <w:rPr>
          <w:rFonts w:ascii="Times New Roman" w:cs="Times New Roman" w:eastAsia="Times New Roman" w:hAnsi="Times New Roman"/>
          <w:sz w:val="22"/>
          <w:szCs w:val="22"/>
          <w:color w:val="auto"/>
        </w:rPr>
        <w:t>In addition, with the advent of the Internet, and the emergence of electronic bulletin boards and chat rooms, electronic discussions about companies and their business prospects have become common. Inappropriate communications disseminated on the Internet may pose an inherently greater risk due to the size of the audience they can reach. These forums have the potential to move a stock price significantly, and very rapidly – yet the information disseminated through electronic bulletin boards and chat rooms often is unreliable, and in some cases, may be deliberately false. The SEC has investigated and prosecuted a number of fraudulent schemes involving electronic bulletin boards and chat rooms. You may encounter information about the Company on the Internet that you believe is harmful or inaccurate, or other information that you believe is true or beneficial for the Company. Although you may have a natural tendency to deny or confirm such information on an electronic bulletin board or in a chat room, any sort of response, even if it presents accurate information, could be considered improper disclosure and could result in legal liability to you and/or to the Company.</w:t>
      </w:r>
    </w:p>
    <w:p>
      <w:pPr>
        <w:spacing w:after="0" w:line="179" w:lineRule="exact"/>
        <w:rPr>
          <w:sz w:val="20"/>
          <w:szCs w:val="20"/>
          <w:color w:val="auto"/>
        </w:rPr>
      </w:pPr>
    </w:p>
    <w:p>
      <w:pPr>
        <w:jc w:val="both"/>
        <w:ind w:left="40" w:firstLine="747"/>
        <w:spacing w:after="0" w:line="233" w:lineRule="auto"/>
        <w:rPr>
          <w:sz w:val="20"/>
          <w:szCs w:val="20"/>
          <w:color w:val="auto"/>
        </w:rPr>
      </w:pPr>
      <w:r>
        <w:rPr>
          <w:rFonts w:ascii="Times New Roman" w:cs="Times New Roman" w:eastAsia="Times New Roman" w:hAnsi="Times New Roman"/>
          <w:sz w:val="22"/>
          <w:szCs w:val="22"/>
          <w:color w:val="auto"/>
        </w:rPr>
        <w:t>The Company is committed to preventing inadvertent disclosures of material, nonpublic information, preventing unwitting participation in Internet-based securities fraud, and avoiding the appearance of impropriety by persons associated with the Company. Accordingly, this Insider Trading Policy prohibits you from discussing material, nonpublic information about the Company with anyone, including other employees, except as required in the performance of your duties. You should not under any circumstances provide information or discuss matters involving the Company with the news media, any broker-dealer, analyst, investment banker, investment advisor, institutional investment manager, investment company or stockholder, even if you are contacted directly by such persons, without express prior authorization. This restriction applies whether or not you identify yourself as associated with the Company. You should refer all such contact or inquiries to the Company’s General Counsel, c/o Amarin Pharma, Inc., 1430 Route 206, Suite 200, Bedminster, NJ 07921, USA This Insider Trading Policy also prohibits you from making any comments or postings about the Company on any Internet bulletin boards, chat rooms or websites, or responding to comments or postings about the Company’s business made by others. This restriction applies whether or not you identify yourself as associated with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02" w:right="459" w:bottom="1440" w:gutter="0" w:footer="0" w:header="0"/>
        </w:sectPr>
      </w:pPr>
    </w:p>
    <w:bookmarkStart w:id="135" w:name="page136"/>
    <w:bookmarkEnd w:id="135"/>
    <w:p>
      <w:pPr>
        <w:ind w:left="720" w:hanging="687"/>
        <w:spacing w:after="0"/>
        <w:tabs>
          <w:tab w:leader="none" w:pos="720" w:val="left"/>
        </w:tabs>
        <w:numPr>
          <w:ilvl w:val="0"/>
          <w:numId w:val="7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212" w:lineRule="exact"/>
        <w:rPr>
          <w:sz w:val="20"/>
          <w:szCs w:val="20"/>
          <w:color w:val="auto"/>
        </w:rPr>
      </w:pPr>
    </w:p>
    <w:p>
      <w:pPr>
        <w:jc w:val="both"/>
        <w:ind w:left="40" w:firstLine="747"/>
        <w:spacing w:after="0" w:line="239" w:lineRule="auto"/>
        <w:rPr>
          <w:sz w:val="20"/>
          <w:szCs w:val="20"/>
          <w:color w:val="auto"/>
        </w:rPr>
      </w:pPr>
      <w:r>
        <w:rPr>
          <w:rFonts w:ascii="Times New Roman" w:cs="Times New Roman" w:eastAsia="Times New Roman" w:hAnsi="Times New Roman"/>
          <w:sz w:val="22"/>
          <w:szCs w:val="22"/>
          <w:color w:val="auto"/>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spacing w:after="0" w:line="1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The penalties for violating insider trading or tipping rules can be severe and include:</w:t>
      </w:r>
    </w:p>
    <w:p>
      <w:pPr>
        <w:spacing w:after="0" w:line="206" w:lineRule="exact"/>
        <w:rPr>
          <w:sz w:val="20"/>
          <w:szCs w:val="20"/>
          <w:color w:val="auto"/>
        </w:rPr>
      </w:pPr>
    </w:p>
    <w:p>
      <w:pPr>
        <w:ind w:left="1160" w:hanging="378"/>
        <w:spacing w:after="0"/>
        <w:tabs>
          <w:tab w:leader="none" w:pos="1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the profit gained or loss avoided by the trading;</w:t>
      </w:r>
    </w:p>
    <w:p>
      <w:pPr>
        <w:spacing w:after="0" w:line="84" w:lineRule="exact"/>
        <w:rPr>
          <w:rFonts w:ascii="Times New Roman" w:cs="Times New Roman" w:eastAsia="Times New Roman" w:hAnsi="Times New Roman"/>
          <w:sz w:val="22"/>
          <w:szCs w:val="22"/>
          <w:color w:val="auto"/>
        </w:rPr>
      </w:pPr>
    </w:p>
    <w:p>
      <w:pPr>
        <w:ind w:left="1160" w:hanging="378"/>
        <w:spacing w:after="0" w:line="258" w:lineRule="auto"/>
        <w:tabs>
          <w:tab w:leader="none" w:pos="1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such violation, have purchased or sold, as applicable, securities of the same class;</w:t>
      </w:r>
    </w:p>
    <w:p>
      <w:pPr>
        <w:spacing w:after="0" w:line="63" w:lineRule="exact"/>
        <w:rPr>
          <w:rFonts w:ascii="Times New Roman" w:cs="Times New Roman" w:eastAsia="Times New Roman" w:hAnsi="Times New Roman"/>
          <w:sz w:val="22"/>
          <w:szCs w:val="22"/>
          <w:color w:val="auto"/>
        </w:rPr>
      </w:pPr>
    </w:p>
    <w:p>
      <w:pPr>
        <w:ind w:left="1160" w:hanging="378"/>
        <w:spacing w:after="0"/>
        <w:tabs>
          <w:tab w:leader="none" w:pos="1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84" w:lineRule="exact"/>
        <w:rPr>
          <w:rFonts w:ascii="Times New Roman" w:cs="Times New Roman" w:eastAsia="Times New Roman" w:hAnsi="Times New Roman"/>
          <w:sz w:val="22"/>
          <w:szCs w:val="22"/>
          <w:color w:val="auto"/>
        </w:rPr>
      </w:pPr>
    </w:p>
    <w:p>
      <w:pPr>
        <w:ind w:left="1160" w:hanging="378"/>
        <w:spacing w:after="0"/>
        <w:tabs>
          <w:tab w:leader="none" w:pos="1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spacing w:after="0" w:line="111" w:lineRule="exact"/>
        <w:rPr>
          <w:rFonts w:ascii="Times New Roman" w:cs="Times New Roman" w:eastAsia="Times New Roman" w:hAnsi="Times New Roman"/>
          <w:sz w:val="22"/>
          <w:szCs w:val="22"/>
          <w:color w:val="auto"/>
        </w:rPr>
      </w:pPr>
    </w:p>
    <w:p>
      <w:pPr>
        <w:ind w:left="1160" w:hanging="378"/>
        <w:spacing w:after="0"/>
        <w:tabs>
          <w:tab w:leader="none" w:pos="1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193" w:lineRule="exact"/>
        <w:rPr>
          <w:sz w:val="20"/>
          <w:szCs w:val="20"/>
          <w:color w:val="auto"/>
        </w:rPr>
      </w:pPr>
    </w:p>
    <w:p>
      <w:pPr>
        <w:jc w:val="both"/>
        <w:ind w:left="40" w:right="20" w:firstLine="747"/>
        <w:spacing w:after="0" w:line="244"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of up to the greater of $1,525,000 or three times the profit made or loss avoided, as well as criminal penalties of up to $25,000,000, and could under certain circumstances be subject to private lawsuits.</w:t>
      </w:r>
    </w:p>
    <w:p>
      <w:pPr>
        <w:spacing w:after="0" w:line="173" w:lineRule="exact"/>
        <w:rPr>
          <w:sz w:val="20"/>
          <w:szCs w:val="20"/>
          <w:color w:val="auto"/>
        </w:rPr>
      </w:pPr>
    </w:p>
    <w:p>
      <w:pPr>
        <w:jc w:val="both"/>
        <w:ind w:left="40" w:firstLine="747"/>
        <w:spacing w:after="0" w:line="236"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75" w:lineRule="exact"/>
        <w:rPr>
          <w:sz w:val="20"/>
          <w:szCs w:val="20"/>
          <w:color w:val="auto"/>
        </w:rPr>
      </w:pPr>
    </w:p>
    <w:p>
      <w:pPr>
        <w:ind w:left="780" w:hanging="747"/>
        <w:spacing w:after="0"/>
        <w:tabs>
          <w:tab w:leader="none" w:pos="780" w:val="left"/>
        </w:tabs>
        <w:numPr>
          <w:ilvl w:val="0"/>
          <w:numId w:val="8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Does the Company have any Other Policies Regarding Confidential Information?</w:t>
      </w:r>
    </w:p>
    <w:p>
      <w:pPr>
        <w:spacing w:after="0" w:line="212" w:lineRule="exact"/>
        <w:rPr>
          <w:sz w:val="20"/>
          <w:szCs w:val="20"/>
          <w:color w:val="auto"/>
        </w:rPr>
      </w:pPr>
    </w:p>
    <w:p>
      <w:pPr>
        <w:jc w:val="both"/>
        <w:ind w:left="40" w:right="20" w:firstLine="747"/>
        <w:spacing w:after="0" w:line="244" w:lineRule="auto"/>
        <w:rPr>
          <w:sz w:val="20"/>
          <w:szCs w:val="20"/>
          <w:color w:val="auto"/>
        </w:rPr>
      </w:pPr>
      <w:r>
        <w:rPr>
          <w:rFonts w:ascii="Times New Roman" w:cs="Times New Roman" w:eastAsia="Times New Roman" w:hAnsi="Times New Roman"/>
          <w:sz w:val="22"/>
          <w:szCs w:val="22"/>
          <w:color w:val="auto"/>
        </w:rPr>
        <w:t>The Company also has strict policies relating to safeguarding the confidentiality of its internal, proprietary information. These policies include procedures regarding identifying, marking and safeguarding confidential information and employee confidentiality agreements. You should comply with these policies at all times.</w:t>
      </w:r>
    </w:p>
    <w:p>
      <w:pPr>
        <w:spacing w:after="0" w:line="167" w:lineRule="exact"/>
        <w:rPr>
          <w:sz w:val="20"/>
          <w:szCs w:val="20"/>
          <w:color w:val="auto"/>
        </w:rPr>
      </w:pPr>
    </w:p>
    <w:p>
      <w:pPr>
        <w:ind w:left="780" w:hanging="747"/>
        <w:spacing w:after="0"/>
        <w:tabs>
          <w:tab w:leader="none" w:pos="780" w:val="left"/>
        </w:tabs>
        <w:numPr>
          <w:ilvl w:val="0"/>
          <w:numId w:val="8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12" w:lineRule="exact"/>
        <w:rPr>
          <w:sz w:val="20"/>
          <w:szCs w:val="20"/>
          <w:color w:val="auto"/>
        </w:rPr>
      </w:pPr>
    </w:p>
    <w:p>
      <w:pPr>
        <w:jc w:val="both"/>
        <w:ind w:left="40" w:firstLine="747"/>
        <w:spacing w:after="0" w:line="244" w:lineRule="auto"/>
        <w:rPr>
          <w:sz w:val="20"/>
          <w:szCs w:val="20"/>
          <w:color w:val="auto"/>
        </w:rPr>
      </w:pPr>
      <w:r>
        <w:rPr>
          <w:rFonts w:ascii="Times New Roman" w:cs="Times New Roman" w:eastAsia="Times New Roman" w:hAnsi="Times New Roman"/>
          <w:sz w:val="22"/>
          <w:szCs w:val="22"/>
          <w:color w:val="auto"/>
        </w:rPr>
        <w:t>If you violate this Insider Trading Policy or any federal or state laws governing insider trading, or know of any such violation by any director, officer or employee of the Company, you must report the violation immediately to the Company’s General Counsel, c/o Amarin Pharma,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02" w:right="459" w:bottom="1440" w:gutter="0" w:footer="0" w:header="0"/>
        </w:sectPr>
      </w:pPr>
    </w:p>
    <w:bookmarkStart w:id="136" w:name="page137"/>
    <w:bookmarkEnd w:id="136"/>
    <w:p>
      <w:pPr>
        <w:jc w:val="both"/>
        <w:ind w:left="40"/>
        <w:spacing w:after="0" w:line="236" w:lineRule="auto"/>
        <w:rPr>
          <w:sz w:val="20"/>
          <w:szCs w:val="20"/>
          <w:color w:val="auto"/>
        </w:rPr>
      </w:pPr>
      <w:r>
        <w:rPr>
          <w:rFonts w:ascii="Times New Roman" w:cs="Times New Roman" w:eastAsia="Times New Roman" w:hAnsi="Times New Roman"/>
          <w:sz w:val="22"/>
          <w:szCs w:val="22"/>
          <w:color w:val="auto"/>
        </w:rPr>
        <w:t>Inc., 440 Route 22 Bridgewater, NJ 08807, USA. However, if the conduct in question involves the Company’s General Counsel, if you have reported such conduct to the Company’s General Counsel and do not believe that he has dealt with it properly, or if you do not feel that you can discuss the matter with him, you may raise the matter with the Company’s President and/or Chief Executive Officer, c/o Amarin Pharma, Inc., 440 Route 22 Bridgewater, NJ 08807, USA, or alternatively you may raise the matter (including if you wish on a confidential basis) with the Audit Committee pursuant to the Company’s Audit Committee Complaint Procedures.</w:t>
      </w:r>
    </w:p>
    <w:p>
      <w:pPr>
        <w:spacing w:after="0" w:line="175" w:lineRule="exact"/>
        <w:rPr>
          <w:sz w:val="20"/>
          <w:szCs w:val="20"/>
          <w:color w:val="auto"/>
        </w:rPr>
      </w:pPr>
    </w:p>
    <w:p>
      <w:pPr>
        <w:ind w:left="780" w:hanging="747"/>
        <w:spacing w:after="0"/>
        <w:tabs>
          <w:tab w:leader="none" w:pos="780" w:val="left"/>
        </w:tabs>
        <w:numPr>
          <w:ilvl w:val="0"/>
          <w:numId w:val="8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Is This Insider Trading Policy Subject to Modification?</w:t>
      </w:r>
    </w:p>
    <w:p>
      <w:pPr>
        <w:spacing w:after="0" w:line="212" w:lineRule="exact"/>
        <w:rPr>
          <w:sz w:val="20"/>
          <w:szCs w:val="20"/>
          <w:color w:val="auto"/>
        </w:rPr>
      </w:pPr>
    </w:p>
    <w:p>
      <w:pPr>
        <w:jc w:val="both"/>
        <w:ind w:left="40" w:firstLine="747"/>
        <w:spacing w:after="0" w:line="236" w:lineRule="auto"/>
        <w:rPr>
          <w:sz w:val="20"/>
          <w:szCs w:val="20"/>
          <w:color w:val="auto"/>
        </w:rPr>
      </w:pPr>
      <w:r>
        <w:rPr>
          <w:rFonts w:ascii="Times New Roman" w:cs="Times New Roman" w:eastAsia="Times New Roman" w:hAnsi="Times New Roman"/>
          <w:sz w:val="22"/>
          <w:szCs w:val="22"/>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 option used by the Company) by the Company. You will be deemed to have received, be bound by and agree to revisions of this Insider Trading Policy when such revisions have been delivered to you, unless you object to any revision in a written statement received by the Company’s General Counsel, within two (2) business days of such delivery.</w:t>
      </w:r>
    </w:p>
    <w:p>
      <w:pPr>
        <w:spacing w:after="0" w:line="1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 * * * *</w:t>
      </w:r>
    </w:p>
    <w:p>
      <w:pPr>
        <w:spacing w:after="0" w:line="202" w:lineRule="exact"/>
        <w:rPr>
          <w:sz w:val="20"/>
          <w:szCs w:val="20"/>
          <w:color w:val="auto"/>
        </w:rPr>
      </w:pPr>
    </w:p>
    <w:p>
      <w:pPr>
        <w:jc w:val="both"/>
        <w:ind w:left="40" w:firstLine="747"/>
        <w:spacing w:after="0" w:line="246" w:lineRule="auto"/>
        <w:rPr>
          <w:sz w:val="20"/>
          <w:szCs w:val="20"/>
          <w:color w:val="auto"/>
        </w:rPr>
      </w:pPr>
      <w:r>
        <w:rPr>
          <w:rFonts w:ascii="Times New Roman" w:cs="Times New Roman" w:eastAsia="Times New Roman" w:hAnsi="Times New Roman"/>
          <w:sz w:val="22"/>
          <w:szCs w:val="22"/>
          <w:b w:val="1"/>
          <w:bCs w:val="1"/>
          <w:color w:val="auto"/>
        </w:rPr>
        <w:t>Your failure to observe this Insider Trading Policy could lead to significant legal problems, including fines and/or imprisonment, and could have other serious consequences, including the termination of your employment or service relationship with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08" w:right="459" w:bottom="1440" w:gutter="0" w:footer="0" w:header="0"/>
        </w:sectPr>
      </w:pPr>
    </w:p>
    <w:bookmarkStart w:id="137" w:name="page138"/>
    <w:bookmarkEnd w:id="137"/>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19.2</w:t>
      </w:r>
    </w:p>
    <w:p>
      <w:pPr>
        <w:spacing w:after="0" w:line="58" w:lineRule="exact"/>
        <w:rPr>
          <w:sz w:val="20"/>
          <w:szCs w:val="20"/>
          <w:color w:val="auto"/>
        </w:rPr>
      </w:pPr>
    </w:p>
    <w:p>
      <w:pPr>
        <w:ind w:left="1900" w:right="1880" w:firstLine="222"/>
        <w:spacing w:after="0" w:line="251" w:lineRule="auto"/>
        <w:rPr>
          <w:sz w:val="20"/>
          <w:szCs w:val="20"/>
          <w:color w:val="auto"/>
        </w:rPr>
      </w:pPr>
      <w:r>
        <w:rPr>
          <w:rFonts w:ascii="Times New Roman" w:cs="Times New Roman" w:eastAsia="Times New Roman" w:hAnsi="Times New Roman"/>
          <w:sz w:val="22"/>
          <w:szCs w:val="22"/>
          <w:b w:val="1"/>
          <w:bCs w:val="1"/>
          <w:color w:val="auto"/>
        </w:rPr>
        <w:t>AMARIN CORPORATION PLC (the “Company”) SPECIAL TRADING PROCEDURES FOR INSIDERS</w:t>
      </w:r>
    </w:p>
    <w:p>
      <w:pPr>
        <w:spacing w:after="0" w:line="1" w:lineRule="exact"/>
        <w:rPr>
          <w:sz w:val="20"/>
          <w:szCs w:val="20"/>
          <w:color w:val="auto"/>
        </w:rPr>
      </w:pPr>
    </w:p>
    <w:p>
      <w:pPr>
        <w:jc w:val="both"/>
        <w:ind w:right="420" w:firstLine="747"/>
        <w:spacing w:after="0" w:line="238" w:lineRule="auto"/>
        <w:rPr>
          <w:sz w:val="20"/>
          <w:szCs w:val="20"/>
          <w:color w:val="auto"/>
        </w:rPr>
      </w:pPr>
      <w:r>
        <w:rPr>
          <w:rFonts w:ascii="Times New Roman" w:cs="Times New Roman" w:eastAsia="Times New Roman" w:hAnsi="Times New Roman"/>
          <w:sz w:val="22"/>
          <w:szCs w:val="22"/>
          <w:color w:val="auto"/>
        </w:rPr>
        <w:t>To comply with federal and state securities laws governing insider trading, the Company has adopted these Special Trading Procedures for Insiders (“Trading Procedures”) as an addendum to the Company’s Statement of Company Policy on Insider Trading and Disclosure (the “Insider Trading Policy”). These Trading Procedures are in addition to and supplement the Company’s Insider Trading Policy, which is distributed to all directors, officers and employees of the Company.</w:t>
      </w:r>
    </w:p>
    <w:p>
      <w:pPr>
        <w:spacing w:after="0" w:line="171" w:lineRule="exact"/>
        <w:rPr>
          <w:sz w:val="20"/>
          <w:szCs w:val="20"/>
          <w:color w:val="auto"/>
        </w:rPr>
      </w:pPr>
    </w:p>
    <w:p>
      <w:pPr>
        <w:ind w:left="760" w:hanging="753"/>
        <w:spacing w:after="0"/>
        <w:tabs>
          <w:tab w:leader="none" w:pos="760" w:val="left"/>
        </w:tabs>
        <w:numPr>
          <w:ilvl w:val="0"/>
          <w:numId w:val="8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SCOPE</w:t>
      </w:r>
    </w:p>
    <w:p>
      <w:pPr>
        <w:spacing w:after="0" w:line="226" w:lineRule="exact"/>
        <w:rPr>
          <w:sz w:val="20"/>
          <w:szCs w:val="20"/>
          <w:color w:val="auto"/>
        </w:rPr>
      </w:pPr>
    </w:p>
    <w:p>
      <w:pPr>
        <w:jc w:val="both"/>
        <w:ind w:right="420"/>
        <w:spacing w:after="0" w:line="225" w:lineRule="auto"/>
        <w:rPr>
          <w:sz w:val="20"/>
          <w:szCs w:val="20"/>
          <w:color w:val="auto"/>
        </w:rPr>
      </w:pPr>
      <w:r>
        <w:rPr>
          <w:rFonts w:ascii="Times New Roman" w:cs="Times New Roman" w:eastAsia="Times New Roman" w:hAnsi="Times New Roman"/>
          <w:sz w:val="22"/>
          <w:szCs w:val="22"/>
          <w:color w:val="auto"/>
        </w:rPr>
        <w:t>These Trading Procedures regulate securities trades by all directors and executive officers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the Company and certain designated employees of the Company and its subsidiaries who in the ordinary course of the performance of their duties have access to material, nonpublic information regarding the Company (collectively, these persons are referred to as “Insiders”). Employees that are designated as Insiders and thus bound by these Trading Procedures shall be notified of their status accordingly by the Company’s General Counsel.</w:t>
      </w:r>
    </w:p>
    <w:p>
      <w:pPr>
        <w:spacing w:after="0" w:line="207" w:lineRule="exact"/>
        <w:rPr>
          <w:sz w:val="20"/>
          <w:szCs w:val="20"/>
          <w:color w:val="auto"/>
        </w:rPr>
      </w:pPr>
    </w:p>
    <w:p>
      <w:pPr>
        <w:jc w:val="both"/>
        <w:ind w:right="440"/>
        <w:spacing w:after="0" w:line="258" w:lineRule="auto"/>
        <w:rPr>
          <w:sz w:val="20"/>
          <w:szCs w:val="20"/>
          <w:color w:val="auto"/>
        </w:rPr>
      </w:pPr>
      <w:r>
        <w:rPr>
          <w:rFonts w:ascii="Times New Roman" w:cs="Times New Roman" w:eastAsia="Times New Roman" w:hAnsi="Times New Roman"/>
          <w:sz w:val="22"/>
          <w:szCs w:val="22"/>
          <w:color w:val="auto"/>
        </w:rPr>
        <w:t>These Trading Procedures also apply to the following persons (collectively, these persons and entities are referred to as “Affiliated Persons”):</w:t>
      </w:r>
    </w:p>
    <w:p>
      <w:pPr>
        <w:spacing w:after="0" w:line="185" w:lineRule="exact"/>
        <w:rPr>
          <w:sz w:val="20"/>
          <w:szCs w:val="20"/>
          <w:color w:val="auto"/>
        </w:rPr>
      </w:pPr>
    </w:p>
    <w:p>
      <w:pPr>
        <w:ind w:left="1480" w:right="420" w:hanging="724"/>
        <w:spacing w:after="0" w:line="258" w:lineRule="auto"/>
        <w:tabs>
          <w:tab w:leader="none" w:pos="14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Insider’s spouse, child, parent, significant other or other family member, in each case, living in the same household;</w:t>
      </w:r>
    </w:p>
    <w:p>
      <w:pPr>
        <w:spacing w:after="0" w:line="158" w:lineRule="exact"/>
        <w:rPr>
          <w:rFonts w:ascii="Times New Roman" w:cs="Times New Roman" w:eastAsia="Times New Roman" w:hAnsi="Times New Roman"/>
          <w:sz w:val="22"/>
          <w:szCs w:val="22"/>
          <w:color w:val="auto"/>
        </w:rPr>
      </w:pPr>
    </w:p>
    <w:p>
      <w:pPr>
        <w:jc w:val="both"/>
        <w:ind w:left="1480" w:right="420" w:hanging="724"/>
        <w:spacing w:after="0" w:line="244" w:lineRule="auto"/>
        <w:tabs>
          <w:tab w:leader="none" w:pos="14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the benefit of the Insider or the Insider’s family members over which the Insider has the ability to influence or direct investment decisions concerning securities;</w:t>
      </w:r>
    </w:p>
    <w:p>
      <w:pPr>
        <w:spacing w:after="0" w:line="173" w:lineRule="exact"/>
        <w:rPr>
          <w:rFonts w:ascii="Times New Roman" w:cs="Times New Roman" w:eastAsia="Times New Roman" w:hAnsi="Times New Roman"/>
          <w:sz w:val="22"/>
          <w:szCs w:val="22"/>
          <w:color w:val="auto"/>
        </w:rPr>
      </w:pPr>
    </w:p>
    <w:p>
      <w:pPr>
        <w:ind w:left="1500" w:hanging="744"/>
        <w:spacing w:after="0"/>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behalf of the Insider; and</w:t>
      </w:r>
    </w:p>
    <w:p>
      <w:pPr>
        <w:spacing w:after="0" w:line="206" w:lineRule="exact"/>
        <w:rPr>
          <w:rFonts w:ascii="Times New Roman" w:cs="Times New Roman" w:eastAsia="Times New Roman" w:hAnsi="Times New Roman"/>
          <w:sz w:val="22"/>
          <w:szCs w:val="22"/>
          <w:color w:val="auto"/>
        </w:rPr>
      </w:pPr>
    </w:p>
    <w:p>
      <w:pPr>
        <w:ind w:left="1480" w:right="420" w:hanging="724"/>
        <w:spacing w:after="0" w:line="282" w:lineRule="auto"/>
        <w:tabs>
          <w:tab w:leader="none" w:pos="148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investment funds, trusts, retirement plans, partnerships, corporations and other types of entities over which the Insider has the ability to influence or direct investment decisions concerning securities.</w:t>
      </w:r>
    </w:p>
    <w:p>
      <w:pPr>
        <w:spacing w:after="0" w:line="135" w:lineRule="exact"/>
        <w:rPr>
          <w:sz w:val="20"/>
          <w:szCs w:val="20"/>
          <w:color w:val="auto"/>
        </w:rPr>
      </w:pPr>
    </w:p>
    <w:p>
      <w:pPr>
        <w:jc w:val="both"/>
        <w:ind w:right="420" w:firstLine="747"/>
        <w:spacing w:after="0" w:line="244" w:lineRule="auto"/>
        <w:rPr>
          <w:sz w:val="20"/>
          <w:szCs w:val="20"/>
          <w:color w:val="auto"/>
        </w:rPr>
      </w:pPr>
      <w:r>
        <w:rPr>
          <w:rFonts w:ascii="Times New Roman" w:cs="Times New Roman" w:eastAsia="Times New Roman" w:hAnsi="Times New Roman"/>
          <w:sz w:val="22"/>
          <w:szCs w:val="22"/>
          <w:color w:val="auto"/>
        </w:rPr>
        <w:t>Insiders are responsible for ensuring compliance with these Trading Procedures and the Insider Trading Policy by all of their Affiliated Persons. Unless the context otherwise requires, references to “Insiders” in these Trading Procedures refer collectively to Insiders and their Affiliated Persons.</w:t>
      </w:r>
    </w:p>
    <w:p>
      <w:pPr>
        <w:spacing w:after="0" w:line="173" w:lineRule="exact"/>
        <w:rPr>
          <w:sz w:val="20"/>
          <w:szCs w:val="20"/>
          <w:color w:val="auto"/>
        </w:rPr>
      </w:pPr>
    </w:p>
    <w:p>
      <w:pPr>
        <w:jc w:val="both"/>
        <w:ind w:right="420" w:firstLine="747"/>
        <w:spacing w:after="0" w:line="258" w:lineRule="auto"/>
        <w:rPr>
          <w:sz w:val="20"/>
          <w:szCs w:val="20"/>
          <w:color w:val="auto"/>
        </w:rPr>
      </w:pPr>
      <w:r>
        <w:rPr>
          <w:rFonts w:ascii="Times New Roman" w:cs="Times New Roman" w:eastAsia="Times New Roman" w:hAnsi="Times New Roman"/>
          <w:sz w:val="22"/>
          <w:szCs w:val="22"/>
          <w:color w:val="auto"/>
        </w:rPr>
        <w:t>These Trading Procedures apply to any and all transactions in the Company’s securities, including its common stock, options to purchase common stock, any other type of securities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1022350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40" w:top="1440" w:right="339" w:bottom="1440" w:gutter="0" w:footer="0" w:header="0"/>
        </w:sectPr>
      </w:pPr>
    </w:p>
    <w:bookmarkStart w:id="138" w:name="page139"/>
    <w:bookmarkEnd w:id="138"/>
    <w:p>
      <w:pPr>
        <w:spacing w:after="0" w:line="113" w:lineRule="exact"/>
        <w:rPr>
          <w:sz w:val="20"/>
          <w:szCs w:val="20"/>
          <w:color w:val="auto"/>
        </w:rPr>
      </w:pPr>
    </w:p>
    <w:p>
      <w:pPr>
        <w:ind w:left="276" w:hanging="276"/>
        <w:spacing w:after="0"/>
        <w:tabs>
          <w:tab w:leader="none" w:pos="276"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The term “executive officers” refers to those officers subject to Section 16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929005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15"/>
          </w:cols>
          <w:pgMar w:left="744" w:top="1440" w:right="1440" w:bottom="1440" w:gutter="0" w:footer="0" w:header="0"/>
        </w:sectPr>
      </w:pPr>
    </w:p>
    <w:bookmarkStart w:id="139" w:name="page140"/>
    <w:bookmarkEnd w:id="139"/>
    <w:p>
      <w:pPr>
        <w:jc w:val="both"/>
        <w:ind w:left="400" w:right="20"/>
        <w:spacing w:after="0" w:line="239" w:lineRule="auto"/>
        <w:rPr>
          <w:sz w:val="20"/>
          <w:szCs w:val="20"/>
          <w:color w:val="auto"/>
        </w:rPr>
      </w:pPr>
      <w:r>
        <w:rPr>
          <w:rFonts w:ascii="Times New Roman" w:cs="Times New Roman" w:eastAsia="Times New Roman" w:hAnsi="Times New Roman"/>
          <w:sz w:val="22"/>
          <w:szCs w:val="22"/>
          <w:color w:val="auto"/>
        </w:rPr>
        <w:t>the Company may issue (such as preferred stock, convertible debentures, warrants, exchange- 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80" w:lineRule="exact"/>
        <w:rPr>
          <w:sz w:val="20"/>
          <w:szCs w:val="20"/>
          <w:color w:val="auto"/>
        </w:rPr>
      </w:pPr>
    </w:p>
    <w:p>
      <w:pPr>
        <w:jc w:val="both"/>
        <w:ind w:left="400" w:right="20" w:firstLine="747"/>
        <w:spacing w:after="0" w:line="244" w:lineRule="auto"/>
        <w:rPr>
          <w:sz w:val="20"/>
          <w:szCs w:val="20"/>
          <w:color w:val="auto"/>
        </w:rPr>
      </w:pPr>
      <w:r>
        <w:rPr>
          <w:rFonts w:ascii="Times New Roman" w:cs="Times New Roman" w:eastAsia="Times New Roman" w:hAnsi="Times New Roman"/>
          <w:sz w:val="22"/>
          <w:szCs w:val="22"/>
          <w:color w:val="auto"/>
        </w:rPr>
        <w:t>The special trading restrictions set forth in these Trading Procedures continue to apply to Insiders following the termination of any such Insider’s service to or employment with the Company until any material, nonpublic information possessed by such Insider has become public or is no longer material.</w:t>
      </w:r>
    </w:p>
    <w:p>
      <w:pPr>
        <w:spacing w:after="0" w:line="370" w:lineRule="exact"/>
        <w:rPr>
          <w:sz w:val="20"/>
          <w:szCs w:val="20"/>
          <w:color w:val="auto"/>
        </w:rPr>
      </w:pPr>
    </w:p>
    <w:p>
      <w:pPr>
        <w:ind w:left="1160" w:hanging="753"/>
        <w:spacing w:after="0"/>
        <w:tabs>
          <w:tab w:leader="none" w:pos="1160" w:val="left"/>
        </w:tabs>
        <w:numPr>
          <w:ilvl w:val="0"/>
          <w:numId w:val="8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12" w:lineRule="exact"/>
        <w:rPr>
          <w:sz w:val="20"/>
          <w:szCs w:val="20"/>
          <w:color w:val="auto"/>
        </w:rPr>
      </w:pPr>
    </w:p>
    <w:p>
      <w:pPr>
        <w:jc w:val="both"/>
        <w:ind w:left="400" w:firstLine="747"/>
        <w:spacing w:after="0" w:line="236" w:lineRule="auto"/>
        <w:rPr>
          <w:sz w:val="20"/>
          <w:szCs w:val="20"/>
          <w:color w:val="auto"/>
        </w:rPr>
      </w:pPr>
      <w:r>
        <w:rPr>
          <w:rFonts w:ascii="Times New Roman" w:cs="Times New Roman" w:eastAsia="Times New Roman" w:hAnsi="Times New Roman"/>
          <w:sz w:val="22"/>
          <w:szCs w:val="22"/>
          <w:color w:val="auto"/>
        </w:rPr>
        <w:t xml:space="preserve">Please see the Insider Trading Policy for a description of prohibited activities applicable to all directors, executive officers, and employees of the Company, including Insiders. </w:t>
      </w:r>
      <w:r>
        <w:rPr>
          <w:rFonts w:ascii="Times New Roman" w:cs="Times New Roman" w:eastAsia="Times New Roman" w:hAnsi="Times New Roman"/>
          <w:sz w:val="22"/>
          <w:szCs w:val="22"/>
          <w:b w:val="1"/>
          <w:bCs w:val="1"/>
          <w:color w:val="auto"/>
        </w:rPr>
        <w:t>In particular, no Insider may trade in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type of securities of the Company if such Insider is in possession of material, nonpublic information about the Company, unless the trade has been effected in compliance with a pre-approved Rule 10b5-1 Plan. This prohibition applies even if such Insider receives pre-clearance and the transaction would occur during a trading window in accordance with these Trading Procedures.</w:t>
      </w:r>
    </w:p>
    <w:p>
      <w:pPr>
        <w:spacing w:after="0" w:line="181" w:lineRule="exact"/>
        <w:rPr>
          <w:sz w:val="20"/>
          <w:szCs w:val="20"/>
          <w:color w:val="auto"/>
        </w:rPr>
      </w:pPr>
    </w:p>
    <w:p>
      <w:pPr>
        <w:jc w:val="both"/>
        <w:ind w:left="400" w:right="20" w:firstLine="747"/>
        <w:spacing w:after="0" w:line="244" w:lineRule="auto"/>
        <w:rPr>
          <w:sz w:val="20"/>
          <w:szCs w:val="20"/>
          <w:color w:val="auto"/>
        </w:rPr>
      </w:pPr>
      <w:r>
        <w:rPr>
          <w:rFonts w:ascii="Times New Roman" w:cs="Times New Roman" w:eastAsia="Times New Roman" w:hAnsi="Times New Roman"/>
          <w:sz w:val="22"/>
          <w:szCs w:val="22"/>
          <w:color w:val="auto"/>
        </w:rPr>
        <w:t>Please see the Insider Trading Policy for a discussion of what constitutes “insider trading” as well as “material” and “nonpublic” information. Any Insiders who are unsure whether the information that they possess is material or nonpublic should consult the Company’s General Counsel at the address below for guidance.</w:t>
      </w:r>
    </w:p>
    <w:p>
      <w:pPr>
        <w:spacing w:after="0" w:line="173" w:lineRule="exact"/>
        <w:rPr>
          <w:sz w:val="20"/>
          <w:szCs w:val="20"/>
          <w:color w:val="auto"/>
        </w:rPr>
      </w:pPr>
    </w:p>
    <w:p>
      <w:pPr>
        <w:jc w:val="both"/>
        <w:ind w:left="400" w:right="40" w:firstLine="747"/>
        <w:spacing w:after="0" w:line="258" w:lineRule="auto"/>
        <w:rPr>
          <w:sz w:val="20"/>
          <w:szCs w:val="20"/>
          <w:color w:val="auto"/>
        </w:rPr>
      </w:pPr>
      <w:r>
        <w:rPr>
          <w:rFonts w:ascii="Times New Roman" w:cs="Times New Roman" w:eastAsia="Times New Roman" w:hAnsi="Times New Roman"/>
          <w:sz w:val="22"/>
          <w:szCs w:val="22"/>
          <w:color w:val="auto"/>
        </w:rPr>
        <w:t>In addition to the restrictions on trading in Company securities set forth in the Insider Trading Policy, Insiders are subject to the following special trading restrictions:</w:t>
      </w:r>
    </w:p>
    <w:p>
      <w:pPr>
        <w:spacing w:after="0" w:line="154" w:lineRule="exact"/>
        <w:rPr>
          <w:sz w:val="20"/>
          <w:szCs w:val="20"/>
          <w:color w:val="auto"/>
        </w:rPr>
      </w:pPr>
    </w:p>
    <w:p>
      <w:pPr>
        <w:ind w:left="1900" w:hanging="744"/>
        <w:spacing w:after="0"/>
        <w:tabs>
          <w:tab w:leader="none" w:pos="190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Except During Trading Windows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left="400" w:right="20" w:firstLine="747"/>
        <w:spacing w:after="0" w:line="229" w:lineRule="auto"/>
        <w:rPr>
          <w:sz w:val="20"/>
          <w:szCs w:val="20"/>
          <w:color w:val="auto"/>
        </w:rPr>
      </w:pPr>
      <w:r>
        <w:rPr>
          <w:rFonts w:ascii="Times New Roman" w:cs="Times New Roman" w:eastAsia="Times New Roman" w:hAnsi="Times New Roman"/>
          <w:sz w:val="22"/>
          <w:szCs w:val="22"/>
          <w:color w:val="auto"/>
        </w:rPr>
        <w:t>The announcement of a Company’s quarterly financial results has the potential to have a material effect on the market for the Company’s securities. Although an Insider may not know the financial results prior to public announcement, if an Insider engages in a trade before the financial results are disclosed to the public, such trades may give an appearance of impropriety that could subject the Insider and the Company to a charge of insider trading. Therefore, subject to limited exceptions, and commencing with the period preceding the announcement of the Company’s financial results for the quarter and year ended December 31, 2012, Insiders may trade in Company securities only during four quarterly trading windows and then only after obtaining pre-clearance from the Company’s General Counsel in accordance with the procedures set forth below. Unless otherwise advised, the four trading windows consist of the periods that begin after market close on the second full trading day following the Company’s issuance of a press release (or other method of broad public dissemination) announcing its quarterly or annual earnings and end at the close of business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last month of the then-current quarter. For clarity, the trading window will be closed during the period commencing on December 15, 2012 (the effective date of these Trading Procedures) until after market close on the second full trading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915670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08" w:right="739" w:bottom="1440" w:gutter="0" w:footer="0" w:header="0"/>
        </w:sectPr>
      </w:pPr>
    </w:p>
    <w:bookmarkStart w:id="140" w:name="page141"/>
    <w:bookmarkEnd w:id="140"/>
    <w:p>
      <w:pPr>
        <w:jc w:val="both"/>
        <w:ind w:left="400"/>
        <w:spacing w:after="0" w:line="236" w:lineRule="auto"/>
        <w:rPr>
          <w:sz w:val="20"/>
          <w:szCs w:val="20"/>
          <w:color w:val="auto"/>
        </w:rPr>
      </w:pPr>
      <w:r>
        <w:rPr>
          <w:rFonts w:ascii="Times New Roman" w:cs="Times New Roman" w:eastAsia="Times New Roman" w:hAnsi="Times New Roman"/>
          <w:sz w:val="22"/>
          <w:szCs w:val="22"/>
          <w:color w:val="auto"/>
        </w:rPr>
        <w:t>day following the Company’s issuance of a press release (or other method of broad public dissemination) announcing its financial results for the quarter and year ended December 31, 2012. The trading window will then be open, unless otherwise notified (e.g., pursuant to a special blackout window as described below), from such date until the close of business on March 15, 2013. Insiders may be allowed to trade outside of a trading window only (a) pursuant to a pre-approved Rule 10b5-1 Plan as described in Section D of these Trading Procedures or (b) in accordance with the procedure for waivers described in Section E of these Trading Procedures.</w:t>
      </w:r>
    </w:p>
    <w:p>
      <w:pPr>
        <w:spacing w:after="0" w:line="204" w:lineRule="exact"/>
        <w:rPr>
          <w:sz w:val="20"/>
          <w:szCs w:val="20"/>
          <w:color w:val="auto"/>
        </w:rPr>
      </w:pPr>
    </w:p>
    <w:p>
      <w:pPr>
        <w:ind w:left="1900" w:hanging="744"/>
        <w:spacing w:after="0"/>
        <w:tabs>
          <w:tab w:leader="none" w:pos="190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 Trades Must be Pre-Cleared by the General Counsel</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747"/>
        <w:spacing w:after="0" w:line="234" w:lineRule="auto"/>
        <w:rPr>
          <w:sz w:val="20"/>
          <w:szCs w:val="20"/>
          <w:color w:val="auto"/>
        </w:rPr>
      </w:pPr>
      <w:r>
        <w:rPr>
          <w:rFonts w:ascii="Times New Roman" w:cs="Times New Roman" w:eastAsia="Times New Roman" w:hAnsi="Times New Roman"/>
          <w:sz w:val="22"/>
          <w:szCs w:val="22"/>
          <w:color w:val="auto"/>
        </w:rPr>
        <w:t>No Insider may trade in Company securities unless the trade has been approved by the Company’s General Counsel in accordance with the procedures set forth below (or the Chief Executive Officer if the Insider requesting approval is the General Counsel). The Company has designated its General Counsel as its insider trading compliance officer. The General Counsel will review and either approve or prohibit all proposed trades by Insiders in accordance with the procedures set forth in Section C below. The General Counsel may consult with the Company’s other officers and/or outside legal counsel and will receive approval for his own trades from the Company’s Chief Executive Officer. If you are unable to contact the General Counsel, or if you do not feel you can discuss the matter with the General Counsel, you may contact the Chief Executive Officer, who shall be the alternate insider trading compliance officer under these Trading Procedures.</w:t>
      </w:r>
    </w:p>
    <w:p>
      <w:pPr>
        <w:spacing w:after="0" w:line="183" w:lineRule="exact"/>
        <w:rPr>
          <w:sz w:val="20"/>
          <w:szCs w:val="20"/>
          <w:color w:val="auto"/>
        </w:rPr>
      </w:pPr>
    </w:p>
    <w:p>
      <w:pPr>
        <w:jc w:val="both"/>
        <w:ind w:left="400" w:firstLine="747"/>
        <w:spacing w:after="0" w:line="239" w:lineRule="auto"/>
        <w:rPr>
          <w:sz w:val="20"/>
          <w:szCs w:val="20"/>
          <w:color w:val="auto"/>
        </w:rPr>
      </w:pPr>
      <w:r>
        <w:rPr>
          <w:rFonts w:ascii="Times New Roman" w:cs="Times New Roman" w:eastAsia="Times New Roman" w:hAnsi="Times New Roman"/>
          <w:sz w:val="22"/>
          <w:szCs w:val="22"/>
          <w:color w:val="auto"/>
        </w:rPr>
        <w:t>For avoidance of doubt, it is anticipated that there will be times when trading is restricted hereunder despite Insider’s not receiving prior notice of special blackout windows (see below). Information within the Company which is judged to be material and non-public is likely to change from time to time and it is not intended that special blackout windows be initiated for every such instance when material non-public information exists.</w:t>
      </w:r>
    </w:p>
    <w:p>
      <w:pPr>
        <w:spacing w:after="0" w:line="203" w:lineRule="exact"/>
        <w:rPr>
          <w:sz w:val="20"/>
          <w:szCs w:val="20"/>
          <w:color w:val="auto"/>
        </w:rPr>
      </w:pPr>
    </w:p>
    <w:p>
      <w:pPr>
        <w:ind w:left="1900" w:hanging="744"/>
        <w:spacing w:after="0"/>
        <w:tabs>
          <w:tab w:leader="none" w:pos="190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During Special Blackout Windows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left="400" w:firstLine="747"/>
        <w:spacing w:after="0" w:line="238" w:lineRule="auto"/>
        <w:rPr>
          <w:sz w:val="20"/>
          <w:szCs w:val="20"/>
          <w:color w:val="auto"/>
        </w:rPr>
      </w:pPr>
      <w:r>
        <w:rPr>
          <w:rFonts w:ascii="Times New Roman" w:cs="Times New Roman" w:eastAsia="Times New Roman" w:hAnsi="Times New Roman"/>
          <w:sz w:val="22"/>
          <w:szCs w:val="22"/>
          <w:color w:val="auto"/>
        </w:rPr>
        <w:t>There are times when the Company or certain members of its board of directors or senior management or support staff may be aware of a material, nonpublic development. Although an Insider may not know the specifics of such development, if an Insider engages in a trade before such development is disclosed to the public or resolved, such Insider and the Company might be exposed to a charge of insider trading that could be costly and difficult to refute. In addition, a trade by an Insider during such a period could result in adverse publicity for the Company.</w:t>
      </w:r>
    </w:p>
    <w:p>
      <w:pPr>
        <w:spacing w:after="0" w:line="204" w:lineRule="exact"/>
        <w:rPr>
          <w:sz w:val="20"/>
          <w:szCs w:val="20"/>
          <w:color w:val="auto"/>
        </w:rPr>
      </w:pPr>
    </w:p>
    <w:p>
      <w:pPr>
        <w:jc w:val="both"/>
        <w:ind w:left="400" w:firstLine="747"/>
        <w:spacing w:after="0" w:line="235" w:lineRule="auto"/>
        <w:rPr>
          <w:sz w:val="20"/>
          <w:szCs w:val="20"/>
          <w:color w:val="auto"/>
        </w:rPr>
      </w:pPr>
      <w:r>
        <w:rPr>
          <w:rFonts w:ascii="Times New Roman" w:cs="Times New Roman" w:eastAsia="Times New Roman" w:hAnsi="Times New Roman"/>
          <w:sz w:val="22"/>
          <w:szCs w:val="22"/>
          <w:color w:val="auto"/>
        </w:rPr>
        <w:t>Therefore, Insiders may not trade in Company securities if they are notified by the Company’s General Counsel that the trading window is closed because of the existence of a material, nonpublic development. The General Counsel will subsequently notify the Insiders once the material, nonpublic development is disclosed to the public or resolved and that, as a result, the trading window is again open. While the General Counsel will undertake reasonable efforts to notify the Insiders that material, nonpublic events have developed, or are soon likely to develop, it is each Insider’s individual duty to ensure that they do not make any trade in Company securities when material, nonpublic information exists, regardless of whether such Insider is aware of such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923925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08" w:right="759" w:bottom="1440" w:gutter="0" w:footer="0" w:header="0"/>
        </w:sectPr>
      </w:pPr>
    </w:p>
    <w:bookmarkStart w:id="141" w:name="page142"/>
    <w:bookmarkEnd w:id="141"/>
    <w:p>
      <w:pPr>
        <w:jc w:val="right"/>
        <w:ind w:right="8539"/>
        <w:spacing w:after="0"/>
        <w:rPr>
          <w:sz w:val="20"/>
          <w:szCs w:val="20"/>
          <w:color w:val="auto"/>
        </w:rPr>
      </w:pPr>
      <w:r>
        <w:rPr>
          <w:rFonts w:ascii="Times New Roman" w:cs="Times New Roman" w:eastAsia="Times New Roman" w:hAnsi="Times New Roman"/>
          <w:sz w:val="22"/>
          <w:szCs w:val="22"/>
          <w:color w:val="auto"/>
        </w:rPr>
        <w:t>development.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915670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27" w:right="1440" w:bottom="1440" w:gutter="0" w:footer="0" w:header="0"/>
        </w:sectPr>
      </w:pPr>
    </w:p>
    <w:bookmarkStart w:id="142" w:name="page143"/>
    <w:bookmarkEnd w:id="142"/>
    <w:p>
      <w:pPr>
        <w:spacing w:after="0" w:line="207" w:lineRule="exact"/>
        <w:rPr>
          <w:sz w:val="20"/>
          <w:szCs w:val="20"/>
          <w:color w:val="auto"/>
        </w:rPr>
      </w:pPr>
    </w:p>
    <w:p>
      <w:pPr>
        <w:ind w:left="1900" w:hanging="744"/>
        <w:spacing w:after="0"/>
        <w:tabs>
          <w:tab w:leader="none" w:pos="19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Short Sales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400" w:firstLine="747"/>
        <w:spacing w:after="0" w:line="258" w:lineRule="auto"/>
        <w:rPr>
          <w:sz w:val="20"/>
          <w:szCs w:val="20"/>
          <w:color w:val="auto"/>
        </w:rPr>
      </w:pPr>
      <w:r>
        <w:rPr>
          <w:rFonts w:ascii="Times New Roman" w:cs="Times New Roman" w:eastAsia="Times New Roman" w:hAnsi="Times New Roman"/>
          <w:sz w:val="22"/>
          <w:szCs w:val="22"/>
          <w:color w:val="auto"/>
        </w:rPr>
        <w:t>No Insider may at any time sell any securities of the Company that are not owned by such Insider at the time of the sale (a “short sale”).</w:t>
      </w:r>
    </w:p>
    <w:p>
      <w:pPr>
        <w:spacing w:after="0" w:line="154" w:lineRule="exact"/>
        <w:rPr>
          <w:sz w:val="20"/>
          <w:szCs w:val="20"/>
          <w:color w:val="auto"/>
        </w:rPr>
      </w:pPr>
    </w:p>
    <w:p>
      <w:pPr>
        <w:ind w:left="1480" w:hanging="324"/>
        <w:spacing w:after="0"/>
        <w:tabs>
          <w:tab w:leader="none" w:pos="148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Purchases or Sales of Derivative Securities or Hedging Transactions Without Pre-</w:t>
      </w:r>
    </w:p>
    <w:p>
      <w:pPr>
        <w:spacing w:after="0" w:line="18" w:lineRule="exact"/>
        <w:rPr>
          <w:rFonts w:ascii="Times New Roman" w:cs="Times New Roman" w:eastAsia="Times New Roman" w:hAnsi="Times New Roman"/>
          <w:sz w:val="22"/>
          <w:szCs w:val="22"/>
          <w:b w:val="1"/>
          <w:bCs w:val="1"/>
          <w:color w:val="auto"/>
        </w:rPr>
      </w:pPr>
    </w:p>
    <w:p>
      <w:pPr>
        <w:ind w:left="4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Approval</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left="400" w:firstLine="747"/>
        <w:spacing w:after="0" w:line="234" w:lineRule="auto"/>
        <w:rPr>
          <w:sz w:val="20"/>
          <w:szCs w:val="20"/>
          <w:color w:val="auto"/>
        </w:rPr>
      </w:pPr>
      <w:r>
        <w:rPr>
          <w:rFonts w:ascii="Times New Roman" w:cs="Times New Roman" w:eastAsia="Times New Roman" w:hAnsi="Times New Roman"/>
          <w:sz w:val="22"/>
          <w:szCs w:val="22"/>
          <w:color w:val="auto"/>
        </w:rPr>
        <w:t>No Insider may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transactions with respect to the Company’s securities, at any time unless such transaction has been approved by the Audit Committee of the Board of Directors. Any request for approval of such a derivative transaction by an Insider must be submitted to the Audit Committee in writing at least two (2) weeks prior to the proposed execution of documents evidencing the transaction. Any such request submitted by an Insider will be considered by the Audit Committee on a case-by-case basis and, if permitted, shall be subject to all of the other restrictions on trading in the Company’s securities set forth in these Trading Procedures.</w:t>
      </w:r>
    </w:p>
    <w:p>
      <w:pPr>
        <w:spacing w:after="0" w:line="220" w:lineRule="exact"/>
        <w:rPr>
          <w:sz w:val="20"/>
          <w:szCs w:val="20"/>
          <w:color w:val="auto"/>
        </w:rPr>
      </w:pPr>
    </w:p>
    <w:p>
      <w:pPr>
        <w:ind w:left="1900" w:hanging="744"/>
        <w:spacing w:after="0"/>
        <w:tabs>
          <w:tab w:leader="none" w:pos="190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Company Securities Subject to Margin Calls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No Insider may use the Company’s securities as collateral in a margin account.</w:t>
      </w:r>
    </w:p>
    <w:p>
      <w:pPr>
        <w:spacing w:after="0" w:line="229" w:lineRule="exact"/>
        <w:rPr>
          <w:sz w:val="20"/>
          <w:szCs w:val="20"/>
          <w:color w:val="auto"/>
        </w:rPr>
      </w:pPr>
    </w:p>
    <w:p>
      <w:pPr>
        <w:ind w:left="1900" w:hanging="744"/>
        <w:spacing w:after="0"/>
        <w:tabs>
          <w:tab w:leader="none" w:pos="190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Pledges Without Pre-Approval</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747"/>
        <w:spacing w:after="0" w:line="236" w:lineRule="auto"/>
        <w:rPr>
          <w:sz w:val="20"/>
          <w:szCs w:val="20"/>
          <w:color w:val="auto"/>
        </w:rPr>
      </w:pPr>
      <w:r>
        <w:rPr>
          <w:rFonts w:ascii="Times New Roman" w:cs="Times New Roman" w:eastAsia="Times New Roman" w:hAnsi="Times New Roman"/>
          <w:sz w:val="22"/>
          <w:szCs w:val="22"/>
          <w:color w:val="auto"/>
        </w:rPr>
        <w:t>No Insider may pledge Company securities as collateral for a loan (or modify an existing pledge) unless the pledge has been approved by the Audit Committee of the Board of Directors. Any request for approval of such a pledge by an Insider must be submitted to the Audit Committee in writing at least two (2) weeks prior to the proposed execution of documents evidencing the proposed pledge. Any such request submitted by an Insider will be considered by the Audit Committee on a case-by-case basis and, if permitted, shall be subject to all of the other restrictions on trading in the Company’s securities set forth in these Trading Procedures.</w:t>
      </w:r>
    </w:p>
    <w:p>
      <w:pPr>
        <w:spacing w:after="0" w:line="177" w:lineRule="exact"/>
        <w:rPr>
          <w:sz w:val="20"/>
          <w:szCs w:val="20"/>
          <w:color w:val="auto"/>
        </w:rPr>
      </w:pPr>
    </w:p>
    <w:p>
      <w:pPr>
        <w:ind w:left="11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Transfers Without Consideration Subject to Same Restrictions as All Other Securities Trades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400" w:firstLine="747"/>
        <w:spacing w:after="0" w:line="258" w:lineRule="auto"/>
        <w:rPr>
          <w:sz w:val="20"/>
          <w:szCs w:val="20"/>
          <w:color w:val="auto"/>
        </w:rPr>
      </w:pPr>
      <w:r>
        <w:rPr>
          <w:rFonts w:ascii="Times New Roman" w:cs="Times New Roman" w:eastAsia="Times New Roman" w:hAnsi="Times New Roman"/>
          <w:sz w:val="22"/>
          <w:szCs w:val="22"/>
          <w:color w:val="auto"/>
        </w:rPr>
        <w:t>No Insider may give or make any other transfer of Company securities without consideration (e.g., a gift) during a period when the Insider is not permitted to trade.</w:t>
      </w:r>
    </w:p>
    <w:p>
      <w:pPr>
        <w:spacing w:after="0" w:line="154" w:lineRule="exact"/>
        <w:rPr>
          <w:sz w:val="20"/>
          <w:szCs w:val="20"/>
          <w:color w:val="auto"/>
        </w:rPr>
      </w:pPr>
    </w:p>
    <w:p>
      <w:pPr>
        <w:ind w:left="1900" w:hanging="744"/>
        <w:spacing w:after="0"/>
        <w:tabs>
          <w:tab w:leader="none" w:pos="190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During Retirement Plan Blackout Periods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747"/>
        <w:spacing w:after="0" w:line="244" w:lineRule="auto"/>
        <w:rPr>
          <w:sz w:val="20"/>
          <w:szCs w:val="20"/>
          <w:color w:val="auto"/>
        </w:rPr>
      </w:pPr>
      <w:r>
        <w:rPr>
          <w:rFonts w:ascii="Times New Roman" w:cs="Times New Roman" w:eastAsia="Times New Roman" w:hAnsi="Times New Roman"/>
          <w:sz w:val="22"/>
          <w:szCs w:val="22"/>
          <w:color w:val="auto"/>
        </w:rPr>
        <w:t>If and for so long as the Company permits its securities to be held in any of its retirement plans, no Insider may trade in any Company securities, which were acquired in connection with such Insider’s service or employment with the Company, during a retirement plan “blackout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923925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40" w:right="759" w:bottom="1440" w:gutter="0" w:footer="0" w:header="0"/>
        </w:sectPr>
      </w:pPr>
    </w:p>
    <w:bookmarkStart w:id="143" w:name="page144"/>
    <w:bookmarkEnd w:id="143"/>
    <w:p>
      <w:pPr>
        <w:jc w:val="both"/>
        <w:ind w:left="400"/>
        <w:spacing w:after="0" w:line="238" w:lineRule="auto"/>
        <w:rPr>
          <w:sz w:val="20"/>
          <w:szCs w:val="20"/>
          <w:color w:val="auto"/>
        </w:rPr>
      </w:pPr>
      <w:r>
        <w:rPr>
          <w:rFonts w:ascii="Times New Roman" w:cs="Times New Roman" w:eastAsia="Times New Roman" w:hAnsi="Times New Roman"/>
          <w:sz w:val="22"/>
          <w:szCs w:val="22"/>
          <w:color w:val="auto"/>
        </w:rPr>
        <w:t>period” except as specifically permitted below. A blackout period includes any period of more than three (3) consecutive business days during which at least fifty percent (50%) of all participants and beneficiaries under all of the individual account plans maintained by the Company and members of its controlled group are prohibited from trading in Company securities through their plan accounts. Insiders will receive advance notice of any such blackout period from the Company’s General Counsel or his or her designee.</w:t>
      </w:r>
    </w:p>
    <w:p>
      <w:pPr>
        <w:spacing w:after="0" w:line="373" w:lineRule="exact"/>
        <w:rPr>
          <w:sz w:val="20"/>
          <w:szCs w:val="20"/>
          <w:color w:val="auto"/>
        </w:rPr>
      </w:pPr>
    </w:p>
    <w:p>
      <w:pPr>
        <w:ind w:left="1160" w:hanging="753"/>
        <w:spacing w:after="0"/>
        <w:tabs>
          <w:tab w:leader="none" w:pos="1160" w:val="left"/>
        </w:tabs>
        <w:numPr>
          <w:ilvl w:val="0"/>
          <w:numId w:val="9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206" w:lineRule="exact"/>
        <w:rPr>
          <w:rFonts w:ascii="Times New Roman" w:cs="Times New Roman" w:eastAsia="Times New Roman" w:hAnsi="Times New Roman"/>
          <w:sz w:val="22"/>
          <w:szCs w:val="22"/>
          <w:b w:val="1"/>
          <w:bCs w:val="1"/>
          <w:i w:val="1"/>
          <w:iCs w:val="1"/>
          <w:color w:val="auto"/>
        </w:rPr>
      </w:pPr>
    </w:p>
    <w:p>
      <w:pPr>
        <w:ind w:left="1160"/>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Procedures</w:t>
      </w:r>
      <w:r>
        <w:rPr>
          <w:rFonts w:ascii="Times New Roman" w:cs="Times New Roman" w:eastAsia="Times New Roman" w:hAnsi="Times New Roman"/>
          <w:sz w:val="22"/>
          <w:szCs w:val="22"/>
          <w:color w:val="auto"/>
        </w:rPr>
        <w:t>. No Insider may trade in Company securities until:</w:t>
      </w:r>
    </w:p>
    <w:p>
      <w:pPr>
        <w:spacing w:after="0" w:line="212" w:lineRule="exact"/>
        <w:rPr>
          <w:rFonts w:ascii="Times New Roman" w:cs="Times New Roman" w:eastAsia="Times New Roman" w:hAnsi="Times New Roman"/>
          <w:sz w:val="22"/>
          <w:szCs w:val="22"/>
          <w:b w:val="1"/>
          <w:bCs w:val="1"/>
          <w:i w:val="1"/>
          <w:iCs w:val="1"/>
          <w:color w:val="auto"/>
        </w:rPr>
      </w:pPr>
    </w:p>
    <w:p>
      <w:pPr>
        <w:jc w:val="both"/>
        <w:ind w:left="1520" w:hanging="364"/>
        <w:spacing w:after="0" w:line="235" w:lineRule="auto"/>
        <w:tabs>
          <w:tab w:leader="none" w:pos="152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General Counsel (or the Chief Executive Officer if the Insider requesting pre-clearance is the General Counsel) of the amount and nature of the proposed trade(s) and has certified as to certain matters pursuant to the Insider Trading Pre-Clearance Certification form attached to these Trading Procedures. In order to provide adequate time for the preparation of any required reports under Section 16 of the Securities Exchange Act of 1934, as amended (the “Exchange Act”), as applicable, the Insider Trading Pre-Clearance Certification form should, if practicable, be received by the General Counsel at least two (2) business days prior to the intended trade date;</w:t>
      </w:r>
    </w:p>
    <w:p>
      <w:pPr>
        <w:spacing w:after="0" w:line="183" w:lineRule="exact"/>
        <w:rPr>
          <w:rFonts w:ascii="Times New Roman" w:cs="Times New Roman" w:eastAsia="Times New Roman" w:hAnsi="Times New Roman"/>
          <w:sz w:val="22"/>
          <w:szCs w:val="22"/>
          <w:color w:val="auto"/>
        </w:rPr>
      </w:pPr>
    </w:p>
    <w:p>
      <w:pPr>
        <w:ind w:left="1520" w:hanging="364"/>
        <w:spacing w:after="0" w:line="258" w:lineRule="auto"/>
        <w:tabs>
          <w:tab w:leader="none" w:pos="152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 in writing prior to the proposed trade(s) that the Insider is not in possession of material, nonpublic information concerning the Company;</w:t>
      </w:r>
    </w:p>
    <w:p>
      <w:pPr>
        <w:spacing w:after="0" w:line="158" w:lineRule="exact"/>
        <w:rPr>
          <w:rFonts w:ascii="Times New Roman" w:cs="Times New Roman" w:eastAsia="Times New Roman" w:hAnsi="Times New Roman"/>
          <w:sz w:val="22"/>
          <w:szCs w:val="22"/>
          <w:color w:val="auto"/>
        </w:rPr>
      </w:pPr>
    </w:p>
    <w:p>
      <w:pPr>
        <w:jc w:val="both"/>
        <w:ind w:left="1520" w:hanging="364"/>
        <w:spacing w:after="0" w:line="236" w:lineRule="auto"/>
        <w:tabs>
          <w:tab w:leader="none" w:pos="152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informed the Compliance Officer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81" w:lineRule="exact"/>
        <w:rPr>
          <w:rFonts w:ascii="Times New Roman" w:cs="Times New Roman" w:eastAsia="Times New Roman" w:hAnsi="Times New Roman"/>
          <w:sz w:val="22"/>
          <w:szCs w:val="22"/>
          <w:color w:val="auto"/>
        </w:rPr>
      </w:pPr>
    </w:p>
    <w:p>
      <w:pPr>
        <w:ind w:left="1520" w:hanging="364"/>
        <w:spacing w:after="0" w:line="258" w:lineRule="auto"/>
        <w:tabs>
          <w:tab w:leader="none" w:pos="152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Counsel or his or her designee has approved the trade(s) and has certified such approval in writing. Such certification may be made via digitally-signed electronic mail.</w:t>
      </w:r>
    </w:p>
    <w:p>
      <w:pPr>
        <w:spacing w:after="0" w:line="158" w:lineRule="exact"/>
        <w:rPr>
          <w:sz w:val="20"/>
          <w:szCs w:val="20"/>
          <w:color w:val="auto"/>
        </w:rPr>
      </w:pPr>
    </w:p>
    <w:p>
      <w:pPr>
        <w:ind w:left="1160"/>
        <w:spacing w:after="0" w:line="258" w:lineRule="auto"/>
        <w:rPr>
          <w:sz w:val="20"/>
          <w:szCs w:val="20"/>
          <w:color w:val="auto"/>
        </w:rPr>
      </w:pPr>
      <w:r>
        <w:rPr>
          <w:rFonts w:ascii="Times New Roman" w:cs="Times New Roman" w:eastAsia="Times New Roman" w:hAnsi="Times New Roman"/>
          <w:sz w:val="22"/>
          <w:szCs w:val="22"/>
          <w:color w:val="auto"/>
        </w:rPr>
        <w:t>The Company’s General Counsel does not assume the responsibility for, and approval from the General Counsel does not protect the Insider from, the consequences of prohibited insider trading.</w:t>
      </w:r>
    </w:p>
    <w:p>
      <w:pPr>
        <w:spacing w:after="0" w:line="152" w:lineRule="exact"/>
        <w:rPr>
          <w:sz w:val="20"/>
          <w:szCs w:val="20"/>
          <w:color w:val="auto"/>
        </w:rPr>
      </w:pPr>
    </w:p>
    <w:p>
      <w:pPr>
        <w:jc w:val="both"/>
        <w:ind w:left="400" w:firstLine="747"/>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Additional Information</w:t>
      </w:r>
      <w:r>
        <w:rPr>
          <w:rFonts w:ascii="Times New Roman" w:cs="Times New Roman" w:eastAsia="Times New Roman" w:hAnsi="Times New Roman"/>
          <w:sz w:val="22"/>
          <w:szCs w:val="22"/>
          <w:color w:val="auto"/>
        </w:rPr>
        <w:t>. Insiders shall provide to the General Counsel any documentation reasonably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requested by him or her in furtherance of the foregoing procedures. Any failure to provide such requested information will be grounds for denial of approval by the General Counsel.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915670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08" w:right="759" w:bottom="1440" w:gutter="0" w:footer="0" w:header="0"/>
        </w:sectPr>
      </w:pPr>
    </w:p>
    <w:bookmarkStart w:id="144" w:name="page145"/>
    <w:bookmarkEnd w:id="144"/>
    <w:p>
      <w:pPr>
        <w:jc w:val="both"/>
        <w:ind w:left="400" w:firstLine="747"/>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No Obligation to Approve Trades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existence of the foregoing approval procedures does not in any way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obligate the General Counsel to approve any trade requested by an Insider. The General Counsel may reject any trading request at his or her sole discretion. From time to time, an event may occur that is material to the Company and is known by only a few directors or executives. So long as the event remains material and nonpublic, the General Counsel may determine not to approve any transactions in the Company’s securities. If an Insider requests clearance to trade in the Company’s securities during the pendency of such an event, the General Counsel may reject the trading request without disclosing the reason.</w:t>
      </w:r>
    </w:p>
    <w:p>
      <w:pPr>
        <w:spacing w:after="0" w:line="176" w:lineRule="exact"/>
        <w:rPr>
          <w:sz w:val="20"/>
          <w:szCs w:val="20"/>
          <w:color w:val="auto"/>
        </w:rPr>
      </w:pPr>
    </w:p>
    <w:p>
      <w:pPr>
        <w:jc w:val="both"/>
        <w:ind w:left="400" w:firstLine="747"/>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Completion of Trades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After receiving written clearance to engage in a trade signed by the General Counsel,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Insider must complete the proposed trade within two (2) business days or make a new trading request.</w:t>
      </w:r>
    </w:p>
    <w:p>
      <w:pPr>
        <w:spacing w:after="0" w:line="145" w:lineRule="exact"/>
        <w:rPr>
          <w:sz w:val="20"/>
          <w:szCs w:val="20"/>
          <w:color w:val="auto"/>
        </w:rPr>
      </w:pPr>
    </w:p>
    <w:p>
      <w:pPr>
        <w:jc w:val="both"/>
        <w:ind w:left="400" w:firstLine="747"/>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Post-Trade Reporting</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Any transaction in the Company’s securities by an Insider (including transactions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effected pursuant to a Rule 10b5-1 Plan) must be reported to the General Counsel, including all appropriate details, on the same day in which such a transaction occurs.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82" w:lineRule="exact"/>
        <w:rPr>
          <w:sz w:val="20"/>
          <w:szCs w:val="20"/>
          <w:color w:val="auto"/>
        </w:rPr>
      </w:pPr>
    </w:p>
    <w:p>
      <w:pPr>
        <w:jc w:val="both"/>
        <w:ind w:left="400" w:firstLine="747"/>
        <w:spacing w:after="0" w:line="238" w:lineRule="auto"/>
        <w:rPr>
          <w:sz w:val="20"/>
          <w:szCs w:val="20"/>
          <w:color w:val="auto"/>
        </w:rPr>
      </w:pPr>
      <w:r>
        <w:rPr>
          <w:rFonts w:ascii="Times New Roman" w:cs="Times New Roman" w:eastAsia="Times New Roman" w:hAnsi="Times New Roman"/>
          <w:sz w:val="22"/>
          <w:szCs w:val="22"/>
          <w:color w:val="auto"/>
        </w:rPr>
        <w:t>Each report an Insider makes to the General Counsel should include the date of the transaction, quantity of shares, price and broker-dealer through which the transaction was effected. This reporting requirement may be satisfied by sending (or having such Insider’s broker send) duplicate confirmations of trades to the General Counsel if such information is received by the General Counsel on or before the required date. This requirement is in addition to any required notification that the Company receives from the broker who completes the trade.</w:t>
      </w:r>
    </w:p>
    <w:p>
      <w:pPr>
        <w:spacing w:after="0" w:line="373" w:lineRule="exact"/>
        <w:rPr>
          <w:sz w:val="20"/>
          <w:szCs w:val="20"/>
          <w:color w:val="auto"/>
        </w:rPr>
      </w:pPr>
    </w:p>
    <w:p>
      <w:pPr>
        <w:ind w:left="1160" w:hanging="753"/>
        <w:spacing w:after="0"/>
        <w:tabs>
          <w:tab w:leader="none" w:pos="1160" w:val="left"/>
        </w:tabs>
        <w:numPr>
          <w:ilvl w:val="0"/>
          <w:numId w:val="9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06" w:lineRule="exact"/>
        <w:rPr>
          <w:sz w:val="20"/>
          <w:szCs w:val="20"/>
          <w:color w:val="auto"/>
        </w:rPr>
      </w:pPr>
    </w:p>
    <w:p>
      <w:pPr>
        <w:jc w:val="both"/>
        <w:ind w:left="400" w:firstLine="747"/>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Pre-Approved Rule 10b5-1 Plan</w:t>
      </w:r>
      <w:r>
        <w:rPr>
          <w:rFonts w:ascii="Times New Roman" w:cs="Times New Roman" w:eastAsia="Times New Roman" w:hAnsi="Times New Roman"/>
          <w:sz w:val="22"/>
          <w:szCs w:val="22"/>
          <w:color w:val="auto"/>
        </w:rPr>
        <w:t>. Transactions effected pursuant to a pre-approved Rule 10b5-1 plan will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 subject to the Company’s trading windows, retirement plan blackout periods (if applicable) or pre-clearance procedures, and Insiders are not required to complete a Stock Transaction Request form for such transactions. Rule 10b5-1 of the Exchange Act provides an affirmative defense from insider trading liability under the federal securities laws for trading plans that meet certain requirements. A trading plan, arrangement or instruction that meets the requirements of Rule 10b5-1 (a “Rule 10b5-1 Plan”) enables Insiders to establish arrangements to trade in Company securities outside of the Company’s trading windows, even when in possession of material, nonpublic information. If an Insider intends to trade pursuant to a Rule 10b5-1 Plan, such plan must:</w:t>
      </w:r>
    </w:p>
    <w:p>
      <w:pPr>
        <w:spacing w:after="0" w:line="184" w:lineRule="exact"/>
        <w:rPr>
          <w:sz w:val="20"/>
          <w:szCs w:val="20"/>
          <w:color w:val="auto"/>
        </w:rPr>
      </w:pPr>
    </w:p>
    <w:p>
      <w:pPr>
        <w:ind w:left="1900" w:hanging="370"/>
        <w:spacing w:after="0"/>
        <w:tabs>
          <w:tab w:leader="none" w:pos="19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satisfy the requirements of Rule 10b5-1;</w:t>
      </w:r>
    </w:p>
    <w:p>
      <w:pPr>
        <w:spacing w:after="0" w:line="71" w:lineRule="exact"/>
        <w:rPr>
          <w:rFonts w:ascii="Times New Roman" w:cs="Times New Roman" w:eastAsia="Times New Roman" w:hAnsi="Times New Roman"/>
          <w:sz w:val="22"/>
          <w:szCs w:val="22"/>
          <w:color w:val="auto"/>
        </w:rPr>
      </w:pPr>
    </w:p>
    <w:p>
      <w:pPr>
        <w:ind w:left="1900" w:hanging="370"/>
        <w:spacing w:after="0"/>
        <w:tabs>
          <w:tab w:leader="none" w:pos="19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documented in writing;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923925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02" w:right="759" w:bottom="1440" w:gutter="0" w:footer="0" w:header="0"/>
        </w:sectPr>
      </w:pPr>
    </w:p>
    <w:bookmarkStart w:id="145" w:name="page146"/>
    <w:bookmarkEnd w:id="145"/>
    <w:p>
      <w:pPr>
        <w:spacing w:after="0" w:line="103" w:lineRule="exact"/>
        <w:rPr>
          <w:sz w:val="20"/>
          <w:szCs w:val="20"/>
          <w:color w:val="auto"/>
        </w:rPr>
      </w:pPr>
    </w:p>
    <w:p>
      <w:pPr>
        <w:ind w:left="1880" w:hanging="350"/>
        <w:spacing w:after="0" w:line="258" w:lineRule="auto"/>
        <w:tabs>
          <w:tab w:leader="none" w:pos="18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established during a trading window when such Insider does not possess material, nonpublic information; and</w:t>
      </w:r>
    </w:p>
    <w:p>
      <w:pPr>
        <w:spacing w:after="0" w:line="158" w:lineRule="exact"/>
        <w:rPr>
          <w:rFonts w:ascii="Times New Roman" w:cs="Times New Roman" w:eastAsia="Times New Roman" w:hAnsi="Times New Roman"/>
          <w:sz w:val="22"/>
          <w:szCs w:val="22"/>
          <w:color w:val="auto"/>
        </w:rPr>
      </w:pPr>
    </w:p>
    <w:p>
      <w:pPr>
        <w:ind w:left="1900" w:hanging="370"/>
        <w:spacing w:after="0"/>
        <w:tabs>
          <w:tab w:leader="none" w:pos="19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pre-approved by the General Counsel.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915670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440" w:right="1419" w:bottom="1440" w:gutter="0" w:footer="0" w:header="0"/>
        </w:sectPr>
      </w:pPr>
    </w:p>
    <w:bookmarkStart w:id="146" w:name="page147"/>
    <w:bookmarkEnd w:id="146"/>
    <w:p>
      <w:pPr>
        <w:spacing w:after="0" w:line="103" w:lineRule="exact"/>
        <w:rPr>
          <w:sz w:val="20"/>
          <w:szCs w:val="20"/>
          <w:color w:val="auto"/>
        </w:rPr>
      </w:pPr>
    </w:p>
    <w:p>
      <w:pPr>
        <w:jc w:val="both"/>
        <w:ind w:left="400" w:right="20" w:firstLine="747"/>
        <w:spacing w:after="0" w:line="258" w:lineRule="auto"/>
        <w:rPr>
          <w:sz w:val="20"/>
          <w:szCs w:val="20"/>
          <w:color w:val="auto"/>
        </w:rPr>
      </w:pPr>
      <w:r>
        <w:rPr>
          <w:rFonts w:ascii="Times New Roman" w:cs="Times New Roman" w:eastAsia="Times New Roman" w:hAnsi="Times New Roman"/>
          <w:sz w:val="22"/>
          <w:szCs w:val="22"/>
          <w:color w:val="auto"/>
        </w:rPr>
        <w:t>Any deviation from, or alteration to, the specifications of an approved Rule 10b5-1 Plan (including, without limitation, the amount, price or timing of a purchase or sale) must be reported immediately to the General Counsel.</w:t>
      </w:r>
    </w:p>
    <w:p>
      <w:pPr>
        <w:spacing w:after="0" w:line="158" w:lineRule="exact"/>
        <w:rPr>
          <w:sz w:val="20"/>
          <w:szCs w:val="20"/>
          <w:color w:val="auto"/>
        </w:rPr>
      </w:pPr>
    </w:p>
    <w:p>
      <w:pPr>
        <w:jc w:val="both"/>
        <w:ind w:left="400" w:right="20" w:firstLine="747"/>
        <w:spacing w:after="0" w:line="238" w:lineRule="auto"/>
        <w:rPr>
          <w:sz w:val="20"/>
          <w:szCs w:val="20"/>
          <w:color w:val="auto"/>
        </w:rPr>
      </w:pPr>
      <w:r>
        <w:rPr>
          <w:rFonts w:ascii="Times New Roman" w:cs="Times New Roman" w:eastAsia="Times New Roman" w:hAnsi="Times New Roman"/>
          <w:sz w:val="22"/>
          <w:szCs w:val="22"/>
          <w:color w:val="auto"/>
        </w:rPr>
        <w:t>The General Counsel may refuse to approve a Rule 10b5-1 Plan as he or she deems appropriate including, without limitation, if he or she determines that such plan does not satisfy the requirements of Rule 10b5-1. The General Counsel may consult with the Company’s legal counsel before approving a Rule 10b5-1 Plan. If the General Counsel does not approve an Insider’s Rule 10b5-1 Plan, such Insider must adhere to the pre-clearance procedures and trading windows set forth above until such time as a Rule 10b5-1 Plan is approved.</w:t>
      </w:r>
    </w:p>
    <w:p>
      <w:pPr>
        <w:spacing w:after="0" w:line="177" w:lineRule="exact"/>
        <w:rPr>
          <w:sz w:val="20"/>
          <w:szCs w:val="20"/>
          <w:color w:val="auto"/>
        </w:rPr>
      </w:pPr>
    </w:p>
    <w:p>
      <w:pPr>
        <w:jc w:val="both"/>
        <w:ind w:left="400" w:right="20" w:firstLine="747"/>
        <w:spacing w:after="0" w:line="244" w:lineRule="auto"/>
        <w:rPr>
          <w:sz w:val="20"/>
          <w:szCs w:val="20"/>
          <w:color w:val="auto"/>
        </w:rPr>
      </w:pPr>
      <w:r>
        <w:rPr>
          <w:rFonts w:ascii="Times New Roman" w:cs="Times New Roman" w:eastAsia="Times New Roman" w:hAnsi="Times New Roman"/>
          <w:sz w:val="22"/>
          <w:szCs w:val="22"/>
          <w:color w:val="auto"/>
        </w:rPr>
        <w:t>Any modification of an Insider’s prior Rule 10b5-1 Plan requires pre-approval by the General Counsel. A modification must occur during a trading window and while such Insider is not aware of material, nonpublic information.</w:t>
      </w:r>
    </w:p>
    <w:p>
      <w:pPr>
        <w:spacing w:after="0" w:line="1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i w:val="1"/>
          <w:iCs w:val="1"/>
          <w:color w:val="auto"/>
        </w:rPr>
        <w:t>Other Circumstances.</w:t>
      </w:r>
    </w:p>
    <w:p>
      <w:pPr>
        <w:spacing w:after="0" w:line="208" w:lineRule="exact"/>
        <w:rPr>
          <w:sz w:val="20"/>
          <w:szCs w:val="20"/>
          <w:color w:val="auto"/>
        </w:rPr>
      </w:pPr>
    </w:p>
    <w:p>
      <w:pPr>
        <w:jc w:val="both"/>
        <w:ind w:left="400" w:right="20" w:firstLine="727"/>
        <w:spacing w:after="0" w:line="234" w:lineRule="auto"/>
        <w:tabs>
          <w:tab w:leader="none" w:pos="1465"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Stock Options or Warrants</w:t>
      </w:r>
      <w:r>
        <w:rPr>
          <w:rFonts w:ascii="Times New Roman" w:cs="Times New Roman" w:eastAsia="Times New Roman" w:hAnsi="Times New Roman"/>
          <w:sz w:val="22"/>
          <w:szCs w:val="22"/>
          <w:color w:val="auto"/>
        </w:rPr>
        <w:t>. The trading prohibitions and restrictions set forth in these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Procedures do not apply to the exercise of an option or warrant to purchase securities of the Company when payment of the exercise price is made in cash. However, the exercise of an option or warrant to purchase securities of the Company may be subject to the current reporting requirements of Section 16 of the Exchange Act and, therefore, Insiders must comply with the post-trade reporting requirement described in Section C above for any such transaction. In addition, the securities acquired upon the exercise of an option or warrant to purchase Company securities are subject to all of the requirements of these Trading Procedures and the Insider Trading Policy. Moreover, these Trading Procedures apply to the use of outstanding Company securities to constitute part or all of the exercise price of an option or warrant, any sale of stock as part of a broker-assisted cashless exercise of an option, or any other market sale for the purpose of generating the cash needed to pay the exercise price of an option or warrant.</w:t>
      </w:r>
    </w:p>
    <w:p>
      <w:pPr>
        <w:spacing w:after="0" w:line="179" w:lineRule="exact"/>
        <w:rPr>
          <w:rFonts w:ascii="Times New Roman" w:cs="Times New Roman" w:eastAsia="Times New Roman" w:hAnsi="Times New Roman"/>
          <w:sz w:val="22"/>
          <w:szCs w:val="22"/>
          <w:b w:val="1"/>
          <w:bCs w:val="1"/>
          <w:color w:val="auto"/>
        </w:rPr>
      </w:pPr>
    </w:p>
    <w:p>
      <w:pPr>
        <w:jc w:val="both"/>
        <w:ind w:left="400" w:right="20" w:firstLine="727"/>
        <w:spacing w:after="0" w:line="238" w:lineRule="auto"/>
        <w:tabs>
          <w:tab w:leader="none" w:pos="1465"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Withholding on Restricted Stock</w:t>
      </w:r>
      <w:r>
        <w:rPr>
          <w:rFonts w:ascii="Times New Roman" w:cs="Times New Roman" w:eastAsia="Times New Roman" w:hAnsi="Times New Roman"/>
          <w:sz w:val="22"/>
          <w:szCs w:val="22"/>
          <w:color w:val="auto"/>
        </w:rPr>
        <w:t>. The trading prohibitions and restrictions set forth in these Trading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Procedures do not apply to the withholding by the Company of shares of restricted stock upon vesting to satisfy applicable tax withholding requirements if (a) such withholding is required by the applicable plan or award agreement or (b) the election to exercise such tax withholding right was made by the Insider in compliance with these Trading Procedures.</w:t>
      </w:r>
    </w:p>
    <w:p>
      <w:pPr>
        <w:spacing w:after="0" w:line="392" w:lineRule="exact"/>
        <w:rPr>
          <w:rFonts w:ascii="Times New Roman" w:cs="Times New Roman" w:eastAsia="Times New Roman" w:hAnsi="Times New Roman"/>
          <w:sz w:val="22"/>
          <w:szCs w:val="22"/>
          <w:b w:val="1"/>
          <w:bCs w:val="1"/>
          <w:color w:val="auto"/>
        </w:rPr>
      </w:pPr>
    </w:p>
    <w:p>
      <w:pPr>
        <w:ind w:left="400" w:firstLine="756"/>
        <w:spacing w:after="0" w:line="262" w:lineRule="auto"/>
        <w:tabs>
          <w:tab w:leader="none" w:pos="1495"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Employee Stock Purchase Plan. </w:t>
      </w:r>
      <w:r>
        <w:rPr>
          <w:rFonts w:ascii="Times New Roman" w:cs="Times New Roman" w:eastAsia="Times New Roman" w:hAnsi="Times New Roman"/>
          <w:sz w:val="22"/>
          <w:szCs w:val="22"/>
          <w:color w:val="auto"/>
        </w:rPr>
        <w:t>The trading prohibitions and restrictions set forth in these Trading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Procedures do not apply to periodic wage withholding contributions by the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923925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40" w:right="739" w:bottom="1440" w:gutter="0" w:footer="0" w:header="0"/>
        </w:sectPr>
      </w:pPr>
    </w:p>
    <w:bookmarkStart w:id="147" w:name="page148"/>
    <w:bookmarkEnd w:id="147"/>
    <w:p>
      <w:pPr>
        <w:jc w:val="both"/>
        <w:ind w:left="400"/>
        <w:spacing w:after="0" w:line="253" w:lineRule="auto"/>
        <w:rPr>
          <w:sz w:val="20"/>
          <w:szCs w:val="20"/>
          <w:color w:val="auto"/>
        </w:rPr>
      </w:pPr>
      <w:r>
        <w:rPr>
          <w:rFonts w:ascii="Times New Roman" w:cs="Times New Roman" w:eastAsia="Times New Roman" w:hAnsi="Times New Roman"/>
          <w:sz w:val="21"/>
          <w:szCs w:val="21"/>
          <w:color w:val="auto"/>
        </w:rPr>
        <w:t>Company or employees of the Company which are used to purchase the Company’s securities pursuant to the employees’ advance instructions under the Company’s 2017 Employee Stock Purchase Plan. However, no Insider may:</w:t>
      </w:r>
    </w:p>
    <w:p>
      <w:pPr>
        <w:spacing w:after="0" w:line="1" w:lineRule="exact"/>
        <w:rPr>
          <w:sz w:val="20"/>
          <w:szCs w:val="20"/>
          <w:color w:val="auto"/>
        </w:rPr>
      </w:pPr>
    </w:p>
    <w:p>
      <w:pPr>
        <w:jc w:val="both"/>
        <w:ind w:left="400" w:firstLine="4"/>
        <w:spacing w:after="0" w:line="234" w:lineRule="auto"/>
        <w:tabs>
          <w:tab w:leader="none" w:pos="70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 to participate in the plan or alter his or her instructions regarding the level of withholding or purchase by the Insider of Company securities under such plan; or (b) make cash contributions to such plan (other than through periodic wage withholding) without complying with these Trading Procedures. Any sale of securities acquired under such plan is subject to the prohibitions and restrictions of these Trading Procedures.</w:t>
      </w:r>
    </w:p>
    <w:p>
      <w:pPr>
        <w:spacing w:after="0" w:line="374" w:lineRule="exact"/>
        <w:rPr>
          <w:sz w:val="20"/>
          <w:szCs w:val="20"/>
          <w:color w:val="auto"/>
        </w:rPr>
      </w:pPr>
    </w:p>
    <w:p>
      <w:pPr>
        <w:ind w:left="1160" w:hanging="753"/>
        <w:spacing w:after="0"/>
        <w:tabs>
          <w:tab w:leader="none" w:pos="1160" w:val="left"/>
        </w:tabs>
        <w:numPr>
          <w:ilvl w:val="0"/>
          <w:numId w:val="10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12" w:lineRule="exact"/>
        <w:rPr>
          <w:sz w:val="20"/>
          <w:szCs w:val="20"/>
          <w:color w:val="auto"/>
        </w:rPr>
      </w:pPr>
    </w:p>
    <w:p>
      <w:pPr>
        <w:jc w:val="both"/>
        <w:ind w:left="400" w:firstLine="747"/>
        <w:spacing w:after="0" w:line="244" w:lineRule="auto"/>
        <w:rPr>
          <w:sz w:val="20"/>
          <w:szCs w:val="20"/>
          <w:color w:val="auto"/>
        </w:rPr>
      </w:pPr>
      <w:r>
        <w:rPr>
          <w:rFonts w:ascii="Times New Roman" w:cs="Times New Roman" w:eastAsia="Times New Roman" w:hAnsi="Times New Roman"/>
          <w:sz w:val="22"/>
          <w:szCs w:val="22"/>
          <w:color w:val="auto"/>
        </w:rPr>
        <w:t>A waiver of any provision of these Trading Procedures in a specific instance may be authorized in writing by the General Counsel or the Audit Committee of the Board of Directors, and any such waiver shall be reported to the Company’s Board of Directors.</w:t>
      </w:r>
    </w:p>
    <w:p>
      <w:pPr>
        <w:spacing w:after="0" w:line="383" w:lineRule="exact"/>
        <w:rPr>
          <w:sz w:val="20"/>
          <w:szCs w:val="20"/>
          <w:color w:val="auto"/>
        </w:rPr>
      </w:pPr>
    </w:p>
    <w:p>
      <w:pPr>
        <w:ind w:left="1240" w:hanging="832"/>
        <w:spacing w:after="0"/>
        <w:tabs>
          <w:tab w:leader="none" w:pos="1240" w:val="left"/>
        </w:tabs>
        <w:numPr>
          <w:ilvl w:val="0"/>
          <w:numId w:val="10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ACKNOWLEDGMENT</w:t>
      </w:r>
    </w:p>
    <w:p>
      <w:pPr>
        <w:spacing w:after="0" w:line="212" w:lineRule="exact"/>
        <w:rPr>
          <w:sz w:val="20"/>
          <w:szCs w:val="20"/>
          <w:color w:val="auto"/>
        </w:rPr>
      </w:pPr>
    </w:p>
    <w:p>
      <w:pPr>
        <w:jc w:val="both"/>
        <w:ind w:left="400" w:firstLine="747"/>
        <w:spacing w:after="0" w:line="258" w:lineRule="auto"/>
        <w:rPr>
          <w:sz w:val="20"/>
          <w:szCs w:val="20"/>
          <w:color w:val="auto"/>
        </w:rPr>
      </w:pPr>
      <w:r>
        <w:rPr>
          <w:rFonts w:ascii="Times New Roman" w:cs="Times New Roman" w:eastAsia="Times New Roman" w:hAnsi="Times New Roman"/>
          <w:sz w:val="22"/>
          <w:szCs w:val="22"/>
          <w:color w:val="auto"/>
        </w:rPr>
        <w:t>In addition to the Company’s Insider Trading Policy, these Trading Procedures will be delivered to all current Insiders and to all new Insiders at the start of their employment or Insider relationship with the Company.</w:t>
      </w:r>
    </w:p>
    <w:p>
      <w:pPr>
        <w:spacing w:after="0" w:line="158" w:lineRule="exact"/>
        <w:rPr>
          <w:sz w:val="20"/>
          <w:szCs w:val="20"/>
          <w:color w:val="auto"/>
        </w:rPr>
      </w:pPr>
    </w:p>
    <w:p>
      <w:pPr>
        <w:jc w:val="both"/>
        <w:ind w:left="400" w:firstLine="747"/>
        <w:spacing w:after="0" w:line="244" w:lineRule="auto"/>
        <w:rPr>
          <w:sz w:val="20"/>
          <w:szCs w:val="20"/>
          <w:color w:val="auto"/>
        </w:rPr>
      </w:pPr>
      <w:r>
        <w:rPr>
          <w:rFonts w:ascii="Times New Roman" w:cs="Times New Roman" w:eastAsia="Times New Roman" w:hAnsi="Times New Roman"/>
          <w:sz w:val="22"/>
          <w:szCs w:val="22"/>
          <w:color w:val="auto"/>
        </w:rPr>
        <w:t>Upon first receiving a copy of these Trading Procedures, each employee must acknowledge that he or she has received a copy and agrees to comply with the terms of these Trading Procedures and the Insider Trading Policy. Such employee shall return the acknowledgment attached hereto within ten (10) days of receipt to:</w:t>
      </w:r>
    </w:p>
    <w:p>
      <w:pPr>
        <w:spacing w:after="0" w:line="16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General Counsel Amarin</w:t>
      </w:r>
    </w:p>
    <w:p>
      <w:pPr>
        <w:spacing w:after="0" w:line="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Corporation plc c/o Amarin</w:t>
      </w:r>
    </w:p>
    <w:p>
      <w:pPr>
        <w:jc w:val="center"/>
        <w:ind w:right="-399"/>
        <w:spacing w:after="0" w:line="230" w:lineRule="auto"/>
        <w:rPr>
          <w:sz w:val="20"/>
          <w:szCs w:val="20"/>
          <w:color w:val="auto"/>
        </w:rPr>
      </w:pPr>
      <w:r>
        <w:rPr>
          <w:rFonts w:ascii="Times New Roman" w:cs="Times New Roman" w:eastAsia="Times New Roman" w:hAnsi="Times New Roman"/>
          <w:sz w:val="22"/>
          <w:szCs w:val="22"/>
          <w:b w:val="1"/>
          <w:bCs w:val="1"/>
          <w:color w:val="auto"/>
        </w:rPr>
        <w:t>Pharma, Inc.</w:t>
      </w:r>
    </w:p>
    <w:p>
      <w:pPr>
        <w:jc w:val="center"/>
        <w:ind w:right="-399"/>
        <w:spacing w:after="0" w:line="231" w:lineRule="auto"/>
        <w:rPr>
          <w:sz w:val="20"/>
          <w:szCs w:val="20"/>
          <w:color w:val="auto"/>
        </w:rPr>
      </w:pPr>
      <w:r>
        <w:rPr>
          <w:rFonts w:ascii="Times New Roman" w:cs="Times New Roman" w:eastAsia="Times New Roman" w:hAnsi="Times New Roman"/>
          <w:sz w:val="22"/>
          <w:szCs w:val="22"/>
          <w:b w:val="1"/>
          <w:bCs w:val="1"/>
          <w:color w:val="auto"/>
        </w:rPr>
        <w:t>440 Route 22</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Bridgewater, NJ 08807</w:t>
      </w:r>
    </w:p>
    <w:p>
      <w:pPr>
        <w:spacing w:after="0" w:line="209" w:lineRule="exact"/>
        <w:rPr>
          <w:sz w:val="20"/>
          <w:szCs w:val="20"/>
          <w:color w:val="auto"/>
        </w:rPr>
      </w:pPr>
    </w:p>
    <w:p>
      <w:pPr>
        <w:jc w:val="both"/>
        <w:ind w:left="400" w:firstLine="747"/>
        <w:spacing w:after="0" w:line="244" w:lineRule="auto"/>
        <w:rPr>
          <w:sz w:val="20"/>
          <w:szCs w:val="20"/>
          <w:color w:val="auto"/>
        </w:rPr>
      </w:pPr>
      <w:r>
        <w:rPr>
          <w:rFonts w:ascii="Times New Roman" w:cs="Times New Roman" w:eastAsia="Times New Roman" w:hAnsi="Times New Roman"/>
          <w:sz w:val="22"/>
          <w:szCs w:val="22"/>
          <w:color w:val="auto"/>
        </w:rPr>
        <w:t>This acknowledgment will constitute consent for the Company to impose sanctions for violation of the Insider Trading Policy or these Trading Procedures, and to issue any necessary stop-transfer orders to the Company’s transfer agent to ensure compliance.</w:t>
      </w:r>
    </w:p>
    <w:p>
      <w:pPr>
        <w:spacing w:after="0" w:line="200" w:lineRule="exact"/>
        <w:rPr>
          <w:sz w:val="20"/>
          <w:szCs w:val="20"/>
          <w:color w:val="auto"/>
        </w:rPr>
      </w:pPr>
    </w:p>
    <w:p>
      <w:pPr>
        <w:jc w:val="both"/>
        <w:ind w:left="400" w:firstLine="747"/>
        <w:spacing w:after="0" w:line="236" w:lineRule="auto"/>
        <w:rPr>
          <w:sz w:val="20"/>
          <w:szCs w:val="20"/>
          <w:color w:val="auto"/>
        </w:rPr>
      </w:pPr>
      <w:r>
        <w:rPr>
          <w:rFonts w:ascii="Times New Roman" w:cs="Times New Roman" w:eastAsia="Times New Roman" w:hAnsi="Times New Roman"/>
          <w:sz w:val="22"/>
          <w:szCs w:val="22"/>
          <w:color w:val="auto"/>
        </w:rPr>
        <w:t>Employees will be required upon the Company’s request to re-acknowledge and agree to comply with these Trading Procedures and the Insider Trading Policy (including any amendments or modifications). For such purpose, an employee will be deemed to have acknowledged and agreed to comply with these Trading Procedures and the Insider Trading Policy when copies of such items have been delivered to the employee by regular or electronic mail (or other delivery option used by the Company) by the General Counsel or his or her designee, unless the employee objects in a written statement received by the General Counsel within two (2) business days of such delivery.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915670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08" w:right="759" w:bottom="1440" w:gutter="0" w:footer="0" w:header="0"/>
        </w:sectPr>
      </w:pPr>
    </w:p>
    <w:bookmarkStart w:id="148" w:name="page149"/>
    <w:bookmarkEnd w:id="148"/>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915670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49" w:name="page150"/>
    <w:bookmarkEnd w:id="149"/>
    <w:p>
      <w:pPr>
        <w:jc w:val="both"/>
        <w:ind w:left="400" w:firstLine="747"/>
        <w:spacing w:after="0" w:line="241" w:lineRule="auto"/>
        <w:rPr>
          <w:sz w:val="20"/>
          <w:szCs w:val="20"/>
          <w:color w:val="auto"/>
        </w:rPr>
      </w:pPr>
      <w:r>
        <w:rPr>
          <w:rFonts w:ascii="Times New Roman" w:cs="Times New Roman" w:eastAsia="Times New Roman" w:hAnsi="Times New Roman"/>
          <w:sz w:val="22"/>
          <w:szCs w:val="22"/>
          <w:b w:val="1"/>
          <w:bCs w:val="1"/>
          <w:color w:val="auto"/>
        </w:rPr>
        <w:t>Failure to observe these Trading Procedures and the Insider Trading Policy could lead to significant legal problems, and could have other serious consequences, including termination of employment. Questions regarding these Trading Procedures or the Insider Trading Policy are encouraged and may be directed to the General Counsel.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Policy, as amended, adopted by the Board of Directors on December 9, 2019.</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915670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04" w:right="759" w:bottom="1440" w:gutter="0" w:footer="0" w:header="0"/>
        </w:sectPr>
      </w:pPr>
    </w:p>
    <w:bookmarkStart w:id="150" w:name="page151"/>
    <w:bookmarkEnd w:id="150"/>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10" w:lineRule="exact"/>
        <w:rPr>
          <w:sz w:val="20"/>
          <w:szCs w:val="20"/>
          <w:color w:val="auto"/>
        </w:rPr>
      </w:pPr>
    </w:p>
    <w:p>
      <w:pPr>
        <w:jc w:val="both"/>
        <w:ind w:left="400" w:firstLine="747"/>
        <w:spacing w:after="0" w:line="234" w:lineRule="auto"/>
        <w:rPr>
          <w:sz w:val="20"/>
          <w:szCs w:val="20"/>
          <w:color w:val="auto"/>
        </w:rPr>
      </w:pPr>
      <w:r>
        <w:rPr>
          <w:rFonts w:ascii="Times New Roman" w:cs="Times New Roman" w:eastAsia="Times New Roman" w:hAnsi="Times New Roman"/>
          <w:sz w:val="22"/>
          <w:szCs w:val="22"/>
          <w:color w:val="auto"/>
        </w:rPr>
        <w:t>I hereby acknowledge that I have read, that I understand, and that I agree to comply with, the Statement of Company Policy on Insider Trading and Disclosure (the “Insider Trading Policy”) and the Special Trading Procedures for Insiders (the “Trading Procedures”) of Amarin Corporation plc (the “Company”). I further acknowledge and agree that I am responsible for ensuring compliance with the Insider Trading Policy and the Trading Procedures by all of my “Affiliated Persons.” I also understand and agree that I will be subject to sanctions, including termination of employment, that may be imposed by the Company, in its sole discretion, for violation of the Insider Trading Policy or the Trading Procedures, and that the Company may give stop-transfer and other instructions to the Company’s transfer agent against the transfer of any Company securities in a transaction that the Company considers to be in contravention of the Insider Trading Policy or the Trading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4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w:t>
      </w:r>
    </w:p>
    <w:p>
      <w:pPr>
        <w:spacing w:after="0" w:line="24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274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5">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465455</wp:posOffset>
            </wp:positionV>
            <wp:extent cx="2743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774065</wp:posOffset>
            </wp:positionV>
            <wp:extent cx="274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923925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1404" w:right="759" w:bottom="1440" w:gutter="0" w:footer="0" w:header="0"/>
        </w:sectPr>
      </w:pPr>
    </w:p>
    <w:bookmarkStart w:id="151" w:name="page152"/>
    <w:bookmarkEnd w:id="15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 N S I D E R T R A D I N G P R E – C L E A R A N C E C E R T I F I C A T I O N</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Amarin Corporation plc</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Insider Trading Pre-Clearance Certification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DIRECTIONS:</w:t>
      </w:r>
    </w:p>
    <w:p>
      <w:pPr>
        <w:spacing w:after="0" w:line="8" w:lineRule="exact"/>
        <w:rPr>
          <w:sz w:val="20"/>
          <w:szCs w:val="20"/>
          <w:color w:val="auto"/>
        </w:rPr>
      </w:pPr>
    </w:p>
    <w:p>
      <w:pPr>
        <w:ind w:left="760" w:hanging="378"/>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SIGN, SCAN AND EMAIL THIS FORM TO preclearance@amarincorp.com</w:t>
      </w:r>
    </w:p>
    <w:p>
      <w:pPr>
        <w:ind w:left="760" w:hanging="378"/>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WAIT FOR PRE-CLEARANCE BY REPLY EMAIL</w:t>
      </w:r>
    </w:p>
    <w:p>
      <w:pPr>
        <w:spacing w:after="0" w:line="213" w:lineRule="exact"/>
        <w:rPr>
          <w:rFonts w:ascii="Times New Roman" w:cs="Times New Roman" w:eastAsia="Times New Roman" w:hAnsi="Times New Roman"/>
          <w:sz w:val="22"/>
          <w:szCs w:val="22"/>
          <w:color w:val="auto"/>
        </w:rPr>
      </w:pPr>
    </w:p>
    <w:p>
      <w:pPr>
        <w:ind w:left="740" w:hanging="732"/>
        <w:spacing w:after="0"/>
        <w:tabs>
          <w:tab w:leader="none" w:pos="7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certification is submitted to Amarin Corporation plc (“Amarin”) for pre-clearance of a transaction in securities of Amarin.</w:t>
      </w:r>
    </w:p>
    <w:p>
      <w:pPr>
        <w:spacing w:after="0" w:line="229"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w:t>
      </w:r>
    </w:p>
    <w:p>
      <w:pPr>
        <w:spacing w:after="0" w:line="21" w:lineRule="exact"/>
        <w:rPr>
          <w:rFonts w:ascii="Times New Roman" w:cs="Times New Roman" w:eastAsia="Times New Roman" w:hAnsi="Times New Roman"/>
          <w:sz w:val="20"/>
          <w:szCs w:val="20"/>
          <w:color w:val="auto"/>
        </w:rPr>
      </w:pPr>
    </w:p>
    <w:p>
      <w:pPr>
        <w:ind w:left="1500" w:hanging="369"/>
        <w:spacing w:after="0" w:line="239" w:lineRule="auto"/>
        <w:tabs>
          <w:tab w:leader="none" w:pos="150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material, non-public information as set forth in Amarin’s Statement of Company Policy on Insider Trading and Disclosure (the “Insider Trading Policy”),</w:t>
      </w:r>
    </w:p>
    <w:p>
      <w:pPr>
        <w:ind w:left="1500" w:right="20" w:hanging="369"/>
        <w:spacing w:after="0" w:line="239" w:lineRule="auto"/>
        <w:tabs>
          <w:tab w:leader="none" w:pos="150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illegal and in violation of the Insider Trading Policy to transact in Amarin securities while I am in possession of information about Amarin that is material and non-public,</w:t>
      </w:r>
    </w:p>
    <w:p>
      <w:pPr>
        <w:ind w:left="1500" w:right="40" w:hanging="369"/>
        <w:spacing w:after="0" w:line="239" w:lineRule="auto"/>
        <w:tabs>
          <w:tab w:leader="none" w:pos="150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my responsibility to ensure that I do not transact in Amarin securities while I am aware of material non-public information about Amarin,</w:t>
      </w:r>
    </w:p>
    <w:p>
      <w:pPr>
        <w:jc w:val="both"/>
        <w:ind w:left="1500" w:right="20" w:hanging="369"/>
        <w:spacing w:after="0" w:line="239" w:lineRule="auto"/>
        <w:tabs>
          <w:tab w:leader="none" w:pos="150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clearance from Amarin to transact in Amarin securities is not a representation or certification that Amarin or any of its officers, employees or representatives is in agreement that I am not in possession of material non-public information, and</w:t>
      </w:r>
    </w:p>
    <w:p>
      <w:pPr>
        <w:spacing w:after="0" w:line="1" w:lineRule="exact"/>
        <w:rPr>
          <w:rFonts w:ascii="Times New Roman" w:cs="Times New Roman" w:eastAsia="Times New Roman" w:hAnsi="Times New Roman"/>
          <w:sz w:val="20"/>
          <w:szCs w:val="20"/>
          <w:color w:val="auto"/>
        </w:rPr>
      </w:pPr>
    </w:p>
    <w:p>
      <w:pPr>
        <w:jc w:val="both"/>
        <w:ind w:left="1500" w:right="20" w:hanging="369"/>
        <w:spacing w:after="0" w:line="242" w:lineRule="auto"/>
        <w:tabs>
          <w:tab w:leader="none" w:pos="1500" w:val="left"/>
        </w:tabs>
        <w:numPr>
          <w:ilvl w:val="2"/>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trade while in possession of material nonpublic information or am otherwise in violation of applicable trading restrictions or law, I may be subject to severe civil and/or criminal penalties, and discipline by Amarin including termination.</w:t>
      </w:r>
    </w:p>
    <w:p>
      <w:pPr>
        <w:spacing w:after="0" w:line="200" w:lineRule="exact"/>
        <w:rPr>
          <w:sz w:val="20"/>
          <w:szCs w:val="20"/>
          <w:color w:val="auto"/>
        </w:rPr>
      </w:pPr>
    </w:p>
    <w:p>
      <w:pPr>
        <w:ind w:left="760" w:hanging="752"/>
        <w:spacing w:after="0"/>
        <w:tabs>
          <w:tab w:leader="none" w:pos="7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certify the following to Amarin:</w:t>
      </w:r>
    </w:p>
    <w:p>
      <w:pPr>
        <w:spacing w:after="0" w:line="2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do not possess any information concerning Amarin that is material and non-public,</w:t>
      </w:r>
    </w:p>
    <w:p>
      <w:pPr>
        <w:ind w:left="1500" w:hanging="369"/>
        <w:spacing w:after="0"/>
        <w:tabs>
          <w:tab w:leader="none" w:pos="15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not transact in Amarin securities while in possession of material non-public information,</w:t>
      </w:r>
    </w:p>
    <w:p>
      <w:pPr>
        <w:jc w:val="both"/>
        <w:ind w:left="1500" w:hanging="369"/>
        <w:spacing w:after="0" w:line="239" w:lineRule="auto"/>
        <w:tabs>
          <w:tab w:leader="none" w:pos="15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my best knowledge, (a) I have not engaged in any opposite way transactions within the previous six months that were not exempt from Section 16(b) of the Securities Exchange Act of 1934, as amended, and (b) if selling “registered securities” of Amarin as an “affiliate” (as such terms are defined under Rule 144 under the Securities Act of 1933, as amended (“Rule 144”)), I confirm that the transaction meets all applicable conditions of Rule 144; and</w:t>
      </w:r>
    </w:p>
    <w:p>
      <w:pPr>
        <w:spacing w:after="0" w:line="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not purchase any securities of Amarin on margin.</w:t>
      </w:r>
    </w:p>
    <w:p>
      <w:pPr>
        <w:spacing w:after="0" w:line="203"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understand that clearance to transact in Amarin securities, if received, is </w:t>
      </w:r>
      <w:r>
        <w:rPr>
          <w:rFonts w:ascii="Times New Roman" w:cs="Times New Roman" w:eastAsia="Times New Roman" w:hAnsi="Times New Roman"/>
          <w:sz w:val="20"/>
          <w:szCs w:val="20"/>
          <w:b w:val="1"/>
          <w:bCs w:val="1"/>
          <w:i w:val="1"/>
          <w:iCs w:val="1"/>
          <w:u w:val="single" w:color="auto"/>
          <w:color w:val="auto"/>
        </w:rPr>
        <w:t>no longer effective</w:t>
      </w:r>
      <w:r>
        <w:rPr>
          <w:rFonts w:ascii="Times New Roman" w:cs="Times New Roman" w:eastAsia="Times New Roman" w:hAnsi="Times New Roman"/>
          <w:sz w:val="20"/>
          <w:szCs w:val="20"/>
          <w:color w:val="auto"/>
        </w:rPr>
        <w:t xml:space="preserve"> in the event of any of the below:</w:t>
      </w:r>
    </w:p>
    <w:p>
      <w:pPr>
        <w:spacing w:after="0" w:line="25" w:lineRule="exact"/>
        <w:rPr>
          <w:rFonts w:ascii="Times New Roman" w:cs="Times New Roman" w:eastAsia="Times New Roman" w:hAnsi="Times New Roman"/>
          <w:sz w:val="20"/>
          <w:szCs w:val="20"/>
          <w:color w:val="auto"/>
        </w:rPr>
      </w:pPr>
    </w:p>
    <w:p>
      <w:pPr>
        <w:ind w:left="1880" w:hanging="375"/>
        <w:spacing w:after="0"/>
        <w:tabs>
          <w:tab w:leader="none" w:pos="188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become aware of information concerning Amarin that is material and non-public;</w:t>
      </w:r>
    </w:p>
    <w:p>
      <w:pPr>
        <w:ind w:left="1500" w:right="260" w:firstLine="5"/>
        <w:spacing w:after="0" w:line="239" w:lineRule="auto"/>
        <w:tabs>
          <w:tab w:leader="none" w:pos="1914"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blackout period is effective on transactions in Amarin securities under the Insider Trading Policy during the period that I plan to, or actually transact in, Amarin securities;</w:t>
      </w:r>
    </w:p>
    <w:p>
      <w:pPr>
        <w:ind w:left="1860" w:hanging="355"/>
        <w:spacing w:after="0"/>
        <w:tabs>
          <w:tab w:leader="none" w:pos="186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two (2) full trading days pass after pre-clearance; </w:t>
      </w:r>
      <w:r>
        <w:rPr>
          <w:rFonts w:ascii="Times New Roman" w:cs="Times New Roman" w:eastAsia="Times New Roman" w:hAnsi="Times New Roman"/>
          <w:sz w:val="20"/>
          <w:szCs w:val="20"/>
          <w:b w:val="1"/>
          <w:bCs w:val="1"/>
          <w:i w:val="1"/>
          <w:iCs w:val="1"/>
          <w:color w:val="auto"/>
        </w:rPr>
        <w:t>OR</w:t>
      </w:r>
    </w:p>
    <w:p>
      <w:pPr>
        <w:ind w:left="1880" w:hanging="375"/>
        <w:spacing w:after="0"/>
        <w:tabs>
          <w:tab w:leader="none" w:pos="188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pre-clearance is rescinded.</w:t>
      </w:r>
    </w:p>
    <w:p>
      <w:pPr>
        <w:spacing w:after="0" w:line="207" w:lineRule="exact"/>
        <w:rPr>
          <w:rFonts w:ascii="Times New Roman" w:cs="Times New Roman" w:eastAsia="Times New Roman" w:hAnsi="Times New Roman"/>
          <w:sz w:val="20"/>
          <w:szCs w:val="20"/>
          <w:color w:val="auto"/>
        </w:rPr>
      </w:pPr>
    </w:p>
    <w:p>
      <w:pPr>
        <w:ind w:left="740" w:right="540" w:hanging="732"/>
        <w:spacing w:after="0" w:line="269" w:lineRule="auto"/>
        <w:tabs>
          <w:tab w:leader="none" w:pos="7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not hold Amarin or its compliance officer responsible for loss that may occur as a result of any delay in a grant of, or failure to grant, pre-clearance under the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-629285</wp:posOffset>
            </wp:positionV>
            <wp:extent cx="20574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9">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560" w:val="left"/>
          <w:tab w:leader="none" w:pos="202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833120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505460</wp:posOffset>
            </wp:positionH>
            <wp:positionV relativeFrom="paragraph">
              <wp:posOffset>-10795</wp:posOffset>
            </wp:positionV>
            <wp:extent cx="25146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1">
                      <a:extLst>
                        <a:ext uri="{28A0092B-C50C-407E-A947-70E740481C1C}"/>
                      </a:extLst>
                    </a:blip>
                    <a:srcRect/>
                    <a:stretch>
                      <a:fillRect/>
                    </a:stretch>
                  </pic:blipFill>
                  <pic:spPr bwMode="auto">
                    <a:xfrm>
                      <a:off x="0" y="0"/>
                      <a:ext cx="251460" cy="8890"/>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-10795</wp:posOffset>
            </wp:positionV>
            <wp:extent cx="381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2">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sectPr>
          <w:pgSz w:w="11900" w:h="16838" w:orient="portrait"/>
          <w:cols w:equalWidth="0" w:num="1">
            <w:col w:w="11020"/>
          </w:cols>
          <w:pgMar w:left="440" w:top="772" w:right="439" w:bottom="1440" w:gutter="0" w:footer="0" w:header="0"/>
        </w:sectPr>
      </w:pPr>
    </w:p>
    <w:bookmarkStart w:id="152" w:name="page153"/>
    <w:bookmarkEnd w:id="152"/>
    <w:p>
      <w:pPr>
        <w:ind w:left="100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78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Subsidiaries of the Registrant as of December 31, 2023</w:t>
            </w:r>
          </w:p>
        </w:tc>
        <w:tc>
          <w:tcPr>
            <w:tcW w:w="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Pharma, Inc.</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Germany GmbH</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France SAS</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UK Limited</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Italy S.r.l</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Sucursal Espana</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Austrian branch</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Austria</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Belgium, branch of Amarin Switzerland GmbH</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Denmark, filial af Amarin Switzerland GmbH</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Denmark</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Suomen sivuliike</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Finland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Greek branch</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Greece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Dutch branch</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Norwegian branch</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Norway</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Sucursal em Portugal</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Sweden filial</w:t>
            </w:r>
          </w:p>
        </w:tc>
        <w:tc>
          <w:tcPr>
            <w:tcW w:w="3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Sweden</w:t>
            </w:r>
          </w:p>
        </w:tc>
        <w:tc>
          <w:tcPr>
            <w:tcW w:w="20" w:type="dxa"/>
            <w:vAlign w:val="bottom"/>
          </w:tcPr>
          <w:p>
            <w:pPr>
              <w:spacing w:after="0"/>
              <w:rPr>
                <w:sz w:val="20"/>
                <w:szCs w:val="20"/>
                <w:color w:val="auto"/>
              </w:rPr>
            </w:pPr>
          </w:p>
        </w:tc>
      </w:tr>
      <w:tr>
        <w:trPr>
          <w:trHeight w:val="1829"/>
        </w:trPr>
        <w:tc>
          <w:tcPr>
            <w:tcW w:w="2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ind w:right="2460" w:firstLine="2449"/>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760" w:hanging="378"/>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F-1 No. 333-163704 of Amarin Corporation plc;</w:t>
      </w:r>
    </w:p>
    <w:p>
      <w:pPr>
        <w:spacing w:after="0" w:line="27" w:lineRule="exact"/>
        <w:rPr>
          <w:rFonts w:ascii="Times New Roman" w:cs="Times New Roman" w:eastAsia="Times New Roman" w:hAnsi="Times New Roman"/>
          <w:sz w:val="18"/>
          <w:szCs w:val="18"/>
          <w:color w:val="auto"/>
        </w:rPr>
      </w:pPr>
    </w:p>
    <w:p>
      <w:pPr>
        <w:ind w:left="760" w:right="180" w:hanging="378"/>
        <w:spacing w:after="0" w:line="250"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333-84152, 333-101775, 333-110704, 333-132520, 333-143358, 333-146839, 333-168054, 333-168055, 333-176877, 333-180180, 333-183160, 333-205863, 333-219644, 333-240321, 333-266611, 333-273592, and 333-279022 of Amarin Corporation plc, and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No. 333-273591 of Amarin Corporation plc</w:t>
      </w:r>
    </w:p>
    <w:p>
      <w:pPr>
        <w:spacing w:after="0" w:line="15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of our reports dated March 12, 2025, with respect to the consolidated financial statements of Amarin Corporation plc, and the effectiveness of internal control over financial reporting of Amarin Corporation plc, included in this Annual Report (Form 10-K) of Amarin Corporation plc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54" w:name="page155"/>
    <w:bookmarkEnd w:id="154"/>
    <w:p>
      <w:pPr>
        <w:ind w:left="100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Berg, certify that:</w:t>
      </w:r>
    </w:p>
    <w:p>
      <w:pPr>
        <w:spacing w:after="0" w:line="104"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90"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7740" w:val="left"/>
        </w:tabs>
        <w:rPr>
          <w:sz w:val="20"/>
          <w:szCs w:val="20"/>
          <w:color w:val="auto"/>
        </w:rPr>
      </w:pPr>
      <w:r>
        <w:rPr>
          <w:rFonts w:ascii="Times New Roman" w:cs="Times New Roman" w:eastAsia="Times New Roman" w:hAnsi="Times New Roman"/>
          <w:sz w:val="18"/>
          <w:szCs w:val="18"/>
          <w:color w:val="auto"/>
        </w:rPr>
        <w:t>Date: March 12, 2025</w:t>
      </w:r>
      <w:r>
        <w:rPr>
          <w:sz w:val="20"/>
          <w:szCs w:val="20"/>
          <w:color w:val="auto"/>
        </w:rPr>
        <w:tab/>
      </w:r>
      <w:r>
        <w:rPr>
          <w:rFonts w:ascii="Times New Roman" w:cs="Times New Roman" w:eastAsia="Times New Roman" w:hAnsi="Times New Roman"/>
          <w:sz w:val="17"/>
          <w:szCs w:val="17"/>
          <w:color w:val="auto"/>
        </w:rPr>
        <w:t>/s/ 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34290</wp:posOffset>
            </wp:positionV>
            <wp:extent cx="37287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6">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24"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Aaron Berg</w:t>
      </w:r>
    </w:p>
    <w:p>
      <w:pPr>
        <w:spacing w:after="0" w:line="27"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5" w:name="page156"/>
    <w:bookmarkEnd w:id="155"/>
    <w:p>
      <w:pPr>
        <w:ind w:left="100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Fishman, certify that:</w:t>
      </w:r>
    </w:p>
    <w:p>
      <w:pPr>
        <w:spacing w:after="0" w:line="104"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90"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2025</w:t>
            </w:r>
          </w:p>
        </w:tc>
        <w:tc>
          <w:tcPr>
            <w:tcW w:w="60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/s/ Peter Fishman</w:t>
            </w:r>
          </w:p>
        </w:tc>
      </w:tr>
      <w:tr>
        <w:trPr>
          <w:trHeight w:val="191"/>
        </w:trPr>
        <w:tc>
          <w:tcPr>
            <w:tcW w:w="5220" w:type="dxa"/>
            <w:vAlign w:val="bottom"/>
          </w:tcPr>
          <w:p>
            <w:pPr>
              <w:spacing w:after="0"/>
              <w:rPr>
                <w:sz w:val="16"/>
                <w:szCs w:val="16"/>
                <w:color w:val="auto"/>
              </w:rPr>
            </w:pPr>
          </w:p>
        </w:tc>
        <w:tc>
          <w:tcPr>
            <w:tcW w:w="6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Peter Fishman</w:t>
            </w:r>
          </w:p>
        </w:tc>
      </w:tr>
      <w:tr>
        <w:trPr>
          <w:trHeight w:val="216"/>
        </w:trPr>
        <w:tc>
          <w:tcPr>
            <w:tcW w:w="5220" w:type="dxa"/>
            <w:vAlign w:val="bottom"/>
          </w:tcPr>
          <w:p>
            <w:pPr>
              <w:spacing w:after="0"/>
              <w:rPr>
                <w:sz w:val="18"/>
                <w:szCs w:val="18"/>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34"/>
        </w:trPr>
        <w:tc>
          <w:tcPr>
            <w:tcW w:w="522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1397"/>
        </w:trPr>
        <w:tc>
          <w:tcPr>
            <w:tcW w:w="522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6" w:name="page157"/>
    <w:bookmarkEnd w:id="156"/>
    <w:p>
      <w:pPr>
        <w:ind w:left="100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Aaron Berg, President and Chief Executive Officer (Principal Executive Officer) of Amarin Corporation plc (the “Company”), and Peter Fishman, Senior Vice President and Chief Financial Officer (Principal Financial Officer and Principal Accounting Officer) of the Company, each hereby certifies that, to the best of his knowledge:</w:t>
      </w:r>
    </w:p>
    <w:p>
      <w:pPr>
        <w:spacing w:after="0" w:line="58" w:lineRule="exact"/>
        <w:rPr>
          <w:sz w:val="20"/>
          <w:szCs w:val="20"/>
          <w:color w:val="auto"/>
        </w:rPr>
      </w:pPr>
    </w:p>
    <w:p>
      <w:pPr>
        <w:ind w:left="520" w:right="160" w:hanging="512"/>
        <w:spacing w:after="0" w:line="282"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2024, to which this Certification is attached as Exhibit 32.1 (the “Annual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at the end of such year.</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 Aaron Berg</w:t>
            </w:r>
          </w:p>
        </w:tc>
      </w:tr>
      <w:tr>
        <w:trPr>
          <w:trHeight w:val="27"/>
        </w:trPr>
        <w:tc>
          <w:tcPr>
            <w:tcW w:w="574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8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Aaron Berg</w:t>
            </w:r>
          </w:p>
        </w:tc>
      </w:tr>
      <w:tr>
        <w:trPr>
          <w:trHeight w:val="234"/>
        </w:trPr>
        <w:tc>
          <w:tcPr>
            <w:tcW w:w="57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432"/>
        </w:trPr>
        <w:tc>
          <w:tcPr>
            <w:tcW w:w="57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 Peter Fishman</w:t>
            </w:r>
          </w:p>
        </w:tc>
      </w:tr>
      <w:tr>
        <w:trPr>
          <w:trHeight w:val="27"/>
        </w:trPr>
        <w:tc>
          <w:tcPr>
            <w:tcW w:w="574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8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Peter Fishman</w:t>
            </w:r>
          </w:p>
        </w:tc>
      </w:tr>
      <w:tr>
        <w:trPr>
          <w:trHeight w:val="216"/>
        </w:trPr>
        <w:tc>
          <w:tcPr>
            <w:tcW w:w="57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7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7" w:name="page158"/>
    <w:bookmarkEnd w:id="157"/>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AMARIN CORPORATION PLC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55"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Amarin Corporation plc, a public limited company incorporated under the laws of England and Wales (the “Company”), has adopted a Compensation Recovery Policy (this “Policy”) as described below.</w:t>
      </w:r>
    </w:p>
    <w:p>
      <w:pPr>
        <w:spacing w:after="0" w:line="154" w:lineRule="exact"/>
        <w:rPr>
          <w:sz w:val="20"/>
          <w:szCs w:val="20"/>
          <w:color w:val="auto"/>
        </w:rPr>
      </w:pPr>
    </w:p>
    <w:p>
      <w:pPr>
        <w:ind w:left="440" w:hanging="432"/>
        <w:spacing w:after="0"/>
        <w:tabs>
          <w:tab w:leader="none" w:pos="44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right="520"/>
        <w:spacing w:after="0" w:line="23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Stock Market. Capitalized terms used and not otherwise defined herein shall have the meanings given in Section 3 below.</w:t>
      </w:r>
    </w:p>
    <w:p>
      <w:pPr>
        <w:spacing w:after="0" w:line="173" w:lineRule="exact"/>
        <w:rPr>
          <w:sz w:val="20"/>
          <w:szCs w:val="20"/>
          <w:color w:val="auto"/>
        </w:rPr>
      </w:pPr>
    </w:p>
    <w:p>
      <w:pPr>
        <w:ind w:left="440" w:hanging="432"/>
        <w:spacing w:after="0"/>
        <w:tabs>
          <w:tab w:leader="none" w:pos="44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recover reasonably promptly all Erroneously Awarded Compensation with respect to such Financial Restatement.</w:t>
      </w:r>
    </w:p>
    <w:p>
      <w:pPr>
        <w:spacing w:after="0" w:line="154" w:lineRule="exact"/>
        <w:rPr>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right="140" w:hanging="383"/>
        <w:spacing w:after="0" w:line="238" w:lineRule="auto"/>
        <w:tabs>
          <w:tab w:leader="none" w:pos="11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44" w:lineRule="auto"/>
        <w:tabs>
          <w:tab w:leader="none" w:pos="11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Rules”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206" w:lineRule="exact"/>
        <w:rPr>
          <w:rFonts w:ascii="Times New Roman" w:cs="Times New Roman" w:eastAsia="Times New Roman" w:hAnsi="Times New Roman"/>
          <w:sz w:val="22"/>
          <w:szCs w:val="22"/>
          <w:color w:val="auto"/>
        </w:rPr>
      </w:pPr>
    </w:p>
    <w:p>
      <w:pPr>
        <w:ind w:left="1140" w:right="160" w:hanging="383"/>
        <w:spacing w:after="0" w:line="258" w:lineRule="auto"/>
        <w:tabs>
          <w:tab w:leader="none" w:pos="11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Remuneration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2"/>
          <w:szCs w:val="22"/>
          <w:color w:val="auto"/>
        </w:rPr>
      </w:pPr>
    </w:p>
    <w:p>
      <w:pPr>
        <w:ind w:left="1140" w:right="140" w:hanging="383"/>
        <w:spacing w:after="0" w:line="239" w:lineRule="auto"/>
        <w:tabs>
          <w:tab w:leader="none" w:pos="11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1319530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left="383" w:right="100"/>
        <w:spacing w:after="0" w:line="238" w:lineRule="auto"/>
        <w:rPr>
          <w:sz w:val="20"/>
          <w:szCs w:val="20"/>
          <w:color w:val="auto"/>
        </w:rPr>
      </w:pPr>
      <w:r>
        <w:rPr>
          <w:rFonts w:ascii="Times New Roman" w:cs="Times New Roman" w:eastAsia="Times New Roman" w:hAnsi="Times New Roman"/>
          <w:sz w:val="22"/>
          <w:szCs w:val="22"/>
          <w:color w:val="auto"/>
        </w:rPr>
        <w:t>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7" w:lineRule="exact"/>
        <w:rPr>
          <w:sz w:val="20"/>
          <w:szCs w:val="20"/>
          <w:color w:val="auto"/>
        </w:rPr>
      </w:pPr>
    </w:p>
    <w:p>
      <w:pPr>
        <w:ind w:left="383" w:hanging="383"/>
        <w:spacing w:after="0"/>
        <w:tabs>
          <w:tab w:leader="none" w:pos="38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means October 2, 2023.</w:t>
      </w:r>
    </w:p>
    <w:p>
      <w:pPr>
        <w:spacing w:after="0" w:line="206" w:lineRule="exact"/>
        <w:rPr>
          <w:rFonts w:ascii="Times New Roman" w:cs="Times New Roman" w:eastAsia="Times New Roman" w:hAnsi="Times New Roman"/>
          <w:sz w:val="22"/>
          <w:szCs w:val="22"/>
          <w:color w:val="auto"/>
        </w:rPr>
      </w:pPr>
    </w:p>
    <w:p>
      <w:pPr>
        <w:ind w:left="383" w:hanging="383"/>
        <w:spacing w:after="0" w:line="235" w:lineRule="auto"/>
        <w:tabs>
          <w:tab w:leader="none" w:pos="38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based, and the Company shall maintain documentation of the determination of such reasonable estimate and provide such documentation to the Exchange in accordance with the Applicable Rules. Incentive-Based Compensation is deemed received when the Financial Reporting Measure is attained, not when the actual payment, grant or vesting occurs.</w:t>
      </w:r>
    </w:p>
    <w:p>
      <w:pPr>
        <w:spacing w:after="0" w:line="186"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means the Nasdaq Stock Market LLC.</w:t>
      </w:r>
    </w:p>
    <w:p>
      <w:pPr>
        <w:spacing w:after="0" w:line="206" w:lineRule="exact"/>
        <w:rPr>
          <w:rFonts w:ascii="Times New Roman" w:cs="Times New Roman" w:eastAsia="Times New Roman" w:hAnsi="Times New Roman"/>
          <w:sz w:val="22"/>
          <w:szCs w:val="22"/>
          <w:color w:val="auto"/>
        </w:rPr>
      </w:pPr>
    </w:p>
    <w:p>
      <w:pPr>
        <w:ind w:left="383" w:right="40" w:hanging="383"/>
        <w:spacing w:after="0" w:line="234" w:lineRule="auto"/>
        <w:tabs>
          <w:tab w:leader="none" w:pos="38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if they perform such policy making functions for the Company.</w:t>
      </w:r>
    </w:p>
    <w:p>
      <w:pPr>
        <w:spacing w:after="0" w:line="183" w:lineRule="exact"/>
        <w:rPr>
          <w:rFonts w:ascii="Times New Roman" w:cs="Times New Roman" w:eastAsia="Times New Roman" w:hAnsi="Times New Roman"/>
          <w:sz w:val="22"/>
          <w:szCs w:val="22"/>
          <w:color w:val="auto"/>
        </w:rPr>
      </w:pPr>
    </w:p>
    <w:p>
      <w:pPr>
        <w:ind w:left="383" w:right="940" w:hanging="383"/>
        <w:spacing w:after="0" w:line="258" w:lineRule="auto"/>
        <w:tabs>
          <w:tab w:leader="none" w:pos="38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Reporting Measures” mean measures that are determined and presented in accordance with the accounting principles used in preparing the Company’s financial</w:t>
      </w:r>
    </w:p>
    <w:p>
      <w:pPr>
        <w:spacing w:after="0" w:line="374"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1198245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159" w:name="page160"/>
    <w:bookmarkEnd w:id="159"/>
    <w:p>
      <w:pPr>
        <w:spacing w:after="0" w:line="144" w:lineRule="exact"/>
        <w:rPr>
          <w:sz w:val="20"/>
          <w:szCs w:val="20"/>
          <w:color w:val="auto"/>
        </w:rPr>
      </w:pPr>
    </w:p>
    <w:p>
      <w:pPr>
        <w:ind w:left="1140" w:right="460"/>
        <w:spacing w:after="0" w:line="258" w:lineRule="auto"/>
        <w:rPr>
          <w:sz w:val="20"/>
          <w:szCs w:val="20"/>
          <w:color w:val="auto"/>
        </w:rPr>
      </w:pPr>
      <w:r>
        <w:rPr>
          <w:rFonts w:ascii="Times New Roman" w:cs="Times New Roman" w:eastAsia="Times New Roman" w:hAnsi="Times New Roman"/>
          <w:sz w:val="22"/>
          <w:szCs w:val="22"/>
          <w:color w:val="auto"/>
        </w:rPr>
        <w:t>statements, any measures that are derived wholly or in part from such measures (including, for example, a non-GAAP financial measure), and stock price and total shareholder return.</w:t>
      </w:r>
    </w:p>
    <w:p>
      <w:pPr>
        <w:spacing w:after="0" w:line="158" w:lineRule="exact"/>
        <w:rPr>
          <w:sz w:val="20"/>
          <w:szCs w:val="20"/>
          <w:color w:val="auto"/>
        </w:rPr>
      </w:pPr>
    </w:p>
    <w:p>
      <w:pPr>
        <w:ind w:left="1140" w:hanging="383"/>
        <w:spacing w:after="0" w:line="238" w:lineRule="auto"/>
        <w:tabs>
          <w:tab w:leader="none" w:pos="11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40" w:right="100" w:hanging="383"/>
        <w:spacing w:after="0" w:line="235" w:lineRule="auto"/>
        <w:tabs>
          <w:tab w:leader="none" w:pos="11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means any compensation provided, directly or indirectly, by the Company or any of its subsidiaries that is granted, earned or vested based, in whole or in part, upon the attainment of a Financial Reporting Measure, including, for example, annual cash bonuses paid under the Company’s management incentive plan that are granted, earned, or vested based, in whole or in part, upon the attainment of a Financial Reporting Measure, any other special cash bonuses that are granted, earned, or vested based, in whole or in part, upon the attainment of a Financial Reporting Measure and annual, new hire, promotion-based, or special performance-based equity awards that are granted, earned, or vested based, in whole or in part, upon the attainment of a Financial Reporting Measure.</w:t>
      </w:r>
    </w:p>
    <w:p>
      <w:pPr>
        <w:spacing w:after="0" w:line="178" w:lineRule="exact"/>
        <w:rPr>
          <w:rFonts w:ascii="Times New Roman" w:cs="Times New Roman" w:eastAsia="Times New Roman" w:hAnsi="Times New Roman"/>
          <w:sz w:val="22"/>
          <w:szCs w:val="22"/>
          <w:color w:val="auto"/>
        </w:rPr>
      </w:pPr>
    </w:p>
    <w:p>
      <w:pPr>
        <w:ind w:left="1140" w:right="60" w:hanging="383"/>
        <w:spacing w:after="0" w:line="239" w:lineRule="auto"/>
        <w:tabs>
          <w:tab w:leader="none" w:pos="11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76" w:lineRule="exact"/>
        <w:rPr>
          <w:sz w:val="20"/>
          <w:szCs w:val="20"/>
          <w:color w:val="auto"/>
        </w:rPr>
      </w:pPr>
    </w:p>
    <w:p>
      <w:pPr>
        <w:ind w:left="440" w:hanging="432"/>
        <w:spacing w:after="0"/>
        <w:tabs>
          <w:tab w:leader="none" w:pos="44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(ii) recovery would cause the Company to violate a law of England and Wales that was adopted prior to November 28, 2022, and the Company obtains an opinion of England and Wales counsel that recovery would result in a violation of such country’s law and provides the opinion to the Exchange; or (iii) recovery would likely cause an otherwise tax-qualified retirement plan to fail to be so qualified under applicable regulations.</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0" w:name="page161"/>
    <w:bookmarkEnd w:id="160"/>
    <w:p>
      <w:pPr>
        <w:spacing w:after="0" w:line="140" w:lineRule="exact"/>
        <w:rPr>
          <w:sz w:val="20"/>
          <w:szCs w:val="20"/>
          <w:color w:val="auto"/>
        </w:rPr>
      </w:pPr>
    </w:p>
    <w:p>
      <w:pPr>
        <w:ind w:left="440" w:hanging="432"/>
        <w:spacing w:after="0"/>
        <w:tabs>
          <w:tab w:leader="none" w:pos="44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1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The Company is entitled to recover the gross amount of any Erroneously Awarded Compensation that is received by a Covered Person (i.e., the amount the Covered Person received, or was entitled to receive, before any deductions for tax withholding or other payments). For example, if a Covered Person was awarded a $100,000 cash bonus and received $60,000 after 40% was withheld for taxes, and it was determined that the amount awarded should only have been $80,000, the Covered Person would be required to return $20,000 to the Company.</w:t>
      </w:r>
    </w:p>
    <w:p>
      <w:pPr>
        <w:spacing w:after="0" w:line="173" w:lineRule="exact"/>
        <w:rPr>
          <w:sz w:val="20"/>
          <w:szCs w:val="20"/>
          <w:color w:val="auto"/>
        </w:rPr>
      </w:pPr>
    </w:p>
    <w:p>
      <w:pPr>
        <w:ind w:left="440" w:hanging="432"/>
        <w:spacing w:after="0"/>
        <w:tabs>
          <w:tab w:leader="none" w:pos="44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00" w:hanging="369"/>
        <w:spacing w:after="0"/>
        <w:tabs>
          <w:tab w:leader="none" w:pos="1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6" w:lineRule="exact"/>
        <w:rPr>
          <w:rFonts w:ascii="Times New Roman" w:cs="Times New Roman" w:eastAsia="Times New Roman" w:hAnsi="Times New Roman"/>
          <w:sz w:val="22"/>
          <w:szCs w:val="22"/>
          <w:color w:val="auto"/>
        </w:rPr>
      </w:pPr>
    </w:p>
    <w:p>
      <w:pPr>
        <w:ind w:left="1500" w:right="220" w:hanging="369"/>
        <w:spacing w:after="0" w:line="258" w:lineRule="auto"/>
        <w:tabs>
          <w:tab w:leader="none" w:pos="1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440" w:hanging="432"/>
        <w:spacing w:after="0"/>
        <w:tabs>
          <w:tab w:leader="none" w:pos="44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10"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besides those specified above, nothing in this Policy shall be deemed to limit or restrict the right or obligation of the Company to recover Incentive-Based Compensation to the fullest extent required by the Applicable Rules.</w:t>
      </w:r>
    </w:p>
    <w:p>
      <w:pPr>
        <w:spacing w:after="0" w:line="154" w:lineRule="exact"/>
        <w:rPr>
          <w:sz w:val="20"/>
          <w:szCs w:val="20"/>
          <w:color w:val="auto"/>
        </w:rPr>
      </w:pPr>
    </w:p>
    <w:p>
      <w:pPr>
        <w:ind w:left="440" w:hanging="432"/>
        <w:spacing w:after="0"/>
        <w:tabs>
          <w:tab w:leader="none" w:pos="44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79" w:lineRule="exact"/>
        <w:rPr>
          <w:sz w:val="20"/>
          <w:szCs w:val="20"/>
          <w:color w:val="auto"/>
        </w:rPr>
      </w:pPr>
    </w:p>
    <w:p>
      <w:pPr>
        <w:ind w:left="440" w:hanging="432"/>
        <w:spacing w:after="0"/>
        <w:tabs>
          <w:tab w:leader="none" w:pos="44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Repayments not Subject to Indemnification</w:t>
      </w:r>
    </w:p>
    <w:p>
      <w:pPr>
        <w:spacing w:after="0" w:line="210"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Adopted as of [October __,]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2" w:name="page163"/>
    <w:bookmarkEnd w:id="1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1)"/>
      <w:numFmt w:val="decimal"/>
      <w:start w:val="1"/>
    </w:lvl>
  </w:abstractNum>
  <w:abstractNum w:abstractNumId="3">
    <w:nsid w:val="61574095"/>
    <w:multiLevelType w:val="hybridMultilevel"/>
    <w:lvl w:ilvl="0">
      <w:lvlJc w:val="left"/>
      <w:lvlText w:val="(%1)"/>
      <w:numFmt w:val="decimal"/>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1)"/>
      <w:numFmt w:val="decimal"/>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1)"/>
      <w:numFmt w:val="lowerRoman"/>
      <w:start w:val="1"/>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1)"/>
      <w:numFmt w:val="decimal"/>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1)"/>
      <w:numFmt w:val="decimal"/>
      <w:start w:val="1"/>
    </w:lvl>
  </w:abstractNum>
  <w:abstractNum w:abstractNumId="43">
    <w:nsid w:val="14330624"/>
    <w:multiLevelType w:val="hybridMultilevel"/>
    <w:lvl w:ilvl="0">
      <w:lvlJc w:val="left"/>
      <w:lvlText w:val="(%1)"/>
      <w:numFmt w:val="decimal"/>
      <w:start w:val="1"/>
    </w:lvl>
  </w:abstractNum>
  <w:abstractNum w:abstractNumId="44">
    <w:nsid w:val="7FFFCA11"/>
    <w:multiLevelType w:val="hybridMultilevel"/>
    <w:lvl w:ilvl="0">
      <w:lvlJc w:val="left"/>
      <w:lvlText w:val="(%1)"/>
      <w:numFmt w:val="lowerRoman"/>
      <w:start w:val="2"/>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1)"/>
      <w:numFmt w:val="decimal"/>
      <w:start w:val="2"/>
    </w:lvl>
  </w:abstractNum>
  <w:abstractNum w:abstractNumId="47">
    <w:nsid w:val="100F59DC"/>
    <w:multiLevelType w:val="hybridMultilevel"/>
    <w:lvl w:ilvl="0">
      <w:lvlJc w:val="left"/>
      <w:lvlText w:val="(%1)"/>
      <w:numFmt w:val="lowerLetter"/>
      <w:start w:val="2"/>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1)"/>
      <w:numFmt w:val="decimal"/>
      <w:start w:val="1"/>
    </w:lvl>
  </w:abstractNum>
  <w:abstractNum w:abstractNumId="50">
    <w:nsid w:val="6F6DD9AC"/>
    <w:multiLevelType w:val="hybridMultilevel"/>
    <w:lvl w:ilvl="0">
      <w:lvlJc w:val="left"/>
      <w:lvlText w:val="(%1)"/>
      <w:numFmt w:val="decimal"/>
      <w:start w:val="1"/>
    </w:lvl>
  </w:abstractNum>
  <w:abstractNum w:abstractNumId="51">
    <w:nsid w:val="94211F2"/>
    <w:multiLevelType w:val="hybridMultilevel"/>
    <w:lvl w:ilvl="0">
      <w:lvlJc w:val="left"/>
      <w:lvlText w:val="(%1)"/>
      <w:numFmt w:val="decimal"/>
      <w:start w:val="2"/>
    </w:lvl>
  </w:abstractNum>
  <w:abstractNum w:abstractNumId="52">
    <w:nsid w:val="885E1B"/>
    <w:multiLevelType w:val="hybridMultilevel"/>
    <w:lvl w:ilvl="0">
      <w:lvlJc w:val="left"/>
      <w:lvlText w:val="(%1)"/>
      <w:numFmt w:val="decimal"/>
      <w:start w:val="1"/>
    </w:lvl>
  </w:abstractNum>
  <w:abstractNum w:abstractNumId="53">
    <w:nsid w:val="76272110"/>
    <w:multiLevelType w:val="hybridMultilevel"/>
    <w:lvl w:ilvl="0">
      <w:lvlJc w:val="left"/>
      <w:lvlText w:val="(%1)"/>
      <w:numFmt w:val="decimal"/>
      <w:start w:val="3"/>
    </w:lvl>
  </w:abstractNum>
  <w:abstractNum w:abstractNumId="54">
    <w:nsid w:val="4C04A8AF"/>
    <w:multiLevelType w:val="hybridMultilevel"/>
    <w:lvl w:ilvl="0">
      <w:lvlJc w:val="left"/>
      <w:lvlText w:val="(%1)"/>
      <w:numFmt w:val="decimal"/>
      <w:start w:val="4"/>
    </w:lvl>
  </w:abstractNum>
  <w:abstractNum w:abstractNumId="55">
    <w:nsid w:val="1716703B"/>
    <w:multiLevelType w:val="hybridMultilevel"/>
    <w:lvl w:ilvl="0">
      <w:lvlJc w:val="left"/>
      <w:lvlText w:val="(%1)"/>
      <w:numFmt w:val="decimal"/>
      <w:start w:val="1"/>
    </w:lvl>
  </w:abstractNum>
  <w:abstractNum w:abstractNumId="56">
    <w:nsid w:val="14E17E33"/>
    <w:multiLevelType w:val="hybridMultilevel"/>
    <w:lvl w:ilvl="0">
      <w:lvlJc w:val="left"/>
      <w:lvlText w:val="(%1)"/>
      <w:numFmt w:val="decimal"/>
      <w:start w:val="5"/>
    </w:lvl>
  </w:abstractNum>
  <w:abstractNum w:abstractNumId="57">
    <w:nsid w:val="3222E7CD"/>
    <w:multiLevelType w:val="hybridMultilevel"/>
    <w:lvl w:ilvl="0">
      <w:lvlJc w:val="left"/>
      <w:lvlText w:val="(%1)"/>
      <w:numFmt w:val="decimal"/>
      <w:start w:val="6"/>
    </w:lvl>
  </w:abstractNum>
  <w:abstractNum w:abstractNumId="58">
    <w:nsid w:val="74DE0EE3"/>
    <w:multiLevelType w:val="hybridMultilevel"/>
    <w:lvl w:ilvl="0">
      <w:lvlJc w:val="left"/>
      <w:lvlText w:val="(%1)"/>
      <w:numFmt w:val="decimal"/>
      <w:start w:val="7"/>
    </w:lvl>
  </w:abstractNum>
  <w:abstractNum w:abstractNumId="59">
    <w:nsid w:val="68EBC550"/>
    <w:multiLevelType w:val="hybridMultilevel"/>
    <w:lvl w:ilvl="0">
      <w:lvlJc w:val="left"/>
      <w:lvlText w:val="(%1)"/>
      <w:numFmt w:val="decimal"/>
      <w:start w:val="8"/>
    </w:lvl>
  </w:abstractNum>
  <w:abstractNum w:abstractNumId="60">
    <w:nsid w:val="2DF6D648"/>
    <w:multiLevelType w:val="hybridMultilevel"/>
    <w:lvl w:ilvl="0">
      <w:lvlJc w:val="left"/>
      <w:lvlText w:val="(%1)"/>
      <w:numFmt w:val="decimal"/>
      <w:start w:val="1"/>
    </w:lvl>
  </w:abstractNum>
  <w:abstractNum w:abstractNumId="61">
    <w:nsid w:val="46B7D447"/>
    <w:multiLevelType w:val="hybridMultilevel"/>
    <w:lvl w:ilvl="0">
      <w:lvlJc w:val="left"/>
      <w:lvlText w:val="(%1)"/>
      <w:numFmt w:val="decimal"/>
      <w:start w:val="9"/>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1)"/>
      <w:numFmt w:val="decimal"/>
      <w:start w:val="10"/>
    </w:lvl>
  </w:abstractNum>
  <w:abstractNum w:abstractNumId="64">
    <w:nsid w:val="57FC4FBB"/>
    <w:multiLevelType w:val="hybridMultilevel"/>
    <w:lvl w:ilvl="0">
      <w:lvlJc w:val="left"/>
      <w:lvlText w:val="(%1)"/>
      <w:numFmt w:val="decimal"/>
      <w:start w:val="11"/>
    </w:lvl>
  </w:abstractNum>
  <w:abstractNum w:abstractNumId="65">
    <w:nsid w:val="CC1016F"/>
    <w:multiLevelType w:val="hybridMultilevel"/>
    <w:lvl w:ilvl="0">
      <w:lvlJc w:val="left"/>
      <w:lvlText w:val="(%1)"/>
      <w:numFmt w:val="decimal"/>
      <w:start w:val="12"/>
    </w:lvl>
  </w:abstractNum>
  <w:abstractNum w:abstractNumId="66">
    <w:nsid w:val="43F18422"/>
    <w:multiLevelType w:val="hybridMultilevel"/>
    <w:lvl w:ilvl="0">
      <w:lvlJc w:val="left"/>
      <w:lvlText w:val="(%1)"/>
      <w:numFmt w:val="decimal"/>
      <w:start w:val="13"/>
    </w:lvl>
  </w:abstractNum>
  <w:abstractNum w:abstractNumId="67">
    <w:nsid w:val="60EF0119"/>
    <w:multiLevelType w:val="hybridMultilevel"/>
    <w:lvl w:ilvl="0">
      <w:lvlJc w:val="left"/>
      <w:lvlText w:val="(%1)"/>
      <w:numFmt w:val="decimal"/>
      <w:start w:val="1"/>
    </w:lvl>
  </w:abstractNum>
  <w:abstractNum w:abstractNumId="68">
    <w:nsid w:val="26F324BA"/>
    <w:multiLevelType w:val="hybridMultilevel"/>
    <w:lvl w:ilvl="0">
      <w:lvlJc w:val="left"/>
      <w:lvlText w:val="(%1)"/>
      <w:numFmt w:val="decimal"/>
      <w:start w:val="1"/>
    </w:lvl>
  </w:abstractNum>
  <w:abstractNum w:abstractNumId="69">
    <w:nsid w:val="7F01579B"/>
    <w:multiLevelType w:val="hybridMultilevel"/>
    <w:lvl w:ilvl="0">
      <w:lvlJc w:val="left"/>
      <w:lvlText w:val="%1."/>
      <w:numFmt w:val="upperLetter"/>
      <w:start w:val="1"/>
    </w:lvl>
  </w:abstractNum>
  <w:abstractNum w:abstractNumId="70">
    <w:nsid w:val="49DA307D"/>
    <w:multiLevelType w:val="hybridMultilevel"/>
    <w:lvl w:ilvl="0">
      <w:lvlJc w:val="left"/>
      <w:lvlText w:val="1"/>
      <w:numFmt w:val="bullet"/>
      <w:start w:val="1"/>
    </w:lvl>
  </w:abstractNum>
  <w:abstractNum w:abstractNumId="71">
    <w:nsid w:val="7055A5F5"/>
    <w:multiLevelType w:val="hybridMultilevel"/>
    <w:lvl w:ilvl="0">
      <w:lvlJc w:val="left"/>
      <w:lvlText w:val="%1."/>
      <w:numFmt w:val="upperLetter"/>
      <w:start w:val="2"/>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
      <w:numFmt w:val="bullet"/>
      <w:start w:val="1"/>
    </w:lvl>
  </w:abstractNum>
  <w:abstractNum w:abstractNumId="76">
    <w:nsid w:val="6AA78F7F"/>
    <w:multiLevelType w:val="hybridMultilevel"/>
    <w:lvl w:ilvl="0">
      <w:lvlJc w:val="left"/>
      <w:lvlText w:val="%1."/>
      <w:numFmt w:val="upperLetter"/>
      <w:start w:val="3"/>
    </w:lvl>
  </w:abstractNum>
  <w:abstractNum w:abstractNumId="77">
    <w:nsid w:val="7672BD23"/>
    <w:multiLevelType w:val="hybridMultilevel"/>
    <w:lvl w:ilvl="0">
      <w:lvlJc w:val="left"/>
      <w:lvlText w:val="%1."/>
      <w:numFmt w:val="upperLetter"/>
      <w:start w:val="4"/>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1."/>
      <w:numFmt w:val="upperLetter"/>
      <w:start w:val="5"/>
    </w:lvl>
  </w:abstractNum>
  <w:abstractNum w:abstractNumId="80">
    <w:nsid w:val="7D5E18F8"/>
    <w:multiLevelType w:val="hybridMultilevel"/>
    <w:lvl w:ilvl="0">
      <w:lvlJc w:val="left"/>
      <w:lvlText w:val="%1."/>
      <w:numFmt w:val="upperLetter"/>
      <w:start w:val="6"/>
    </w:lvl>
  </w:abstractNum>
  <w:abstractNum w:abstractNumId="81">
    <w:nsid w:val="5F3534A4"/>
    <w:multiLevelType w:val="hybridMultilevel"/>
    <w:lvl w:ilvl="0">
      <w:lvlJc w:val="left"/>
      <w:lvlText w:val="%1."/>
      <w:numFmt w:val="upperLetter"/>
      <w:start w:val="7"/>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1"/>
      <w:numFmt w:val="bullet"/>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1."/>
      <w:numFmt w:val="decimal"/>
      <w:start w:val="1"/>
    </w:lvl>
  </w:abstractNum>
  <w:abstractNum w:abstractNumId="87">
    <w:nsid w:val="6A3DD3E8"/>
    <w:multiLevelType w:val="hybridMultilevel"/>
    <w:lvl w:ilvl="0">
      <w:lvlJc w:val="left"/>
      <w:lvlText w:val="%1."/>
      <w:numFmt w:val="decimal"/>
      <w:start w:val="2"/>
    </w:lvl>
  </w:abstractNum>
  <w:abstractNum w:abstractNumId="88">
    <w:nsid w:val="71C91298"/>
    <w:multiLevelType w:val="hybridMultilevel"/>
    <w:lvl w:ilvl="0">
      <w:lvlJc w:val="left"/>
      <w:lvlText w:val="%1."/>
      <w:numFmt w:val="decimal"/>
      <w:start w:val="3"/>
    </w:lvl>
  </w:abstractNum>
  <w:abstractNum w:abstractNumId="89">
    <w:nsid w:val="9DAF632"/>
    <w:multiLevelType w:val="hybridMultilevel"/>
    <w:lvl w:ilvl="0">
      <w:lvlJc w:val="left"/>
      <w:lvlText w:val="%1."/>
      <w:numFmt w:val="decimal"/>
      <w:start w:val="4"/>
    </w:lvl>
  </w:abstractNum>
  <w:abstractNum w:abstractNumId="90">
    <w:nsid w:val="53299938"/>
    <w:multiLevelType w:val="hybridMultilevel"/>
    <w:lvl w:ilvl="0">
      <w:lvlJc w:val="left"/>
      <w:lvlText w:val="%1."/>
      <w:numFmt w:val="decimal"/>
      <w:start w:val="5"/>
    </w:lvl>
  </w:abstractNum>
  <w:abstractNum w:abstractNumId="91">
    <w:nsid w:val="1FBFE8E0"/>
    <w:multiLevelType w:val="hybridMultilevel"/>
    <w:lvl w:ilvl="0">
      <w:lvlJc w:val="left"/>
      <w:lvlText w:val="%1."/>
      <w:numFmt w:val="decimal"/>
      <w:start w:val="6"/>
    </w:lvl>
  </w:abstractNum>
  <w:abstractNum w:abstractNumId="92">
    <w:nsid w:val="5092CA79"/>
    <w:multiLevelType w:val="hybridMultilevel"/>
    <w:lvl w:ilvl="0">
      <w:lvlJc w:val="left"/>
      <w:lvlText w:val="%1."/>
      <w:numFmt w:val="decimal"/>
      <w:start w:val="7"/>
    </w:lvl>
  </w:abstractNum>
  <w:abstractNum w:abstractNumId="93">
    <w:nsid w:val="1D545C4D"/>
    <w:multiLevelType w:val="hybridMultilevel"/>
    <w:lvl w:ilvl="0">
      <w:lvlJc w:val="left"/>
      <w:lvlText w:val="%1."/>
      <w:numFmt w:val="decimal"/>
      <w:start w:val="9"/>
    </w:lvl>
  </w:abstractNum>
  <w:abstractNum w:abstractNumId="94">
    <w:nsid w:val="59ADEA3D"/>
    <w:multiLevelType w:val="hybridMultilevel"/>
    <w:lvl w:ilvl="0">
      <w:lvlJc w:val="left"/>
      <w:lvlText w:val="•"/>
      <w:numFmt w:val="bullet"/>
      <w:start w:val="1"/>
    </w:lvl>
    <w:lvl w:ilvl="1">
      <w:lvlJc w:val="left"/>
      <w:lvlText w:val="•"/>
      <w:numFmt w:val="bullet"/>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
      <w:numFmt w:val="bullet"/>
      <w:start w:val="1"/>
    </w:lvl>
  </w:abstractNum>
  <w:abstractNum w:abstractNumId="97">
    <w:nsid w:val="1D9F6E5F"/>
    <w:multiLevelType w:val="hybridMultilevel"/>
    <w:lvl w:ilvl="0">
      <w:lvlJc w:val="left"/>
      <w:lvlText w:val="•"/>
      <w:numFmt w:val="bullet"/>
      <w:start w:val="1"/>
    </w:lvl>
  </w:abstractNum>
  <w:abstractNum w:abstractNumId="98">
    <w:nsid w:val="97E1B4E"/>
    <w:multiLevelType w:val="hybridMultilevel"/>
    <w:lvl w:ilvl="0">
      <w:lvlJc w:val="left"/>
      <w:lvlText w:val="%1."/>
      <w:numFmt w:val="decimal"/>
      <w:start w:val="1"/>
    </w:lvl>
    <w:lvl w:ilvl="1">
      <w:lvlJc w:val="left"/>
      <w:lvlText w:val="%2."/>
      <w:numFmt w:val="decimal"/>
      <w:start w:val="3"/>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
      <w:numFmt w:val="bullet"/>
      <w:start w:val="1"/>
    </w:lvl>
  </w:abstractNum>
  <w:abstractNum w:abstractNumId="101">
    <w:nsid w:val="53584BCB"/>
    <w:multiLevelType w:val="hybridMultilevel"/>
    <w:lvl w:ilvl="0">
      <w:lvlJc w:val="left"/>
      <w:lvlText w:val="•"/>
      <w:numFmt w:val="bullet"/>
      <w:start w:val="1"/>
    </w:lvl>
  </w:abstractNum>
  <w:abstractNum w:abstractNumId="102">
    <w:nsid w:val="415E286C"/>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103">
    <w:nsid w:val="7C58FD05"/>
    <w:multiLevelType w:val="hybridMultilevel"/>
    <w:lvl w:ilvl="0">
      <w:lvlJc w:val="left"/>
      <w:lvlText w:val="%1."/>
      <w:numFmt w:val="decimal"/>
      <w:start w:val="4"/>
    </w:lvl>
    <w:lvl w:ilvl="1">
      <w:lvlJc w:val="left"/>
      <w:lvlText w:val="•"/>
      <w:numFmt w:val="bullet"/>
      <w:start w:val="1"/>
    </w:lvl>
    <w:lvl w:ilvl="2">
      <w:lvlJc w:val="left"/>
      <w:lvlText w:val="(%3)"/>
      <w:numFmt w:val="upperLetter"/>
      <w:start w:val="1"/>
    </w:lvl>
  </w:abstractNum>
  <w:abstractNum w:abstractNumId="104">
    <w:nsid w:val="23D86AAC"/>
    <w:multiLevelType w:val="hybridMultilevel"/>
    <w:lvl w:ilvl="0">
      <w:lvlJc w:val="left"/>
      <w:lvlText w:val="(%1)"/>
      <w:numFmt w:val="decimal"/>
      <w:start w:val="1"/>
    </w:lvl>
  </w:abstractNum>
  <w:abstractNum w:abstractNumId="105">
    <w:nsid w:val="45E6D486"/>
    <w:multiLevelType w:val="hybridMultilevel"/>
    <w:lvl w:ilvl="0">
      <w:lvlJc w:val="left"/>
      <w:lvlText w:val="%1."/>
      <w:numFmt w:val="decimal"/>
      <w:start w:val="1"/>
    </w:lvl>
    <w:lvl w:ilvl="1">
      <w:lvlJc w:val="left"/>
      <w:lvlText w:val="%2."/>
      <w:numFmt w:val="lowerLetter"/>
      <w:start w:val="1"/>
    </w:lvl>
  </w:abstractNum>
  <w:abstractNum w:abstractNumId="106">
    <w:nsid w:val="5C10FE21"/>
    <w:multiLevelType w:val="hybridMultilevel"/>
    <w:lvl w:ilvl="0">
      <w:lvlJc w:val="left"/>
      <w:lvlText w:val="%1."/>
      <w:numFmt w:val="decimal"/>
      <w:start w:val="1"/>
    </w:lvl>
    <w:lvl w:ilvl="1">
      <w:lvlJc w:val="left"/>
      <w:lvlText w:val="%2."/>
      <w:numFmt w:val="lowerLetter"/>
      <w:start w:val="1"/>
    </w:lvl>
  </w:abstractNum>
  <w:abstractNum w:abstractNumId="107">
    <w:nsid w:val="E7FFA2B"/>
    <w:multiLevelType w:val="hybridMultilevel"/>
    <w:lvl w:ilvl="0">
      <w:lvlJc w:val="left"/>
      <w:lvlText w:val="(%1)"/>
      <w:numFmt w:val="decimal"/>
      <w:start w:val="1"/>
    </w:lvl>
  </w:abstractNum>
  <w:abstractNum w:abstractNumId="108">
    <w:nsid w:val="3C5991AA"/>
    <w:multiLevelType w:val="hybridMultilevel"/>
    <w:lvl w:ilvl="0">
      <w:lvlJc w:val="left"/>
      <w:lvlText w:val="%1."/>
      <w:numFmt w:val="decimal"/>
      <w:start w:val="1"/>
    </w:lvl>
  </w:abstractNum>
  <w:abstractNum w:abstractNumId="109">
    <w:nsid w:val="4BD8591A"/>
    <w:multiLevelType w:val="hybridMultilevel"/>
    <w:lvl w:ilvl="0">
      <w:lvlJc w:val="left"/>
      <w:lvlText w:val="%1."/>
      <w:numFmt w:val="decimal"/>
      <w:start w:val="2"/>
    </w:lvl>
  </w:abstractNum>
  <w:abstractNum w:abstractNumId="110">
    <w:nsid w:val="78DF6A55"/>
    <w:multiLevelType w:val="hybridMultilevel"/>
    <w:lvl w:ilvl="0">
      <w:lvlJc w:val="left"/>
      <w:lvlText w:val="%1."/>
      <w:numFmt w:val="decimal"/>
      <w:start w:val="3"/>
    </w:lvl>
    <w:lvl w:ilvl="1">
      <w:lvlJc w:val="left"/>
      <w:lvlText w:val="%2."/>
      <w:numFmt w:val="lowerLetter"/>
      <w:start w:val="1"/>
    </w:lvl>
  </w:abstractNum>
  <w:abstractNum w:abstractNumId="111">
    <w:nsid w:val="39B7AAA2"/>
    <w:multiLevelType w:val="hybridMultilevel"/>
    <w:lvl w:ilvl="0">
      <w:lvlJc w:val="left"/>
      <w:lvlText w:val="%1."/>
      <w:numFmt w:val="lowerLetter"/>
      <w:start w:val="6"/>
    </w:lvl>
  </w:abstractNum>
  <w:abstractNum w:abstractNumId="112">
    <w:nsid w:val="2B0D8DBE"/>
    <w:multiLevelType w:val="hybridMultilevel"/>
    <w:lvl w:ilvl="0">
      <w:lvlJc w:val="left"/>
      <w:lvlText w:val="%1."/>
      <w:numFmt w:val="lowerLetter"/>
      <w:start w:val="11"/>
    </w:lvl>
  </w:abstractNum>
  <w:abstractNum w:abstractNumId="113">
    <w:nsid w:val="6C80EC70"/>
    <w:multiLevelType w:val="hybridMultilevel"/>
    <w:lvl w:ilvl="0">
      <w:lvlJc w:val="left"/>
      <w:lvlText w:val="%1."/>
      <w:numFmt w:val="decimal"/>
      <w:start w:val="4"/>
    </w:lvl>
  </w:abstractNum>
  <w:abstractNum w:abstractNumId="114">
    <w:nsid w:val="379E21B5"/>
    <w:multiLevelType w:val="hybridMultilevel"/>
    <w:lvl w:ilvl="0">
      <w:lvlJc w:val="left"/>
      <w:lvlText w:val="%1."/>
      <w:numFmt w:val="decimal"/>
      <w:start w:val="5"/>
    </w:lvl>
  </w:abstractNum>
  <w:abstractNum w:abstractNumId="115">
    <w:nsid w:val="69E373"/>
    <w:multiLevelType w:val="hybridMultilevel"/>
    <w:lvl w:ilvl="0">
      <w:lvlJc w:val="left"/>
      <w:lvlText w:val="%1."/>
      <w:numFmt w:val="decimal"/>
      <w:start w:val="6"/>
    </w:lvl>
  </w:abstractNum>
  <w:abstractNum w:abstractNumId="116">
    <w:nsid w:val="2C27173B"/>
    <w:multiLevelType w:val="hybridMultilevel"/>
    <w:lvl w:ilvl="0">
      <w:lvlJc w:val="left"/>
      <w:lvlText w:val="%1."/>
      <w:numFmt w:val="lowerLetter"/>
      <w:start w:val="1"/>
    </w:lvl>
  </w:abstractNum>
  <w:abstractNum w:abstractNumId="117">
    <w:nsid w:val="4C9B0904"/>
    <w:multiLevelType w:val="hybridMultilevel"/>
    <w:lvl w:ilvl="0">
      <w:lvlJc w:val="left"/>
      <w:lvlText w:val="%1."/>
      <w:numFmt w:val="decimal"/>
      <w:start w:val="7"/>
    </w:lvl>
  </w:abstractNum>
  <w:abstractNum w:abstractNumId="118">
    <w:nsid w:val="6AA7B75C"/>
    <w:multiLevelType w:val="hybridMultilevel"/>
    <w:lvl w:ilvl="0">
      <w:lvlJc w:val="left"/>
      <w:lvlText w:val="%1."/>
      <w:numFmt w:val="decimal"/>
      <w:start w:val="8"/>
    </w:lvl>
  </w:abstractNum>
  <w:abstractNum w:abstractNumId="119">
    <w:nsid w:val="1DF029D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43" Type="http://schemas.openxmlformats.org/officeDocument/2006/relationships/image" Target="media/image116.png"/><Relationship Id="rId159"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95" Type="http://schemas.openxmlformats.org/officeDocument/2006/relationships/image" Target="media/image242.png"/><Relationship Id="rId296" Type="http://schemas.openxmlformats.org/officeDocument/2006/relationships/image" Target="media/image243.png"/><Relationship Id="rId297" Type="http://schemas.openxmlformats.org/officeDocument/2006/relationships/image" Target="media/image244.png"/><Relationship Id="rId298" Type="http://schemas.openxmlformats.org/officeDocument/2006/relationships/image" Target="media/image245.png"/><Relationship Id="rId299" Type="http://schemas.openxmlformats.org/officeDocument/2006/relationships/image" Target="media/image246.png"/><Relationship Id="rId300" Type="http://schemas.openxmlformats.org/officeDocument/2006/relationships/image" Target="media/image247.png"/><Relationship Id="rId301" Type="http://schemas.openxmlformats.org/officeDocument/2006/relationships/image" Target="media/image248.png"/><Relationship Id="rId302" Type="http://schemas.openxmlformats.org/officeDocument/2006/relationships/image" Target="media/image249.png"/><Relationship Id="rId303" Type="http://schemas.openxmlformats.org/officeDocument/2006/relationships/image" Target="media/image250.png"/><Relationship Id="rId304" Type="http://schemas.openxmlformats.org/officeDocument/2006/relationships/image" Target="media/image251.png"/><Relationship Id="rId305" Type="http://schemas.openxmlformats.org/officeDocument/2006/relationships/image" Target="media/image252.png"/><Relationship Id="rId306" Type="http://schemas.openxmlformats.org/officeDocument/2006/relationships/image" Target="media/image253.png"/><Relationship Id="rId307" Type="http://schemas.openxmlformats.org/officeDocument/2006/relationships/image" Target="media/image254.png"/><Relationship Id="rId308" Type="http://schemas.openxmlformats.org/officeDocument/2006/relationships/image" Target="media/image255.png"/><Relationship Id="rId309" Type="http://schemas.openxmlformats.org/officeDocument/2006/relationships/image" Target="media/image256.png"/><Relationship Id="rId310" Type="http://schemas.openxmlformats.org/officeDocument/2006/relationships/image" Target="media/image257.png"/><Relationship Id="rId311" Type="http://schemas.openxmlformats.org/officeDocument/2006/relationships/image" Target="media/image258.png"/><Relationship Id="rId312" Type="http://schemas.openxmlformats.org/officeDocument/2006/relationships/image" Target="media/image259.png"/><Relationship Id="rId313" Type="http://schemas.openxmlformats.org/officeDocument/2006/relationships/image" Target="media/image260.png"/><Relationship Id="rId314" Type="http://schemas.openxmlformats.org/officeDocument/2006/relationships/image" Target="media/image261.png"/><Relationship Id="rId315" Type="http://schemas.openxmlformats.org/officeDocument/2006/relationships/image" Target="media/image262.png"/><Relationship Id="rId316" Type="http://schemas.openxmlformats.org/officeDocument/2006/relationships/image" Target="media/image263.png"/><Relationship Id="rId317" Type="http://schemas.openxmlformats.org/officeDocument/2006/relationships/image" Target="media/image264.png"/><Relationship Id="rId318" Type="http://schemas.openxmlformats.org/officeDocument/2006/relationships/image" Target="media/image265.png"/><Relationship Id="rId319" Type="http://schemas.openxmlformats.org/officeDocument/2006/relationships/image" Target="media/image266.png"/><Relationship Id="rId320" Type="http://schemas.openxmlformats.org/officeDocument/2006/relationships/image" Target="media/image267.png"/><Relationship Id="rId321" Type="http://schemas.openxmlformats.org/officeDocument/2006/relationships/image" Target="media/image268.png"/><Relationship Id="rId322" Type="http://schemas.openxmlformats.org/officeDocument/2006/relationships/image" Target="media/image269.png"/><Relationship Id="rId323" Type="http://schemas.openxmlformats.org/officeDocument/2006/relationships/image" Target="media/image270.png"/><Relationship Id="rId324" Type="http://schemas.openxmlformats.org/officeDocument/2006/relationships/image" Target="media/image271.png"/><Relationship Id="rId325" Type="http://schemas.openxmlformats.org/officeDocument/2006/relationships/image" Target="media/image272.png"/><Relationship Id="rId326" Type="http://schemas.openxmlformats.org/officeDocument/2006/relationships/image" Target="media/image273.png"/><Relationship Id="rId327" Type="http://schemas.openxmlformats.org/officeDocument/2006/relationships/image" Target="media/image274.png"/><Relationship Id="rId328" Type="http://schemas.openxmlformats.org/officeDocument/2006/relationships/image" Target="media/image275.png"/><Relationship Id="rId329" Type="http://schemas.openxmlformats.org/officeDocument/2006/relationships/image" Target="media/image276.png"/><Relationship Id="rId330" Type="http://schemas.openxmlformats.org/officeDocument/2006/relationships/image" Target="media/image277.png"/><Relationship Id="rId331" Type="http://schemas.openxmlformats.org/officeDocument/2006/relationships/image" Target="media/image278.png"/><Relationship Id="rId332" Type="http://schemas.openxmlformats.org/officeDocument/2006/relationships/image" Target="media/image279.png"/><Relationship Id="rId333" Type="http://schemas.openxmlformats.org/officeDocument/2006/relationships/image" Target="media/image280.png"/><Relationship Id="rId334" Type="http://schemas.openxmlformats.org/officeDocument/2006/relationships/image" Target="media/image281.png"/><Relationship Id="rId335" Type="http://schemas.openxmlformats.org/officeDocument/2006/relationships/image" Target="media/image282.png"/><Relationship Id="rId336" Type="http://schemas.openxmlformats.org/officeDocument/2006/relationships/image" Target="media/image283.png"/><Relationship Id="rId337" Type="http://schemas.openxmlformats.org/officeDocument/2006/relationships/image" Target="media/image284.png"/><Relationship Id="rId338" Type="http://schemas.openxmlformats.org/officeDocument/2006/relationships/image" Target="media/image285.png"/><Relationship Id="rId339" Type="http://schemas.openxmlformats.org/officeDocument/2006/relationships/image" Target="media/image286.png"/><Relationship Id="rId340" Type="http://schemas.openxmlformats.org/officeDocument/2006/relationships/image" Target="media/image287.png"/><Relationship Id="rId341" Type="http://schemas.openxmlformats.org/officeDocument/2006/relationships/image" Target="media/image288.png"/><Relationship Id="rId342" Type="http://schemas.openxmlformats.org/officeDocument/2006/relationships/image" Target="media/image289.png"/><Relationship Id="rId343" Type="http://schemas.openxmlformats.org/officeDocument/2006/relationships/image" Target="media/image290.png"/><Relationship Id="rId344" Type="http://schemas.openxmlformats.org/officeDocument/2006/relationships/image" Target="media/image291.png"/><Relationship Id="rId345" Type="http://schemas.openxmlformats.org/officeDocument/2006/relationships/image" Target="media/image292.png"/><Relationship Id="rId346" Type="http://schemas.openxmlformats.org/officeDocument/2006/relationships/image" Target="media/image293.png"/><Relationship Id="rId347" Type="http://schemas.openxmlformats.org/officeDocument/2006/relationships/image" Target="media/image294.png"/><Relationship Id="rId348" Type="http://schemas.openxmlformats.org/officeDocument/2006/relationships/image" Target="media/image295.png"/><Relationship Id="rId349" Type="http://schemas.openxmlformats.org/officeDocument/2006/relationships/image" Target="media/image296.png"/><Relationship Id="rId350" Type="http://schemas.openxmlformats.org/officeDocument/2006/relationships/image" Target="media/image297.png"/><Relationship Id="rId351" Type="http://schemas.openxmlformats.org/officeDocument/2006/relationships/image" Target="media/image298.png"/><Relationship Id="rId352" Type="http://schemas.openxmlformats.org/officeDocument/2006/relationships/image" Target="media/image299.png"/><Relationship Id="rId353" Type="http://schemas.openxmlformats.org/officeDocument/2006/relationships/image" Target="media/image300.png"/><Relationship Id="rId354" Type="http://schemas.openxmlformats.org/officeDocument/2006/relationships/image" Target="media/image301.png"/><Relationship Id="rId355" Type="http://schemas.openxmlformats.org/officeDocument/2006/relationships/image" Target="media/image302.png"/><Relationship Id="rId356" Type="http://schemas.openxmlformats.org/officeDocument/2006/relationships/image" Target="media/image303.png"/><Relationship Id="rId357" Type="http://schemas.openxmlformats.org/officeDocument/2006/relationships/image" Target="media/image304.png"/><Relationship Id="rId358" Type="http://schemas.openxmlformats.org/officeDocument/2006/relationships/image" Target="media/image305.png"/><Relationship Id="rId359" Type="http://schemas.openxmlformats.org/officeDocument/2006/relationships/image" Target="media/image306.png"/><Relationship Id="rId360" Type="http://schemas.openxmlformats.org/officeDocument/2006/relationships/image" Target="media/image307.png"/><Relationship Id="rId361" Type="http://schemas.openxmlformats.org/officeDocument/2006/relationships/image" Target="media/image308.png"/><Relationship Id="rId362" Type="http://schemas.openxmlformats.org/officeDocument/2006/relationships/image" Target="media/image309.png"/><Relationship Id="rId363" Type="http://schemas.openxmlformats.org/officeDocument/2006/relationships/image" Target="media/image310.png"/><Relationship Id="rId364" Type="http://schemas.openxmlformats.org/officeDocument/2006/relationships/image" Target="media/image311.png"/><Relationship Id="rId365" Type="http://schemas.openxmlformats.org/officeDocument/2006/relationships/image" Target="media/image312.png"/><Relationship Id="rId366" Type="http://schemas.openxmlformats.org/officeDocument/2006/relationships/image" Target="media/image313.png"/><Relationship Id="rId367" Type="http://schemas.openxmlformats.org/officeDocument/2006/relationships/image" Target="media/image314.png"/><Relationship Id="rId368" Type="http://schemas.openxmlformats.org/officeDocument/2006/relationships/image" Target="media/image315.png"/><Relationship Id="rId369" Type="http://schemas.openxmlformats.org/officeDocument/2006/relationships/image" Target="media/image316.png"/><Relationship Id="rId370" Type="http://schemas.openxmlformats.org/officeDocument/2006/relationships/image" Target="media/image317.png"/><Relationship Id="rId371" Type="http://schemas.openxmlformats.org/officeDocument/2006/relationships/image" Target="media/image318.png"/><Relationship Id="rId372" Type="http://schemas.openxmlformats.org/officeDocument/2006/relationships/image" Target="media/image319.png"/><Relationship Id="rId373" Type="http://schemas.openxmlformats.org/officeDocument/2006/relationships/image" Target="media/image320.png"/><Relationship Id="rId374" Type="http://schemas.openxmlformats.org/officeDocument/2006/relationships/image" Target="media/image321.png"/><Relationship Id="rId375" Type="http://schemas.openxmlformats.org/officeDocument/2006/relationships/image" Target="media/image322.png"/><Relationship Id="rId376" Type="http://schemas.openxmlformats.org/officeDocument/2006/relationships/image" Target="media/image323.png"/><Relationship Id="rId377" Type="http://schemas.openxmlformats.org/officeDocument/2006/relationships/image" Target="media/image324.png"/><Relationship Id="rId378" Type="http://schemas.openxmlformats.org/officeDocument/2006/relationships/image" Target="media/image325.png"/><Relationship Id="rId379" Type="http://schemas.openxmlformats.org/officeDocument/2006/relationships/image" Target="media/image326.png"/><Relationship Id="rId380" Type="http://schemas.openxmlformats.org/officeDocument/2006/relationships/image" Target="media/image327.png"/><Relationship Id="rId381" Type="http://schemas.openxmlformats.org/officeDocument/2006/relationships/image" Target="media/image328.png"/><Relationship Id="rId382" Type="http://schemas.openxmlformats.org/officeDocument/2006/relationships/image" Target="media/image329.png"/><Relationship Id="rId383" Type="http://schemas.openxmlformats.org/officeDocument/2006/relationships/image" Target="media/image330.png"/><Relationship Id="rId384" Type="http://schemas.openxmlformats.org/officeDocument/2006/relationships/image" Target="media/image331.png"/><Relationship Id="rId385" Type="http://schemas.openxmlformats.org/officeDocument/2006/relationships/image" Target="media/image332.png"/><Relationship Id="rId386" Type="http://schemas.openxmlformats.org/officeDocument/2006/relationships/image" Target="media/image333.png"/><Relationship Id="rId387" Type="http://schemas.openxmlformats.org/officeDocument/2006/relationships/image" Target="media/image334.png"/><Relationship Id="rId388" Type="http://schemas.openxmlformats.org/officeDocument/2006/relationships/image" Target="media/image335.png"/><Relationship Id="rId389" Type="http://schemas.openxmlformats.org/officeDocument/2006/relationships/image" Target="media/image336.png"/><Relationship Id="rId390" Type="http://schemas.openxmlformats.org/officeDocument/2006/relationships/image" Target="media/image337.png"/><Relationship Id="rId391" Type="http://schemas.openxmlformats.org/officeDocument/2006/relationships/image" Target="media/image338.png"/><Relationship Id="rId392" Type="http://schemas.openxmlformats.org/officeDocument/2006/relationships/image" Target="media/image339.png"/><Relationship Id="rId393" Type="http://schemas.openxmlformats.org/officeDocument/2006/relationships/image" Target="media/image340.png"/><Relationship Id="rId394" Type="http://schemas.openxmlformats.org/officeDocument/2006/relationships/image" Target="media/image341.png"/><Relationship Id="rId395" Type="http://schemas.openxmlformats.org/officeDocument/2006/relationships/image" Target="media/image342.png"/><Relationship Id="rId396" Type="http://schemas.openxmlformats.org/officeDocument/2006/relationships/image" Target="media/image343.png"/><Relationship Id="rId397" Type="http://schemas.openxmlformats.org/officeDocument/2006/relationships/image" Target="media/image344.png"/><Relationship Id="rId398" Type="http://schemas.openxmlformats.org/officeDocument/2006/relationships/image" Target="media/image345.png"/><Relationship Id="rId399" Type="http://schemas.openxmlformats.org/officeDocument/2006/relationships/image" Target="media/image346.png"/><Relationship Id="rId400" Type="http://schemas.openxmlformats.org/officeDocument/2006/relationships/image" Target="media/image347.png"/><Relationship Id="rId401" Type="http://schemas.openxmlformats.org/officeDocument/2006/relationships/image" Target="media/image348.png"/><Relationship Id="rId402" Type="http://schemas.openxmlformats.org/officeDocument/2006/relationships/image" Target="media/image349.png"/><Relationship Id="rId403" Type="http://schemas.openxmlformats.org/officeDocument/2006/relationships/image" Target="media/image350.png"/><Relationship Id="rId404" Type="http://schemas.openxmlformats.org/officeDocument/2006/relationships/image" Target="media/image351.png"/><Relationship Id="rId405" Type="http://schemas.openxmlformats.org/officeDocument/2006/relationships/image" Target="media/image352.png"/><Relationship Id="rId406" Type="http://schemas.openxmlformats.org/officeDocument/2006/relationships/image" Target="media/image353.png"/><Relationship Id="rId407" Type="http://schemas.openxmlformats.org/officeDocument/2006/relationships/image" Target="media/image354.png"/><Relationship Id="rId408" Type="http://schemas.openxmlformats.org/officeDocument/2006/relationships/image" Target="media/image355.png"/><Relationship Id="rId409" Type="http://schemas.openxmlformats.org/officeDocument/2006/relationships/image" Target="media/image356.png"/><Relationship Id="rId410" Type="http://schemas.openxmlformats.org/officeDocument/2006/relationships/image" Target="media/image357.png"/><Relationship Id="rId411" Type="http://schemas.openxmlformats.org/officeDocument/2006/relationships/image" Target="media/image358.png"/><Relationship Id="rId412" Type="http://schemas.openxmlformats.org/officeDocument/2006/relationships/image" Target="media/image359.png"/><Relationship Id="rId413" Type="http://schemas.openxmlformats.org/officeDocument/2006/relationships/image" Target="media/image360.png"/><Relationship Id="rId414" Type="http://schemas.openxmlformats.org/officeDocument/2006/relationships/image" Target="media/image361.png"/><Relationship Id="rId415" Type="http://schemas.openxmlformats.org/officeDocument/2006/relationships/image" Target="media/image362.png"/><Relationship Id="rId416" Type="http://schemas.openxmlformats.org/officeDocument/2006/relationships/image" Target="media/image363.png"/><Relationship Id="rId417" Type="http://schemas.openxmlformats.org/officeDocument/2006/relationships/image" Target="media/image364.png"/><Relationship Id="rId418" Type="http://schemas.openxmlformats.org/officeDocument/2006/relationships/image" Target="media/image365.png"/><Relationship Id="rId419" Type="http://schemas.openxmlformats.org/officeDocument/2006/relationships/image" Target="media/image366.png"/><Relationship Id="rId420" Type="http://schemas.openxmlformats.org/officeDocument/2006/relationships/image" Target="media/image367.png"/><Relationship Id="rId421" Type="http://schemas.openxmlformats.org/officeDocument/2006/relationships/image" Target="media/image368.png"/><Relationship Id="rId422" Type="http://schemas.openxmlformats.org/officeDocument/2006/relationships/image" Target="media/image369.png"/><Relationship Id="rId423" Type="http://schemas.openxmlformats.org/officeDocument/2006/relationships/image" Target="media/image370.png"/><Relationship Id="rId424" Type="http://schemas.openxmlformats.org/officeDocument/2006/relationships/image" Target="media/image371.png"/><Relationship Id="rId425" Type="http://schemas.openxmlformats.org/officeDocument/2006/relationships/image" Target="media/image372.png"/><Relationship Id="rId426" Type="http://schemas.openxmlformats.org/officeDocument/2006/relationships/image" Target="media/image373.png"/><Relationship Id="rId427" Type="http://schemas.openxmlformats.org/officeDocument/2006/relationships/image" Target="media/image374.png"/><Relationship Id="rId428" Type="http://schemas.openxmlformats.org/officeDocument/2006/relationships/image" Target="media/image375.png"/><Relationship Id="rId429" Type="http://schemas.openxmlformats.org/officeDocument/2006/relationships/image" Target="media/image376.png"/><Relationship Id="rId430" Type="http://schemas.openxmlformats.org/officeDocument/2006/relationships/image" Target="media/image377.png"/><Relationship Id="rId431" Type="http://schemas.openxmlformats.org/officeDocument/2006/relationships/image" Target="media/image378.png"/><Relationship Id="rId432" Type="http://schemas.openxmlformats.org/officeDocument/2006/relationships/image" Target="media/image379.png"/><Relationship Id="rId433" Type="http://schemas.openxmlformats.org/officeDocument/2006/relationships/image" Target="media/image380.png"/><Relationship Id="rId434" Type="http://schemas.openxmlformats.org/officeDocument/2006/relationships/image" Target="media/image381.png"/><Relationship Id="rId435" Type="http://schemas.openxmlformats.org/officeDocument/2006/relationships/image" Target="media/image382.png"/><Relationship Id="rId436" Type="http://schemas.openxmlformats.org/officeDocument/2006/relationships/image" Target="media/image383.png"/><Relationship Id="rId437" Type="http://schemas.openxmlformats.org/officeDocument/2006/relationships/image" Target="media/image384.png"/><Relationship Id="rId438" Type="http://schemas.openxmlformats.org/officeDocument/2006/relationships/image" Target="media/image385.png"/><Relationship Id="rId439" Type="http://schemas.openxmlformats.org/officeDocument/2006/relationships/image" Target="media/image386.png"/><Relationship Id="rId440" Type="http://schemas.openxmlformats.org/officeDocument/2006/relationships/image" Target="media/image387.png"/><Relationship Id="rId441" Type="http://schemas.openxmlformats.org/officeDocument/2006/relationships/image" Target="media/image388.png"/><Relationship Id="rId442" Type="http://schemas.openxmlformats.org/officeDocument/2006/relationships/image" Target="media/image389.png"/><Relationship Id="rId443" Type="http://schemas.openxmlformats.org/officeDocument/2006/relationships/image" Target="media/image390.png"/><Relationship Id="rId444" Type="http://schemas.openxmlformats.org/officeDocument/2006/relationships/image" Target="media/image391.png"/><Relationship Id="rId445" Type="http://schemas.openxmlformats.org/officeDocument/2006/relationships/image" Target="media/image392.png"/><Relationship Id="rId446" Type="http://schemas.openxmlformats.org/officeDocument/2006/relationships/image" Target="media/image393.png"/><Relationship Id="rId447" Type="http://schemas.openxmlformats.org/officeDocument/2006/relationships/image" Target="media/image394.png"/><Relationship Id="rId448" Type="http://schemas.openxmlformats.org/officeDocument/2006/relationships/image" Target="media/image395.png"/><Relationship Id="rId449" Type="http://schemas.openxmlformats.org/officeDocument/2006/relationships/image" Target="media/image396.png"/><Relationship Id="rId450" Type="http://schemas.openxmlformats.org/officeDocument/2006/relationships/image" Target="media/image397.png"/><Relationship Id="rId451" Type="http://schemas.openxmlformats.org/officeDocument/2006/relationships/image" Target="media/image398.png"/><Relationship Id="rId452" Type="http://schemas.openxmlformats.org/officeDocument/2006/relationships/image" Target="media/image399.png"/><Relationship Id="rId453" Type="http://schemas.openxmlformats.org/officeDocument/2006/relationships/image" Target="media/image400.png"/><Relationship Id="rId454" Type="http://schemas.openxmlformats.org/officeDocument/2006/relationships/image" Target="media/image401.png"/><Relationship Id="rId455" Type="http://schemas.openxmlformats.org/officeDocument/2006/relationships/image" Target="media/image402.png"/><Relationship Id="rId456" Type="http://schemas.openxmlformats.org/officeDocument/2006/relationships/image" Target="media/image403.png"/><Relationship Id="rId457" Type="http://schemas.openxmlformats.org/officeDocument/2006/relationships/image" Target="media/image404.png"/><Relationship Id="rId458" Type="http://schemas.openxmlformats.org/officeDocument/2006/relationships/image" Target="media/image405.png"/><Relationship Id="rId459" Type="http://schemas.openxmlformats.org/officeDocument/2006/relationships/image" Target="media/image406.png"/><Relationship Id="rId460" Type="http://schemas.openxmlformats.org/officeDocument/2006/relationships/image" Target="media/image407.png"/><Relationship Id="rId461" Type="http://schemas.openxmlformats.org/officeDocument/2006/relationships/image" Target="media/image408.png"/><Relationship Id="rId462" Type="http://schemas.openxmlformats.org/officeDocument/2006/relationships/image" Target="media/image409.png"/><Relationship Id="rId463" Type="http://schemas.openxmlformats.org/officeDocument/2006/relationships/image" Target="media/image410.png"/><Relationship Id="rId464" Type="http://schemas.openxmlformats.org/officeDocument/2006/relationships/image" Target="media/image411.png"/><Relationship Id="rId465" Type="http://schemas.openxmlformats.org/officeDocument/2006/relationships/image" Target="media/image412.png"/><Relationship Id="rId466" Type="http://schemas.openxmlformats.org/officeDocument/2006/relationships/image" Target="media/image413.png"/><Relationship Id="rId467" Type="http://schemas.openxmlformats.org/officeDocument/2006/relationships/image" Target="media/image414.png"/><Relationship Id="rId468" Type="http://schemas.openxmlformats.org/officeDocument/2006/relationships/image" Target="media/image415.png"/><Relationship Id="rId469" Type="http://schemas.openxmlformats.org/officeDocument/2006/relationships/image" Target="media/image416.png"/><Relationship Id="rId470" Type="http://schemas.openxmlformats.org/officeDocument/2006/relationships/image" Target="media/image417.png"/><Relationship Id="rId471" Type="http://schemas.openxmlformats.org/officeDocument/2006/relationships/image" Target="media/image418.png"/><Relationship Id="rId472" Type="http://schemas.openxmlformats.org/officeDocument/2006/relationships/image" Target="media/image419.png"/><Relationship Id="rId473" Type="http://schemas.openxmlformats.org/officeDocument/2006/relationships/image" Target="media/image420.png"/><Relationship Id="rId474" Type="http://schemas.openxmlformats.org/officeDocument/2006/relationships/image" Target="media/image421.png"/><Relationship Id="rId475" Type="http://schemas.openxmlformats.org/officeDocument/2006/relationships/image" Target="media/image422.png"/><Relationship Id="rId97" Type="http://schemas.openxmlformats.org/officeDocument/2006/relationships/hyperlink" Target="https://www.sec.gov/ix?doc=/Archives/edgar/data/0000897448/000095017024022636/amrn-20231231.htm" TargetMode="External"/><Relationship Id="rId124" Type="http://schemas.openxmlformats.org/officeDocument/2006/relationships/hyperlink" Target="https://www.sec.gov/ix?doc=/Archives/edgar/data/0000897448/000095017024046290/amrn-20240418.htm" TargetMode="External"/><Relationship Id="rId125" Type="http://schemas.openxmlformats.org/officeDocument/2006/relationships/hyperlink" Target="https://www.sec.gov/Archives/edgar/data/897448/000119312512089181/d264858dex41.htm" TargetMode="External"/><Relationship Id="rId126" Type="http://schemas.openxmlformats.org/officeDocument/2006/relationships/hyperlink" Target="https://www.sec.gov/Archives/edgar/data/897448/000115697303000610/u46086exv2w4.txt" TargetMode="External"/><Relationship Id="rId127" Type="http://schemas.openxmlformats.org/officeDocument/2006/relationships/hyperlink" Target="https://www.sec.gov/Archives/edgar/data/897448/000119312512089181/d264858dex44.htm" TargetMode="External"/><Relationship Id="rId128" Type="http://schemas.openxmlformats.org/officeDocument/2006/relationships/hyperlink" Target="https://www.sec.gov/Archives/edgar/data/0000897448/000156459020006390/amrn-ex47_320.htm" TargetMode="External"/><Relationship Id="rId129" Type="http://schemas.openxmlformats.org/officeDocument/2006/relationships/hyperlink" Target="https://www.sec.gov/Archives/edgar/data/897448/000119312511216699/dex104.htm" TargetMode="External"/><Relationship Id="rId130" Type="http://schemas.openxmlformats.org/officeDocument/2006/relationships/hyperlink" Target="https://www.sec.gov/Archives/edgar/data/897448/000119312512344051/d361109dex101.htm" TargetMode="External"/><Relationship Id="rId131" Type="http://schemas.openxmlformats.org/officeDocument/2006/relationships/hyperlink" Target="https://www.sec.gov/Archives/edgar/data/897448/000119312512344051/d361109dex102.htm" TargetMode="External"/><Relationship Id="rId132" Type="http://schemas.openxmlformats.org/officeDocument/2006/relationships/hyperlink" Target="https://www.sec.gov/Archives/edgar/data/897448/000119312513084191/d456797dex105.htm" TargetMode="External"/><Relationship Id="rId133" Type="http://schemas.openxmlformats.org/officeDocument/2006/relationships/hyperlink" Target="https://www.sec.gov/Archives/edgar/data/897448/000119312515280984/d945909dex41.htm" TargetMode="External"/><Relationship Id="rId134" Type="http://schemas.openxmlformats.org/officeDocument/2006/relationships/hyperlink" Target="https://www.sec.gov/Archives/edgar/data/897448/000119312515280984/d945909dex42.htm" TargetMode="External"/><Relationship Id="rId135" Type="http://schemas.openxmlformats.org/officeDocument/2006/relationships/hyperlink" Target="https://www.sec.gov/Archives/edgar/data/0000897448/000156459017014760/amrn-ex41_111.htm" TargetMode="External"/><Relationship Id="rId136" Type="http://schemas.openxmlformats.org/officeDocument/2006/relationships/hyperlink" Target="https://www.sec.gov/Archives/edgar/data/897448/000119312512089181/d264858dex103.htm" TargetMode="External"/><Relationship Id="rId137" Type="http://schemas.openxmlformats.org/officeDocument/2006/relationships/hyperlink" Target="https://www.sec.gov/Archives/edgar/data/897448/000119312512089181/d264858dex104.htm" TargetMode="External"/><Relationship Id="rId138" Type="http://schemas.openxmlformats.org/officeDocument/2006/relationships/hyperlink" Target="https://www.sec.gov/Archives/edgar/data/897448/000119312512089181/d264858dex105.htm" TargetMode="External"/><Relationship Id="rId139" Type="http://schemas.openxmlformats.org/officeDocument/2006/relationships/hyperlink" Target="https://www.sec.gov/Archives/edgar/data/0000897448/000156459018003389/amrn-ex1064_140.htm" TargetMode="External"/><Relationship Id="rId140" Type="http://schemas.openxmlformats.org/officeDocument/2006/relationships/hyperlink" Target="https://www.sec.gov/Archives/edgar/data/0000897448/000119312520192691/d948092dex101.htm" TargetMode="External"/><Relationship Id="rId141" Type="http://schemas.openxmlformats.org/officeDocument/2006/relationships/hyperlink" Target="https://www.sec.gov/Archives/edgar/data/897448/000119312522186302/d351980dex102.htm" TargetMode="External"/><Relationship Id="rId142" Type="http://schemas.openxmlformats.org/officeDocument/2006/relationships/hyperlink" Target="https://www.sec.gov/Archives/edgar/data/0000897448/000156459020050798/amrn-ex102_243.htm" TargetMode="External"/><Relationship Id="rId144" Type="http://schemas.openxmlformats.org/officeDocument/2006/relationships/hyperlink" Target="https://www.sec.gov/Archives/edgar/data/0000897448/000156459020050798/amrn-ex103_244.htm" TargetMode="External"/><Relationship Id="rId145" Type="http://schemas.openxmlformats.org/officeDocument/2006/relationships/hyperlink" Target="https://www.sec.gov/Archives/edgar/data/897448/000095017022014008/amrn-ex10_3.htm" TargetMode="External"/><Relationship Id="rId146" Type="http://schemas.openxmlformats.org/officeDocument/2006/relationships/hyperlink" Target="https://www.sec.gov/Archives/edgar/data/0000897448/000156459020050798/amrn-ex105_246.htm" TargetMode="External"/><Relationship Id="rId147" Type="http://schemas.openxmlformats.org/officeDocument/2006/relationships/hyperlink" Target="https://www.sec.gov/Archives/edgar/data/897448/000095017022014008/amrn-ex10_2.htm" TargetMode="External"/><Relationship Id="rId148" Type="http://schemas.openxmlformats.org/officeDocument/2006/relationships/hyperlink" Target="https://www.sec.gov/Archives/edgar/data/0000897448/000119312521022781/d121208dex101.htm" TargetMode="External"/><Relationship Id="rId149" Type="http://schemas.openxmlformats.org/officeDocument/2006/relationships/hyperlink" Target="https://www.sec.gov/Archives/edgar/data/0000897448/000156459021021572/amrn-ex104_333.htm" TargetMode="External"/><Relationship Id="rId150" Type="http://schemas.openxmlformats.org/officeDocument/2006/relationships/hyperlink" Target="https://www.sec.gov/Archives/edgar/data/897448/000119312512064391/d302169dex101.htm" TargetMode="External"/><Relationship Id="rId151" Type="http://schemas.openxmlformats.org/officeDocument/2006/relationships/hyperlink" Target="https://www.sec.gov/Archives/edgar/data/897448/000119312515280984/d945909dex102.htm" TargetMode="External"/><Relationship Id="rId152" Type="http://schemas.openxmlformats.org/officeDocument/2006/relationships/hyperlink" Target="https://www.sec.gov/Archives/edgar/data/897448/000119312512119766/d317347dex42.htm" TargetMode="External"/><Relationship Id="rId153" Type="http://schemas.openxmlformats.org/officeDocument/2006/relationships/hyperlink" Target="https://www.sec.gov/Archives/edgar/data/897448/000095017022002401/amrn-ex10_35.htm" TargetMode="External"/><Relationship Id="rId154" Type="http://schemas.openxmlformats.org/officeDocument/2006/relationships/hyperlink" Target="https://www.sec.gov/Archives/edgar/data/897448/000095017022002401/amrn-ex10_36.htm" TargetMode="External"/><Relationship Id="rId155" Type="http://schemas.openxmlformats.org/officeDocument/2006/relationships/hyperlink" Target="https://www.sec.gov/Archives/edgar/data/897448/000095017022002401/amrn-ex10_37.htm" TargetMode="External"/><Relationship Id="rId156" Type="http://schemas.openxmlformats.org/officeDocument/2006/relationships/hyperlink" Target="https://www.sec.gov/Archives/edgar/data/897448/000119312515178199/d911115dex101.htm" TargetMode="External"/><Relationship Id="rId157" Type="http://schemas.openxmlformats.org/officeDocument/2006/relationships/hyperlink" Target="https://www.sec.gov/Archives/edgar/data/0000897448/000156459018003389/amrn-ex1067_469.htm" TargetMode="External"/><Relationship Id="rId158" Type="http://schemas.openxmlformats.org/officeDocument/2006/relationships/hyperlink" Target="https://www.sec.gov/Archives/edgar/data/0000897448/000156459018003389/amrn-ex1068_470.htm" TargetMode="External"/><Relationship Id="rId160" Type="http://schemas.openxmlformats.org/officeDocument/2006/relationships/hyperlink" Target="https://www.sec.gov/Archives/edgar/data/0000897448/000156459019004655/amrn-ex1069_187.htm" TargetMode="External"/><Relationship Id="rId161" Type="http://schemas.openxmlformats.org/officeDocument/2006/relationships/hyperlink" Target="https://www.sec.gov/Archives/edgar/data/897448/000095017022002401/amrn-ex10_54.htm" TargetMode="External"/><Relationship Id="rId162" Type="http://schemas.openxmlformats.org/officeDocument/2006/relationships/hyperlink" Target="https://www.sec.gov/Archives/edgar/data/897448/000095017023005336/amrn-ex10_44.htm" TargetMode="External"/><Relationship Id="rId163" Type="http://schemas.openxmlformats.org/officeDocument/2006/relationships/hyperlink" Target="https://www.sec.gov/Archives/edgar/data/897448/000095017023005336/amrn-ex10_45.htm" TargetMode="External"/><Relationship Id="rId164" Type="http://schemas.openxmlformats.org/officeDocument/2006/relationships/hyperlink" Target="https://www.sec.gov/Archives/edgar/data/897448/000095017023005336/amrn-ex10_46.htm" TargetMode="External"/><Relationship Id="rId165" Type="http://schemas.openxmlformats.org/officeDocument/2006/relationships/hyperlink" Target="https://www.sec.gov/Archives/edgar/data/897448/000095017023005336/amrn-ex10_47.htm" TargetMode="External"/><Relationship Id="rId166" Type="http://schemas.openxmlformats.org/officeDocument/2006/relationships/hyperlink" Target="https://www.sec.gov/Archives/edgar/data/897448/000095017023036771/amrn-ex10_1.htm" TargetMode="External"/><Relationship Id="rId167" Type="http://schemas.openxmlformats.org/officeDocument/2006/relationships/hyperlink" Target="https://www.sec.gov/Archives/edgar/data/897448/000119312523190185/d530487dex101.htm" TargetMode="External"/><Relationship Id="rId168" Type="http://schemas.openxmlformats.org/officeDocument/2006/relationships/hyperlink" Target="https://www.sec.gov/Archives/edgar/data/897448/000119312523192541/d500258dex102.htm" TargetMode="External"/><Relationship Id="rId169" Type="http://schemas.openxmlformats.org/officeDocument/2006/relationships/hyperlink" Target="https://www.sec.gov/ix?doc=/Archives/edgar/data/0000897448/000095017024087391/amrn-20240725.htm" TargetMode="External"/><Relationship Id="rId170" Type="http://schemas.openxmlformats.org/officeDocument/2006/relationships/hyperlink" Target="https://www.sec.gov/ix?doc=/Archives/edgar/data/0000897448/000095017024118990/amrn-2024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2025-03-12T06:16:00Z</dcterms:created>
  <dcterms:modified xsi:type="dcterms:W3CDTF">2025-03-12T06:16:00Z</dcterms:modified>
</cp:coreProperties>
</file>