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820" w:right="1600" w:hanging="3812"/>
        <w:spacing w:after="0" w:line="262" w:lineRule="auto"/>
        <w:tabs>
          <w:tab w:leader="none" w:pos="45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7"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3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8th Floor, One Central Plaza,</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w w:val="99"/>
              </w:rPr>
              <w:t>Dublin 2, Co. Dublin,</w:t>
            </w:r>
          </w:p>
        </w:tc>
      </w:tr>
      <w:tr>
        <w:trPr>
          <w:trHeight w:val="214"/>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Dame Street</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w w:val="98"/>
              </w:rPr>
              <w:t>D02 K7K5, Ireland</w:t>
            </w:r>
          </w:p>
        </w:tc>
      </w:tr>
      <w:tr>
        <w:trPr>
          <w:trHeight w:val="190"/>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2"/>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twenty (20) Ordinary Shares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414,140,237 Ordinary Shares, 50 pence par value per share, were outstanding as of April 30, 2025, including 20,269,174 Ordinary Shares held as American Depositary Shares (ADSs), each representing 20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20" w:type="dxa"/>
            <w:vAlign w:val="bottom"/>
          </w:tcPr>
          <w:p>
            <w:pPr>
              <w:spacing w:after="0"/>
              <w:rPr>
                <w:sz w:val="24"/>
                <w:szCs w:val="24"/>
                <w:color w:val="auto"/>
              </w:rPr>
            </w:pPr>
          </w:p>
        </w:tc>
      </w:tr>
      <w:tr>
        <w:trPr>
          <w:trHeight w:val="34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three months ended March 31, 2025 and</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130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318"/>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00" w:type="dxa"/>
            <w:vAlign w:val="bottom"/>
            <w:tcBorders>
              <w:top w:val="single" w:sz="8" w:color="0000FF"/>
            </w:tcBorders>
            <w:gridSpan w:val="4"/>
          </w:tcPr>
          <w:p>
            <w:pPr>
              <w:spacing w:after="0"/>
              <w:rPr>
                <w:sz w:val="24"/>
                <w:szCs w:val="24"/>
                <w:color w:val="auto"/>
              </w:rPr>
            </w:pPr>
          </w:p>
        </w:tc>
        <w:tc>
          <w:tcPr>
            <w:tcW w:w="33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669"/>
        </w:trPr>
        <w:tc>
          <w:tcPr>
            <w:tcW w:w="1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573,061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inventory</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655,677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45,661</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181,990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199,173</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£0.50 par value per share, unlimited authorized; 426,842,579 shares issued,</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414,365,189 shares outstanding as of March 31, 2025; 422,256,900 shares issued,</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411,584,851 shares outstanding as of December 31, 2024</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305,298</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1,916,223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1,914,750</w:t>
            </w: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12,477,390 shares as of March 31, 2025; 10,672,049 shares as of December 31,</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(66,445)</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(65,326)</w:t>
            </w: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(1,684,243)</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(1,668,546)</w:t>
            </w: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473,687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655,677</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-3685540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 net</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(13,630)</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9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210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9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9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5556250</wp:posOffset>
            </wp:positionH>
            <wp:positionV relativeFrom="paragraph">
              <wp:posOffset>-2262505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-2262505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-1854835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-1854835</wp:posOffset>
            </wp:positionV>
            <wp:extent cx="10287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-847725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-831215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-847725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-831215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0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422,256,900</w:t>
            </w:r>
          </w:p>
        </w:tc>
        <w:tc>
          <w:tcPr>
            <w:tcW w:w="1580" w:type="dxa"/>
            <w:vAlign w:val="bottom"/>
            <w:tcBorders>
              <w:right w:val="single" w:sz="8" w:color="CFF0FC"/>
            </w:tcBorders>
            <w:gridSpan w:val="3"/>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(10,672,049)</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305,298</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1,914,750</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(65,326)</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(1,668,546)</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486,176</w:t>
            </w:r>
          </w:p>
        </w:tc>
        <w:tc>
          <w:tcPr>
            <w:tcW w:w="100" w:type="dxa"/>
            <w:vAlign w:val="bottom"/>
            <w:shd w:val="clear" w:color="auto" w:fill="CFF0FC"/>
          </w:tcPr>
          <w:p>
            <w:pPr>
              <w:spacing w:after="0"/>
              <w:rPr>
                <w:sz w:val="12"/>
                <w:szCs w:val="12"/>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4,585,679</w:t>
            </w:r>
          </w:p>
        </w:tc>
        <w:tc>
          <w:tcPr>
            <w:tcW w:w="15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(1,805,341)</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w:t>
            </w: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tcBorders>
              <w:right w:val="single" w:sz="8" w:color="CFF0FC"/>
            </w:tcBorders>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FF0FC"/>
          </w:tcPr>
          <w:p>
            <w:pPr>
              <w:spacing w:after="0"/>
              <w:rPr>
                <w:sz w:val="12"/>
                <w:szCs w:val="12"/>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(15,697)</w:t>
            </w: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426,842,579</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(12,477,390)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308,152</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1,916,223</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(66,445)</w:t>
            </w: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(1,684,243)</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473,687</w:t>
            </w:r>
          </w:p>
        </w:tc>
        <w:tc>
          <w:tcPr>
            <w:tcW w:w="100" w:type="dxa"/>
            <w:vAlign w:val="bottom"/>
            <w:shd w:val="clear" w:color="auto" w:fill="CFF0FC"/>
          </w:tcPr>
          <w:p>
            <w:pPr>
              <w:spacing w:after="0"/>
              <w:rPr>
                <w:sz w:val="15"/>
                <w:szCs w:val="15"/>
                <w:color w:val="auto"/>
              </w:rPr>
            </w:pPr>
          </w:p>
        </w:tc>
      </w:tr>
      <w:tr>
        <w:trPr>
          <w:trHeight w:val="328"/>
        </w:trPr>
        <w:tc>
          <w:tcPr>
            <w:tcW w:w="284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418,141,295</w:t>
            </w:r>
          </w:p>
        </w:tc>
        <w:tc>
          <w:tcPr>
            <w:tcW w:w="1580" w:type="dxa"/>
            <w:vAlign w:val="bottom"/>
            <w:tcBorders>
              <w:right w:val="single" w:sz="8" w:color="CFF0FC"/>
            </w:tcBorders>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(9,317,202)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302,756</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1,899,456</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right w:val="single" w:sz="8" w:color="CFF0FC"/>
            </w:tcBorders>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(63,752)</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right w:val="single" w:sz="8" w:color="CFF0FC"/>
            </w:tcBorders>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(1,586,363)</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3,119,637</w:t>
            </w:r>
          </w:p>
        </w:tc>
        <w:tc>
          <w:tcPr>
            <w:tcW w:w="1580" w:type="dxa"/>
            <w:vAlign w:val="bottom"/>
            <w:tcBorders>
              <w:right w:val="single" w:sz="8" w:color="CFF0FC"/>
            </w:tcBorders>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(1,217,450)</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(1,436)</w:t>
            </w: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2"/>
                <w:szCs w:val="12"/>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(9,953)</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(10,534,652)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304,742</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1,902,698</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(65,188)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(1,596,316)</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-1053465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-1036320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-1053465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-1036320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-1053465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-1036320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-1053465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-1036320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-1053465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-1036320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-1053465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-1036320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-128270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-128270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-128270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(15,697)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(17,541)</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(34,896)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(12,459)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(42,936)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(33,281)</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191"/>
        </w:trPr>
        <w:tc>
          <w:tcPr>
            <w:tcW w:w="66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NET (DECREASE) INCREASE IN CASH AND CASH EQUIVALENTS AND</w:t>
            </w:r>
          </w:p>
        </w:tc>
        <w:tc>
          <w:tcPr>
            <w:tcW w:w="3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(1,514)</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3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119,824</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-2588260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-2588260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-2022475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-2022475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-1456690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-1456690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-908050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-908050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-325120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-307975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-325120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is also commercialized in various European countries, including the United Kingdom, or the UK, and Spain, under the brand name VAZKEPA, hereinafter along with VASCEPA, collectively referred to as VASCEPA. The Company’s operations outside of the U.S. and Europe are in varying stages of development and commercialization with reliance on third-party commercial partners in select geographies, including China, Australia and Canada.</w:t>
      </w:r>
    </w:p>
    <w:p>
      <w:pPr>
        <w:spacing w:after="0" w:line="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icosapent ethyl have obtained U.S. FDA approval with labeling consistent with the MARINE indication of VASCEPA and have entered the U.S. market: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June 1, 2023, the Company announced the National Medical Products Administration, or NMPA, granted approval for VASCEPA under the MARINE indication and the Company's partner, Eddingpharm (Asia) Macao Commercial Offshore Limited, or Edding, launched commercially in October 2023. On June 28, 2024, the Company's partner in China received NMPA approval for VASCEPA in Mainland China for the REDUCE-IT indication. On February 23, 2022, the Hong Kong Department of Health concluded their evaluation and approved the use of VASCEPA under the REDUCE-IT indication.</w:t>
      </w:r>
    </w:p>
    <w:p>
      <w:pPr>
        <w:spacing w:after="0" w:line="7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the U.S., and Europe, as well as in countries where the drug is promoted and sold via collaboration with third-party partners that compensate Amarin for such</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supply. Amarin is not responsible for providing any generic company with drug product. The Company operates in one business segment.</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the fiscal year ended December 31, 2024,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2025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Effective as of April 11, 2025, the Company implemented an adjustment to the ratio of its American Depository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were to receive a cash payment in lieu of such fractional ADSs. The rate for the cash payment was to be set when the depositary bank aggregated the fractional ADSs and sold them in one or more market trades. All references to ADSs in the accompanying financial statements and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were proportionately adjusted.</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total assets of $655.7 million, of which $281.8 million consisted of cash and short-term investments. More specifically, the Company had current assets of $573.1 million, including cash and cash equivalents of $119.5 million, short-term investments of $162.3 million, accounts receivable, net, of $106.7 million and current inventory of $159.5 million. In addition, as of March 31, 2025, the Company had long-term inventory of $57.4 million. As of March 31, 2025, the Company had no debt outstanding.</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118,677</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133,072</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(10,517)</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r>
      <w:tr>
        <w:trPr>
          <w:trHeight w:val="20"/>
        </w:trPr>
        <w:tc>
          <w:tcPr>
            <w:tcW w:w="5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122,279</w:t>
            </w: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Ordinary Shares from employees are classified as cash flows from financing activities.</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 w:name="page10"/>
    <w:bookmarkEnd w:id="9"/>
    <w:p>
      <w:pPr>
        <w:ind w:right="20"/>
        <w:spacing w:after="0" w:line="282" w:lineRule="auto"/>
        <w:rPr>
          <w:sz w:val="20"/>
          <w:szCs w:val="20"/>
          <w:color w:val="auto"/>
        </w:rPr>
      </w:pPr>
      <w:r>
        <w:rPr>
          <w:rFonts w:ascii="Times New Roman" w:cs="Times New Roman" w:eastAsia="Times New Roman" w:hAnsi="Times New Roman"/>
          <w:sz w:val="18"/>
          <w:szCs w:val="18"/>
          <w:color w:val="auto"/>
        </w:rPr>
        <w:t>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number of Ordinary Shares outstanding during the period. Diluted net loss per share is determined by dividing net loss by diluted weighted average number of Ordinary Shares outstanding. Diluted weighted average shares reflects the dilutive effect, if any, of potentially dilutive Ordinary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Ordinary Shares and ADSs used to compute basic and diluted net loss per Ordinary Share and ADS for the three months ended March 31, 2025 and 2024 are as follows: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 and diluted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Ordinary Share—basic and diluted</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ADS outstanding—basic and diluted</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per ADS—basic and diluted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following potentially dilutive securities were not included in the computation of net loss per share because the effect would be anti-dilutive or because performance criteria were not yet met for awards contingent upon such measures: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Ordinary Shares</w:t>
            </w:r>
          </w:p>
        </w:tc>
        <w:tc>
          <w:tcPr>
            <w:tcW w:w="39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180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30,373</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securities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33%, 29%, and 29%, respectively, of gross product sales for the three months ended March 31, 2025, and represented 36%, 23%, and 21%, respectively, of the gross accounts receivable balance as of March 31, 2025. Customers A, B, and C accounted for 28%, 35%, and 29%, respectively, of gross product sales for the three months ended March 31, 2024 and represented 37%, 31%, and 22%, respectively, of the gross accounts receivable balance as of March 31, 2024.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560"/>
        <w:spacing w:after="0" w:line="282" w:lineRule="auto"/>
        <w:rPr>
          <w:sz w:val="20"/>
          <w:szCs w:val="20"/>
          <w:color w:val="auto"/>
        </w:rPr>
      </w:pPr>
      <w:r>
        <w:rPr>
          <w:rFonts w:ascii="Times New Roman" w:cs="Times New Roman" w:eastAsia="Times New Roman" w:hAnsi="Times New Roman"/>
          <w:sz w:val="18"/>
          <w:szCs w:val="18"/>
          <w:color w:val="auto"/>
        </w:rPr>
        <w:t>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March 31, 2025 and December 31, 2024, and indicate the fair value hierarchy of the valuation techniques the Company utilized to determine such fair value: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3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162,337</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162,337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82,132</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82,132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249,469</w:t>
            </w:r>
          </w:p>
        </w:tc>
        <w:tc>
          <w:tcPr>
            <w:tcW w:w="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244,469</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260" w:type="dxa"/>
            <w:vAlign w:val="bottom"/>
          </w:tcPr>
          <w:p>
            <w:pPr>
              <w:spacing w:after="0"/>
              <w:rPr>
                <w:sz w:val="18"/>
                <w:szCs w:val="18"/>
                <w:color w:val="auto"/>
              </w:rPr>
            </w:pPr>
          </w:p>
        </w:tc>
        <w:tc>
          <w:tcPr>
            <w:tcW w:w="280" w:type="dxa"/>
            <w:vAlign w:val="bottom"/>
          </w:tcPr>
          <w:p>
            <w:pPr>
              <w:jc w:val="right"/>
              <w:ind w:right="15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12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242,178</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-1087755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-1071245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-1087755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-1071245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-1087755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-1071245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2"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2025 and 2024 was a gain of $0.1 million and a loss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of less than $0.1 million, respectively. Interest on investments is reported in interest income in our condensed consolidated statement of operations. Interest receivable in investment securities is reported in prepaid and other current assets in our condensed consolidated balance sheet.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The Company currently operates in two business segments, U.S. and Europe, which are aggregated into a single reportable segment, for the development and commercialization of VASCEPA. A single management team that reports to the Company’s CODM, who is the Chief Executive Officer, comprehensively manages the business on an integrated basis for the purpose of allocating resources. The Company’s CODM does not currently assess segment performance or allocate resources based on a measure of total assets nor is it practical for the Company to disaggregate assets based on geography. Accordingly, a total asset measure has not been provided for segment disclosure. Accordingly, the Company does not have separately reportable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5"/>
                <w:szCs w:val="15"/>
                <w:color w:val="auto"/>
              </w:rPr>
            </w:pPr>
          </w:p>
        </w:tc>
        <w:tc>
          <w:tcPr>
            <w:tcW w:w="452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9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product revenue, net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RoW product revenue, net</w:t>
            </w:r>
          </w:p>
        </w:tc>
        <w:tc>
          <w:tcPr>
            <w:tcW w:w="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5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3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 net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tcPr>
          <w:p>
            <w:pPr>
              <w:spacing w:after="0"/>
              <w:rPr>
                <w:sz w:val="18"/>
                <w:szCs w:val="18"/>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(16,755)</w:t>
            </w:r>
          </w:p>
        </w:tc>
        <w:tc>
          <w:tcPr>
            <w:tcW w:w="5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(13,583)</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5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(13,630)</w:t>
            </w:r>
          </w:p>
        </w:tc>
        <w:tc>
          <w:tcPr>
            <w:tcW w:w="5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(8,655)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18"/>
                <w:szCs w:val="18"/>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(2,067)</w:t>
            </w:r>
          </w:p>
        </w:tc>
        <w:tc>
          <w:tcPr>
            <w:tcW w:w="5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&amp; consolidated net loss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(15,697)</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-2562225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-2279650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-1996440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-873760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2"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which provides more transparency about income tax information through improvements to income tax disclosures primarily related to the</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400"/>
        <w:spacing w:after="0" w:line="282" w:lineRule="auto"/>
        <w:rPr>
          <w:sz w:val="20"/>
          <w:szCs w:val="20"/>
          <w:color w:val="auto"/>
        </w:rPr>
      </w:pPr>
      <w:r>
        <w:rPr>
          <w:rFonts w:ascii="Times New Roman" w:cs="Times New Roman" w:eastAsia="Times New Roman" w:hAnsi="Times New Roman"/>
          <w:sz w:val="18"/>
          <w:szCs w:val="18"/>
          <w:color w:val="auto"/>
        </w:rPr>
        <w:t>rate reconciliation and income taxes paid information. This change is effective for annual periods beginning after December 15, 2024. The Company expects adoption of this ASU will result in additional disclosures in line with the requirements of ASU 2023-09.</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requires a public business entity to disclose specific information about certain costs and expenses in the notes to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interim and annual reporting periods beginning after December 15, 2026. The Company is currently evaluating the impact that the adoption of ASU 2024-03 will have on the Company’s consolidated financial statements.</w:t>
      </w:r>
    </w:p>
    <w:p>
      <w:pPr>
        <w:spacing w:after="0" w:line="7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March 31, 2025, the intangible assets have an estimated weighted-average remaining useful life of 5.9 years. The carrying value as of March 31, 2025 and December 31, 2024 is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(16,799)</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8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March 31, 2025 and December 31, 2024 consist of the following:</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1360" w:right="1300" w:hanging="4"/>
        <w:spacing w:after="0" w:line="266" w:lineRule="auto"/>
        <w:tabs>
          <w:tab w:leader="none" w:pos="1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three months ended March 31, 2024, approximately $1.5 million of inventory were expensed through cost of goods sold for product dating inventory.</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$57.4 million and $64.7 million of long-term inventory, respectively, as consumption is expected beyond the Company's operating cycle of 12 months.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13" w:name="page14"/>
    <w:bookmarkEnd w:id="13"/>
    <w:p>
      <w:pPr>
        <w:ind w:right="240"/>
        <w:spacing w:after="0" w:line="266"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April 27, 2021 and February 21, 2023, Dr. Reddy’s and Hikma, respectively, filed complaints against the Company in the U.S. District Court for the District of New Jersey, Civil action No. 21-cv-10309 and No. 23-cv-01016, alleging various antitrust violations stemming from alleged anticompetitive practices related to the supply of active pharmaceutical ingredient of VASCEPA. DRL's complaint also includes a state law tortious interference claim related to the same alleged conduct. On March 28, 2024, Teva Pharmaceuticals USA, Inc., or Teva, filed a complaint against the Company in the U.S. District Court for the District of New Jersey, Civil action No. 24-cv-04341 alleging various antitrust violations analogous to those made by Dr. Reddy’s and Hikma. Further, on June 14, 2024, Apotex, Inc., or Apotex, filed a complaint against the Company in the U.S. District Court for the District of New Jersey. Civil action No. 24-cv-07041 alleging various antitrust violations analogous to those made by Dr. Reddy’s, Hikma and Teva, as well as a breach of contract claim related to the same alleged conduct. Apotex also seeks declaratory judgement regarding the applicability of a 2020 settlement agreement to its antitrust claims. In October 2024, Apotex amended its complaint to add as defendants KD Pharma-Bexbach GmbH; KD Swiss GmbH; Marine Ingredients, LLC; Innova Softgel, LLC; 03 Holding GmbH; Capiton AG. Relief sought include an unspecified amount of damages for alleged economic harm to each of Dr. Reddy’s, Hikma, Teva and Apotex,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federal antitrust laws by monopolizing and engaging in a conspiracy to restrain trade in the icosapent ethyl drug and API markets. The Indirect Purchaser Plaintiffs also assert related state antitrust, consumer protection, and unjust enrichment claims. The Indirect Purchaser Plaintiffs seek relief in the form of an unspecified amount of compensatory damages, treble damages, other costs and fees, restitution, and declaratory and injunctive relief against the alleged violative activities. The Direct Purchaser plaintiffs seek treble damages and other costs and fees.</w:t>
      </w:r>
    </w:p>
    <w:p>
      <w:pPr>
        <w:sectPr>
          <w:pgSz w:w="11900" w:h="16838" w:orient="portrait"/>
          <w:cols w:equalWidth="0" w:num="1">
            <w:col w:w="11240"/>
          </w:cols>
          <w:pgMar w:left="320" w:top="1093" w:right="339" w:bottom="1440" w:gutter="0" w:footer="0" w:header="0"/>
        </w:sectPr>
      </w:pPr>
    </w:p>
    <w:p>
      <w:pPr>
        <w:spacing w:after="0" w:line="7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Uniformed Fire Officers Association Family Protection Plan Local 854</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Uniformed Fire Officers Association for Retired Fire Officers Family Protection Plan The International Union of Operating Engineers Locals 137, 137A, 137B, 137C, 137R KPH Healthcare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120" w:type="dxa"/>
            <w:vAlign w:val="bottom"/>
          </w:tcPr>
          <w:p>
            <w:pPr>
              <w:spacing w:after="0"/>
              <w:rPr>
                <w:sz w:val="15"/>
                <w:szCs w:val="15"/>
                <w:color w:val="auto"/>
              </w:rPr>
            </w:pP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31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21-12061</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30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21-12416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6/11/2021</w:t>
            </w: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21-12747</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6/18/2021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21-13009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6/25/2021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21-13406</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7/7/2021</w:t>
            </w:r>
          </w:p>
        </w:tc>
      </w:tr>
      <w:tr>
        <w:trPr>
          <w:trHeight w:val="32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21-14639</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8/5/2021</w:t>
            </w:r>
          </w:p>
        </w:tc>
      </w:tr>
    </w:tbl>
    <w:p>
      <w:pPr>
        <w:spacing w:after="0" w:line="197" w:lineRule="exact"/>
        <w:rPr>
          <w:sz w:val="20"/>
          <w:szCs w:val="20"/>
          <w:color w:val="auto"/>
        </w:rPr>
      </w:pPr>
    </w:p>
    <w:p>
      <w:pPr>
        <w:sectPr>
          <w:pgSz w:w="11900" w:h="16838" w:orient="portrait"/>
          <w:cols w:equalWidth="0" w:num="2">
            <w:col w:w="6240" w:space="300"/>
            <w:col w:w="4700"/>
          </w:cols>
          <w:pgMar w:left="320" w:top="1093" w:right="339" w:bottom="1440" w:gutter="0" w:footer="0" w:header="0"/>
          <w:type w:val="continuous"/>
        </w:sect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believes it has valid defenses and will vigorously defend against the claims, but cannot predict when these matters will be resolved, their outcome or their potential loss exposure or impact on the Company’s business. If it is determined that Amarin has violated antitrust law, the Company could be subject to significant civil fines and penalties.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2020, the Company received a civil investigative demand, or CID, from the U.S. Department of Justice, or the DOJ, informing Amarin that the DOJ is investigating whether aspects of its promotional speaker programs and copayment waiver program during the period going back to January 1, 2015, violated the U.S. Anti-Kickback Statute and the U.S. Civil False Claims Act, in relation to the sale and marketing of VASCEPA by the Company and its previous co-marketing partner, Kowa Pharmaceuticals America, Inc.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7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On October 21, 2021, a purported investor in the Company’s publicly traded securities filed a putative class action lawsuit against the Company, the former chief executive officer and the former chief financial officer in the U.S. District Court for the District of New Jersey, </w:t>
      </w:r>
      <w:r>
        <w:rPr>
          <w:rFonts w:ascii="Times New Roman" w:cs="Times New Roman" w:eastAsia="Times New Roman" w:hAnsi="Times New Roman"/>
          <w:sz w:val="18"/>
          <w:szCs w:val="18"/>
          <w:i w:val="1"/>
          <w:iCs w:val="1"/>
          <w:color w:val="auto"/>
        </w:rPr>
        <w:t>Vincent Dang v. Amarin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plc, John F. Thero and Michael W. Kalb</w:t>
      </w:r>
      <w:r>
        <w:rPr>
          <w:rFonts w:ascii="Times New Roman" w:cs="Times New Roman" w:eastAsia="Times New Roman" w:hAnsi="Times New Roman"/>
          <w:sz w:val="18"/>
          <w:szCs w:val="18"/>
          <w:color w:val="auto"/>
        </w:rPr>
        <w:t>, No. 1:21-cv-19212 (D.N.J. Oct. 21, 2021). A subsequent case,</w:t>
      </w:r>
      <w:r>
        <w:rPr>
          <w:rFonts w:ascii="Times New Roman" w:cs="Times New Roman" w:eastAsia="Times New Roman" w:hAnsi="Times New Roman"/>
          <w:sz w:val="18"/>
          <w:szCs w:val="18"/>
          <w:i w:val="1"/>
          <w:iCs w:val="1"/>
          <w:color w:val="auto"/>
        </w:rPr>
        <w:t xml:space="preserve"> Dorfman v. Amarin Corporation plc, et al.</w:t>
      </w:r>
      <w:r>
        <w:rPr>
          <w:rFonts w:ascii="Times New Roman" w:cs="Times New Roman" w:eastAsia="Times New Roman" w:hAnsi="Times New Roman"/>
          <w:sz w:val="18"/>
          <w:szCs w:val="18"/>
          <w:color w:val="auto"/>
        </w:rPr>
        <w:t>, No.</w:t>
      </w:r>
    </w:p>
    <w:p>
      <w:pPr>
        <w:spacing w:after="0" w:line="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patent litigation related to its Abbreviated New Drug Application, or ANDA, that sought U.S. FDA approval for the sale of generic versions of icosapent ethyl,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color w:val="auto"/>
        </w:rPr>
        <w:t>ANDA litigation, and the risk that certain of the Company’s patents related to the MARINE indication would be invalidated. Based on these allegations, plaintiffs allege that they purchased securities at an inflated share price and brought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on September 25, 2024, the New Jersey District Court granted the Company’s motion to dismiss for all counts, without prejudice, permitting the Plaintiffs 30 days to amend and refile their lawsuit. On October 24, 2024, the court subsequently granted the Plaintiffs request for an additional 30 days to amend and refile the complaint. On November 6, 2024, the Plaintiffs advised the court that they would not refile their complaint, closing the case.</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United States seeking review of the Federal Circuit decision reversing the district court. The infringement case continues to proceed within the district court during the pendency of the Petition.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 additional costs to the Company. As of the date of filing of this Quarterly Report, the Company has a total of approximately $61.2 million in future contractual purchase obligations without consideration to ongoing discussions with other suppliers. In addition, the Company has total obligations of $152.8 million contingent on either certain suppliers obtaining regulatory approval in Europe or obtaining pricing reimbursement in certain European countries.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sole option of each such former shareholder) of £5.0 million (approximately $6.5 million as of March 31, 2025) for the potential market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since the amounts are either not paid or payable as of March 31, 2025.</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ADSs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12, 2025, the Company announced its intent to effect the ADS Ratio Change on its ADSs from one ADS representing one Ordinary Share, to the new ratio of one ADS representing 20 Ordinary Shares. The effective date of the ADS Ratio Change was April 11, 2025.</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except as described above, the Company did not engage in any transactions involving its Ordinary Shares.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discussions of Ordinary Shares issued as a result of stock option exercises and vesting of restricted stock units, or RSUs.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RSUs outstanding under the Amarin Corporation plc 2020 Stock Incentive Plan, or the 2020 Plan, as of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gridSpan w:val="2"/>
          </w:tcPr>
          <w:p>
            <w:pPr>
              <w:spacing w:after="0"/>
              <w:rPr>
                <w:sz w:val="15"/>
                <w:szCs w:val="15"/>
                <w:color w:val="auto"/>
              </w:rPr>
            </w:pPr>
          </w:p>
        </w:tc>
      </w:tr>
      <w:tr>
        <w:trPr>
          <w:trHeight w:val="21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30,373,266</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3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19,716,149</w:t>
            </w:r>
          </w:p>
        </w:tc>
        <w:tc>
          <w:tcPr>
            <w:tcW w:w="100" w:type="dxa"/>
            <w:vAlign w:val="bottom"/>
            <w:shd w:val="clear" w:color="auto" w:fill="CFF0FC"/>
          </w:tcPr>
          <w:p>
            <w:pPr>
              <w:spacing w:after="0"/>
              <w:rPr>
                <w:sz w:val="18"/>
                <w:szCs w:val="18"/>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three months ended March 31, 2025 and 2024:</w:t>
            </w:r>
          </w:p>
        </w:tc>
      </w:tr>
      <w:tr>
        <w:trPr>
          <w:trHeight w:val="432"/>
        </w:trPr>
        <w:tc>
          <w:tcPr>
            <w:tcW w:w="58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4"/>
                <w:szCs w:val="24"/>
                <w:color w:val="auto"/>
              </w:rPr>
            </w:pPr>
          </w:p>
        </w:tc>
      </w:tr>
      <w:tr>
        <w:trPr>
          <w:trHeight w:val="209"/>
        </w:trPr>
        <w:tc>
          <w:tcPr>
            <w:tcW w:w="7360" w:type="dxa"/>
            <w:vAlign w:val="bottom"/>
            <w:gridSpan w:val="2"/>
          </w:tcPr>
          <w:p>
            <w:pPr>
              <w:ind w:left="69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72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0</wp:posOffset>
            </wp:positionV>
            <wp:extent cx="1551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Ordinary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900"/>
        <w:spacing w:after="0" w:line="249" w:lineRule="auto"/>
        <w:rPr>
          <w:sz w:val="20"/>
          <w:szCs w:val="20"/>
          <w:color w:val="auto"/>
        </w:rPr>
      </w:pPr>
      <w:r>
        <w:rPr>
          <w:rFonts w:ascii="Times New Roman" w:cs="Times New Roman" w:eastAsia="Times New Roman" w:hAnsi="Times New Roman"/>
          <w:sz w:val="18"/>
          <w:szCs w:val="18"/>
          <w:color w:val="auto"/>
        </w:rPr>
        <w:t>Gross and net proceeds from stock option exercises $ Ordinary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300"/>
        <w:spacing w:after="0" w:line="231" w:lineRule="auto"/>
        <w:rPr>
          <w:sz w:val="20"/>
          <w:szCs w:val="20"/>
          <w:color w:val="auto"/>
        </w:rPr>
      </w:pPr>
      <w:r>
        <w:rPr>
          <w:rFonts w:ascii="Times New Roman" w:cs="Times New Roman" w:eastAsia="Times New Roman" w:hAnsi="Times New Roman"/>
          <w:sz w:val="18"/>
          <w:szCs w:val="18"/>
          <w:color w:val="auto"/>
        </w:rPr>
        <w:t xml:space="preserve">Ordinary 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Ordinary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Ordinary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9,500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4,328,179</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2,651,407</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1,687,443</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990,070</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257,500</w:t>
            </w:r>
          </w:p>
        </w:tc>
        <w:tc>
          <w:tcPr>
            <w:tcW w:w="9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468,230</w:t>
            </w:r>
          </w:p>
        </w:tc>
      </w:tr>
      <w:tr>
        <w:trPr>
          <w:trHeight w:val="32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117,898</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227,380</w:t>
            </w:r>
          </w:p>
        </w:tc>
      </w:tr>
    </w:tbl>
    <w:p>
      <w:pPr>
        <w:spacing w:after="0" w:line="197" w:lineRule="exact"/>
        <w:rPr>
          <w:sz w:val="20"/>
          <w:szCs w:val="20"/>
          <w:color w:val="auto"/>
        </w:rPr>
      </w:pPr>
    </w:p>
    <w:p>
      <w:pPr>
        <w:sectPr>
          <w:pgSz w:w="11900" w:h="16838" w:orient="portrait"/>
          <w:cols w:equalWidth="0" w:num="2">
            <w:col w:w="6840" w:space="720"/>
            <w:col w:w="3680"/>
          </w:cols>
          <w:pgMar w:left="320" w:top="1093" w:right="33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a total of 10,646,844 RSUs and 3,313,059 stock options to employees under the 2020 Plan. The RSUs and stock options vest 50% on both January 1, 2026 and July 1, 2026, respectively.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a total of 6,800,500 RSUs and 2,662,000 stock options to employees under the 2020 Plan. The RSUs vest annually over a three-year period and the stock options vest quarterly over a four-year period with a one-year cliff vesting.</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and in certain instances upon shipment. Payments from distributors are generally</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6" w:name="page17"/>
    <w:bookmarkEnd w:id="16"/>
    <w:p>
      <w:pPr>
        <w:ind w:right="200"/>
        <w:spacing w:after="0" w:line="261" w:lineRule="auto"/>
        <w:rPr>
          <w:sz w:val="20"/>
          <w:szCs w:val="20"/>
          <w:color w:val="auto"/>
        </w:rPr>
      </w:pPr>
      <w:r>
        <w:rPr>
          <w:rFonts w:ascii="Times New Roman" w:cs="Times New Roman" w:eastAsia="Times New Roman" w:hAnsi="Times New Roman"/>
          <w:sz w:val="18"/>
          <w:szCs w:val="18"/>
          <w:color w:val="auto"/>
        </w:rPr>
        <w:t>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7" w:lineRule="exact"/>
        <w:rPr>
          <w:sz w:val="20"/>
          <w:szCs w:val="20"/>
          <w:color w:val="auto"/>
        </w:rPr>
      </w:pPr>
    </w:p>
    <w:p>
      <w:pPr>
        <w:ind w:left="520"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We have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8" w:lineRule="exact"/>
        <w:rPr>
          <w:sz w:val="20"/>
          <w:szCs w:val="20"/>
          <w:color w:val="auto"/>
        </w:rPr>
      </w:pPr>
    </w:p>
    <w:p>
      <w:pPr>
        <w:ind w:left="520"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left="520" w:right="260"/>
        <w:spacing w:after="0" w:line="282" w:lineRule="auto"/>
        <w:rPr>
          <w:sz w:val="20"/>
          <w:szCs w:val="20"/>
          <w:color w:val="auto"/>
        </w:rPr>
      </w:pPr>
      <w:r>
        <w:rPr>
          <w:rFonts w:ascii="Times New Roman" w:cs="Times New Roman" w:eastAsia="Times New Roman" w:hAnsi="Times New Roman"/>
          <w:sz w:val="18"/>
          <w:szCs w:val="18"/>
          <w:color w:val="auto"/>
        </w:rPr>
        <w:t>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52"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9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9,433</w:t>
            </w: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97,526</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(88,769)</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(9,082)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(93,205)</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10,517</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79,980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24"/>
                <w:szCs w:val="24"/>
                <w:color w:val="auto"/>
              </w:rPr>
            </w:pPr>
          </w:p>
        </w:tc>
        <w:tc>
          <w:tcPr>
            <w:tcW w:w="9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(5,589)</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(36,485)</w:t>
            </w: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(51,460)</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-1456690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-1456690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-1456690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-1456690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February 2025 and January 2024,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50"/>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during the three months ended March 31, 2025 (1)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 recognized during the three months ended March 31, 2024 (1)</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both March 31, 2025 and December 31, 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1020" w:right="5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under the DCS Agreement is recognized concurrent with the input measure of support hours provided by Amarin to Edding in achieving the combined development and regulatory performance obligation, which in the Company’s judgment is the best measure of progress towards satisfying this performance obligation.</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$3.4 million for the three months ended March 31, 2025 and 2024, respectively, related to sales to Edding.</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recognized less than $0.1 million of net product revenue for the three months ended March 31, 2025 and nil for the three months ended March 31, 2024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49"/>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2023.</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$1.9 million for the three months ended March 31, 2025 and 2024, respectively, related to sales to HLS.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1" w:name="page22"/>
    <w:bookmarkEnd w:id="21"/>
    <w:p>
      <w:pPr>
        <w:ind w:right="480"/>
        <w:spacing w:after="0" w:line="282" w:lineRule="auto"/>
        <w:rPr>
          <w:sz w:val="20"/>
          <w:szCs w:val="20"/>
          <w:color w:val="auto"/>
        </w:rPr>
      </w:pPr>
      <w:r>
        <w:rPr>
          <w:rFonts w:ascii="Times New Roman" w:cs="Times New Roman" w:eastAsia="Times New Roman" w:hAnsi="Times New Roman"/>
          <w:sz w:val="18"/>
          <w:szCs w:val="18"/>
          <w:color w:val="auto"/>
        </w:rPr>
        <w:t>to use its trademarks in connection with the importation, distribution, promotion, marketing and sale of VASCEPA in the Australia and New Zealand territories.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licensing revenue in connection with the CSL agreement during the three months ended March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net product revenue related to sales to CSL during the three months ended March 31, 2025 and 2024.</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three months ended March 31,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the following revenues as a result of changes in the contract asset and contract liability balances in the respective periods: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p>
      <w:pPr>
        <w:ind w:left="520" w:right="10240" w:hanging="512"/>
        <w:spacing w:after="0" w:line="378"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t>increases by a nominal percentage every year following the first anniversary of the Commencement Date. In addition, Amarin receives certain abatements subject to the limitations in the Lease.</w:t>
      </w:r>
    </w:p>
    <w:p>
      <w:pPr>
        <w:spacing w:after="0" w:line="5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office space in Dublin, Ireland, or the Dublin Lease. The Dublin Lease commenced on October 1, 2022, or the Dublin Commencement Date, for a two-year period. Under the Dublin Lease, the Company paid annual rent of approximately $0.4 million during the duration of the lease term, which ended on September 30, 2024.</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Subsequent Dublin Lease, the Company paid annual rent of approximately $0.5 million during the duration of the lease term, which was terminated effective on February 28, 2025.</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11, 2025, the Company entered into an amended lease agreement, which amended the Subsequent Dublin Lease, for additional office space in Dublin, Ireland, or the Amended Subsequent Dublin Lease. The Amended Subsequent Dublin Lease commenced on March 1, 2025, or the Amended Subsequent Dublin Commencement Date, for a two-year period. Under the Amended Subsequent Dublin Lease, the Company will pay annual rent of approximately $0.9 million during the duration of the lease term.</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 agreements for various vehicles with terms ranging from month-to-month up to 36 months.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$10.3 million and $9.7 million and the total operating lease right-of-use asset is $8.4 million and $7.6 million, as of March 31, 2025 and December 31,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three months ended March 31, 2025 and 2024 is approximately $0.8 million and $0.9 million, respectively.</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5"/>
                <w:szCs w:val="15"/>
                <w:color w:val="auto"/>
              </w:rPr>
            </w:pP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9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3,289</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9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13,274</w:t>
            </w:r>
          </w:p>
        </w:tc>
      </w:tr>
      <w:tr>
        <w:trPr>
          <w:trHeight w:val="20"/>
        </w:trPr>
        <w:tc>
          <w:tcPr>
            <w:tcW w:w="90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9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(2,934)</w:t>
            </w:r>
          </w:p>
        </w:tc>
      </w:tr>
      <w:tr>
        <w:trPr>
          <w:trHeight w:val="20"/>
        </w:trPr>
        <w:tc>
          <w:tcPr>
            <w:tcW w:w="9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9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50,000-square feet of the 67,747-square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8"/>
                <w:szCs w:val="18"/>
                <w:color w:val="auto"/>
              </w:rPr>
            </w:pPr>
          </w:p>
        </w:tc>
        <w:tc>
          <w:tcPr>
            <w:tcW w:w="1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900" w:type="dxa"/>
            <w:vAlign w:val="bottom"/>
            <w:gridSpan w:val="2"/>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2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r>
      <w:tr>
        <w:trPr>
          <w:trHeight w:val="32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 March 31, 2025 are as follows: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2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5,870</w:t>
            </w:r>
          </w:p>
        </w:tc>
      </w:tr>
      <w:tr>
        <w:trPr>
          <w:trHeight w:val="432"/>
        </w:trPr>
        <w:tc>
          <w:tcPr>
            <w:tcW w:w="5460" w:type="dxa"/>
            <w:vAlign w:val="bottom"/>
          </w:tcPr>
          <w:p>
            <w:pPr>
              <w:spacing w:after="0"/>
              <w:rPr>
                <w:sz w:val="24"/>
                <w:szCs w:val="24"/>
                <w:color w:val="auto"/>
              </w:rPr>
            </w:pPr>
          </w:p>
        </w:tc>
        <w:tc>
          <w:tcPr>
            <w:tcW w:w="1900" w:type="dxa"/>
            <w:vAlign w:val="bottom"/>
            <w:gridSpan w:val="2"/>
          </w:tcPr>
          <w:p>
            <w:pPr>
              <w:jc w:val="right"/>
              <w:ind w:right="1568"/>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2024, or our Annual Report, and under Part II, Item IA, “Risk Factors” of this Quarterly Report.</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Eddingpharm (Asia) Macao Commercial Offshore Limited, or Edding, for the MARINE indication and on June 28, 2024 for the REDUCE-IT indication. Through the date of this Quarterly Report, we have received regulatory approval for VASCEPA under the REDUCE-IT indication in 49 countries, including the U.S. and 27 EU Member States.</w:t>
      </w:r>
    </w:p>
    <w:p>
      <w:pPr>
        <w:spacing w:after="0" w:line="9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U.S. in which VASCEPA is sold and under regulatory review are not subject to the U.S. patent litigation and judgment described below and no similar litigation is pending outside of the U.S.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27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20" w:hanging="3"/>
        <w:spacing w:after="0" w:line="282" w:lineRule="auto"/>
        <w:tabs>
          <w:tab w:leader="none" w:pos="10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440555" cy="2194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19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26" w:name="page27"/>
    <w:bookmarkEnd w:id="26"/>
    <w:p>
      <w:pPr>
        <w:ind w:right="60"/>
        <w:spacing w:after="0" w:line="261" w:lineRule="auto"/>
        <w:rPr>
          <w:sz w:val="20"/>
          <w:szCs w:val="20"/>
          <w:color w:val="auto"/>
        </w:rPr>
      </w:pPr>
      <w:r>
        <w:rPr>
          <w:rFonts w:ascii="Times New Roman" w:cs="Times New Roman" w:eastAsia="Times New Roman" w:hAnsi="Times New Roman"/>
          <w:sz w:val="18"/>
          <w:szCs w:val="18"/>
          <w:color w:val="auto"/>
        </w:rPr>
        <w:t>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1600" w:hanging="3"/>
        <w:spacing w:after="0" w:line="282" w:lineRule="auto"/>
        <w:tabs>
          <w:tab w:leader="none" w:pos="7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 VAZKEPA.</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under individual reimbursement since January 2023.</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approaches to drive greater impact and improved cost efficiency, which is or will be utilized throughout Europe as commercial operations launch.</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U.S. However, this greater concentration of at-risk patients being treated by specialists in Europe should allow for more efficient promotion than in the U.S. In Europe, VAZKEPA has the benefit of 10 years of market protection, and in April 2024 we were issued a patent that extended our exclusivity to 2039.</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We and our partners have obtained varying levels of indication approvals and commercial launches in the respective territories. Through the date of this Quarterly Report, we have filed for regulatory review in 22 countries and regions and have received approval in 15 countries and regions outside of the U.S. and EMA regulatory approval authority. We have agreements in place with the following partners within the respective territories: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Agreement Date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MARINE Approval</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REDUCE-IT Approval</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Launch Date</w:t>
            </w:r>
          </w:p>
        </w:tc>
        <w:tc>
          <w:tcPr>
            <w:tcW w:w="0" w:type="dxa"/>
            <w:vAlign w:val="bottom"/>
          </w:tcPr>
          <w:p>
            <w:pPr>
              <w:spacing w:after="0"/>
              <w:rPr>
                <w:sz w:val="1"/>
                <w:szCs w:val="1"/>
                <w:color w:val="auto"/>
              </w:rPr>
            </w:pPr>
          </w:p>
        </w:tc>
      </w:tr>
      <w:tr>
        <w:trPr>
          <w:trHeight w:val="38"/>
        </w:trPr>
        <w:tc>
          <w:tcPr>
            <w:tcW w:w="1540" w:type="dxa"/>
            <w:vAlign w:val="bottom"/>
            <w:vMerge w:val="restart"/>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Edding </w:t>
            </w:r>
            <w:r>
              <w:rPr>
                <w:rFonts w:ascii="Times New Roman" w:cs="Times New Roman" w:eastAsia="Times New Roman" w:hAnsi="Times New Roman"/>
                <w:sz w:val="24"/>
                <w:szCs w:val="24"/>
                <w:color w:val="auto"/>
                <w:w w:val="93"/>
                <w:vertAlign w:val="superscript"/>
              </w:rPr>
              <w:t>(1)</w:t>
            </w:r>
          </w:p>
        </w:tc>
        <w:tc>
          <w:tcPr>
            <w:tcW w:w="1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February 2015</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Mainland China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0" w:type="dxa"/>
            <w:vAlign w:val="bottom"/>
          </w:tcPr>
          <w:p>
            <w:pPr>
              <w:spacing w:after="0"/>
              <w:rPr>
                <w:sz w:val="1"/>
                <w:szCs w:val="1"/>
                <w:color w:val="auto"/>
              </w:rPr>
            </w:pPr>
          </w:p>
        </w:tc>
      </w:tr>
      <w:tr>
        <w:trPr>
          <w:trHeight w:val="10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"China Territory"</w:t>
            </w:r>
          </w:p>
        </w:tc>
        <w:tc>
          <w:tcPr>
            <w:tcW w:w="1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shd w:val="clear" w:color="auto" w:fill="CFF0FC"/>
          </w:tcPr>
          <w:p>
            <w:pPr>
              <w:spacing w:after="0"/>
              <w:rPr>
                <w:sz w:val="9"/>
                <w:szCs w:val="9"/>
                <w:color w:val="auto"/>
              </w:rPr>
            </w:pPr>
          </w:p>
        </w:tc>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9"/>
                <w:szCs w:val="9"/>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2023</w:t>
            </w:r>
          </w:p>
        </w:tc>
        <w:tc>
          <w:tcPr>
            <w:tcW w:w="100" w:type="dxa"/>
            <w:vAlign w:val="bottom"/>
            <w:shd w:val="clear" w:color="auto" w:fill="CFF0FC"/>
          </w:tcPr>
          <w:p>
            <w:pPr>
              <w:spacing w:after="0"/>
              <w:rPr>
                <w:sz w:val="9"/>
                <w:szCs w:val="9"/>
                <w:color w:val="auto"/>
              </w:rPr>
            </w:pPr>
          </w:p>
        </w:tc>
        <w:tc>
          <w:tcPr>
            <w:tcW w:w="1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Lebanon</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2018</w:t>
            </w:r>
          </w:p>
        </w:tc>
        <w:tc>
          <w:tcPr>
            <w:tcW w:w="10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2021</w:t>
            </w:r>
          </w:p>
        </w:tc>
        <w:tc>
          <w:tcPr>
            <w:tcW w:w="10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2018</w:t>
            </w:r>
          </w:p>
        </w:tc>
        <w:tc>
          <w:tcPr>
            <w:tcW w:w="0" w:type="dxa"/>
            <w:vAlign w:val="bottom"/>
          </w:tcPr>
          <w:p>
            <w:pPr>
              <w:spacing w:after="0"/>
              <w:rPr>
                <w:sz w:val="1"/>
                <w:szCs w:val="1"/>
                <w:color w:val="auto"/>
              </w:rPr>
            </w:pPr>
          </w:p>
        </w:tc>
      </w:tr>
      <w:tr>
        <w:trPr>
          <w:trHeight w:val="21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Biologix FZCo</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Bahrain</w:t>
            </w:r>
          </w:p>
        </w:tc>
        <w:tc>
          <w:tcPr>
            <w:tcW w:w="12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00" w:type="dxa"/>
            <w:vAlign w:val="bottom"/>
          </w:tcPr>
          <w:p>
            <w:pPr>
              <w:spacing w:after="0"/>
              <w:rPr>
                <w:sz w:val="6"/>
                <w:szCs w:val="6"/>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00" w:type="dxa"/>
            <w:vAlign w:val="bottom"/>
          </w:tcPr>
          <w:p>
            <w:pPr>
              <w:spacing w:after="0"/>
              <w:rPr>
                <w:sz w:val="6"/>
                <w:szCs w:val="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214"/>
        </w:trPr>
        <w:tc>
          <w:tcPr>
            <w:tcW w:w="1540" w:type="dxa"/>
            <w:vAlign w:val="bottom"/>
          </w:tcPr>
          <w:p>
            <w:pPr>
              <w:jc w:val="center"/>
              <w:spacing w:after="0" w:line="214" w:lineRule="exact"/>
              <w:rPr>
                <w:sz w:val="20"/>
                <w:szCs w:val="20"/>
                <w:color w:val="auto"/>
              </w:rPr>
            </w:pPr>
            <w:r>
              <w:rPr>
                <w:rFonts w:ascii="Times New Roman" w:cs="Times New Roman" w:eastAsia="Times New Roman" w:hAnsi="Times New Roman"/>
                <w:sz w:val="18"/>
                <w:szCs w:val="18"/>
                <w:color w:val="auto"/>
                <w:w w:val="95"/>
              </w:rPr>
              <w:t>"Biologix"</w:t>
            </w:r>
            <w:r>
              <w:rPr>
                <w:rFonts w:ascii="Times New Roman" w:cs="Times New Roman" w:eastAsia="Times New Roman" w:hAnsi="Times New Roman"/>
                <w:sz w:val="24"/>
                <w:szCs w:val="24"/>
                <w:color w:val="auto"/>
                <w:w w:val="95"/>
                <w:vertAlign w:val="superscript"/>
              </w:rPr>
              <w:t>(2)</w:t>
            </w: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March 2016</w:t>
            </w:r>
          </w:p>
        </w:tc>
        <w:tc>
          <w:tcPr>
            <w:tcW w:w="1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"MENA"</w:t>
            </w: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Qatar</w:t>
            </w:r>
          </w:p>
        </w:tc>
        <w:tc>
          <w:tcPr>
            <w:tcW w:w="12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2021</w:t>
            </w:r>
          </w:p>
        </w:tc>
        <w:tc>
          <w:tcPr>
            <w:tcW w:w="100" w:type="dxa"/>
            <w:vAlign w:val="bottom"/>
          </w:tcPr>
          <w:p>
            <w:pPr>
              <w:spacing w:after="0"/>
              <w:rPr>
                <w:sz w:val="12"/>
                <w:szCs w:val="12"/>
                <w:color w:val="auto"/>
              </w:rPr>
            </w:pP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2022</w:t>
            </w:r>
          </w:p>
        </w:tc>
        <w:tc>
          <w:tcPr>
            <w:tcW w:w="100" w:type="dxa"/>
            <w:vAlign w:val="bottom"/>
          </w:tcPr>
          <w:p>
            <w:pPr>
              <w:spacing w:after="0"/>
              <w:rPr>
                <w:sz w:val="12"/>
                <w:szCs w:val="12"/>
                <w:color w:val="auto"/>
              </w:rPr>
            </w:pPr>
          </w:p>
        </w:tc>
        <w:tc>
          <w:tcPr>
            <w:tcW w:w="16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September 2023</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Kuwait</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0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0" w:type="dxa"/>
            <w:vAlign w:val="bottom"/>
          </w:tcPr>
          <w:p>
            <w:pPr>
              <w:spacing w:after="0"/>
              <w:rPr>
                <w:sz w:val="1"/>
                <w:szCs w:val="1"/>
                <w:color w:val="auto"/>
              </w:rPr>
            </w:pPr>
          </w:p>
        </w:tc>
      </w:tr>
      <w:tr>
        <w:trPr>
          <w:trHeight w:val="198"/>
        </w:trPr>
        <w:tc>
          <w:tcPr>
            <w:tcW w:w="15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HLS Therapeutics</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September 2017</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234"/>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"HLS"</w:t>
            </w: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CSL Seqirus</w:t>
            </w:r>
          </w:p>
        </w:tc>
        <w:tc>
          <w:tcPr>
            <w:tcW w:w="120" w:type="dxa"/>
            <w:vAlign w:val="bottom"/>
          </w:tcPr>
          <w:p>
            <w:pPr>
              <w:spacing w:after="0"/>
              <w:rPr>
                <w:sz w:val="17"/>
                <w:szCs w:val="17"/>
                <w:color w:val="auto"/>
              </w:rPr>
            </w:pPr>
          </w:p>
        </w:tc>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February 2023</w:t>
            </w:r>
          </w:p>
        </w:tc>
        <w:tc>
          <w:tcPr>
            <w:tcW w:w="1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10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"CSL"</w:t>
            </w:r>
          </w:p>
        </w:tc>
        <w:tc>
          <w:tcPr>
            <w:tcW w:w="12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jc w:val="right"/>
              <w:ind w:right="15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3394710" cy="282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94710" cy="2825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tbl>
      <w:tblPr>
        <w:tblLayout w:type="fixed"/>
        <w:tblInd w:w="80" w:type="dxa"/>
        <w:tblCellMar>
          <w:top w:w="0" w:type="dxa"/>
          <w:left w:w="0" w:type="dxa"/>
          <w:bottom w:w="0" w:type="dxa"/>
          <w:right w:w="0" w:type="dxa"/>
        </w:tblCellMar>
      </w:tblPr>
      <w:tr>
        <w:trPr>
          <w:trHeight w:val="216"/>
        </w:trPr>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Neopharm (Israel)</w:t>
            </w:r>
          </w:p>
        </w:tc>
        <w:tc>
          <w:tcPr>
            <w:tcW w:w="1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9"/>
              </w:rPr>
              <w:t>1996 Ltd.</w:t>
            </w:r>
          </w:p>
        </w:tc>
        <w:tc>
          <w:tcPr>
            <w:tcW w:w="1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August 2023</w:t>
            </w:r>
          </w:p>
        </w:tc>
        <w:tc>
          <w:tcPr>
            <w:tcW w:w="18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Israel</w:t>
            </w:r>
          </w:p>
        </w:tc>
        <w:tc>
          <w:tcPr>
            <w:tcW w:w="17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March 2023</w:t>
            </w:r>
          </w:p>
        </w:tc>
        <w:tc>
          <w:tcPr>
            <w:tcW w:w="1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w w:val="97"/>
              </w:rPr>
              <w:t>May 2024</w:t>
            </w:r>
          </w:p>
        </w:tc>
        <w:tc>
          <w:tcPr>
            <w:tcW w:w="0" w:type="dxa"/>
            <w:vAlign w:val="bottom"/>
          </w:tcPr>
          <w:p>
            <w:pPr>
              <w:spacing w:after="0"/>
              <w:rPr>
                <w:sz w:val="1"/>
                <w:szCs w:val="1"/>
                <w:color w:val="auto"/>
              </w:rPr>
            </w:pPr>
          </w:p>
        </w:tc>
      </w:tr>
      <w:tr>
        <w:trPr>
          <w:trHeight w:val="256"/>
        </w:trPr>
        <w:tc>
          <w:tcPr>
            <w:tcW w:w="1640" w:type="dxa"/>
            <w:vAlign w:val="bottom"/>
          </w:tcPr>
          <w:p>
            <w:pPr>
              <w:jc w:val="center"/>
              <w:ind w:right="190"/>
              <w:spacing w:after="0" w:line="256" w:lineRule="exact"/>
              <w:rPr>
                <w:sz w:val="20"/>
                <w:szCs w:val="20"/>
                <w:color w:val="auto"/>
              </w:rPr>
            </w:pPr>
            <w:r>
              <w:rPr>
                <w:rFonts w:ascii="Times New Roman" w:cs="Times New Roman" w:eastAsia="Times New Roman" w:hAnsi="Times New Roman"/>
                <w:sz w:val="18"/>
                <w:szCs w:val="18"/>
                <w:color w:val="auto"/>
                <w:w w:val="95"/>
              </w:rPr>
              <w:t>"Neopharm"</w:t>
            </w:r>
            <w:r>
              <w:rPr>
                <w:rFonts w:ascii="Times New Roman" w:cs="Times New Roman" w:eastAsia="Times New Roman" w:hAnsi="Times New Roman"/>
                <w:sz w:val="24"/>
                <w:szCs w:val="24"/>
                <w:color w:val="auto"/>
                <w:w w:val="95"/>
                <w:vertAlign w:val="superscript"/>
              </w:rPr>
              <w:t>(3)</w:t>
            </w:r>
          </w:p>
        </w:tc>
        <w:tc>
          <w:tcPr>
            <w:tcW w:w="1860" w:type="dxa"/>
            <w:vAlign w:val="bottom"/>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548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"Israel"</w:t>
      </w:r>
    </w:p>
    <w:p>
      <w:pPr>
        <w:spacing w:after="0" w:line="97" w:lineRule="exact"/>
        <w:rPr>
          <w:sz w:val="20"/>
          <w:szCs w:val="20"/>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Macau and Taiwan in the China Territory with Edding.</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MENA region with Biologix.</w:t>
      </w:r>
    </w:p>
    <w:p>
      <w:pPr>
        <w:spacing w:after="0" w:line="117" w:lineRule="exact"/>
        <w:rPr>
          <w:rFonts w:ascii="Times New Roman" w:cs="Times New Roman" w:eastAsia="Times New Roman" w:hAnsi="Times New Roman"/>
          <w:sz w:val="18"/>
          <w:szCs w:val="18"/>
          <w:color w:val="auto"/>
        </w:rPr>
      </w:pPr>
    </w:p>
    <w:p>
      <w:pPr>
        <w:ind w:left="520" w:right="60" w:hanging="3"/>
        <w:spacing w:after="0" w:line="282"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Israel territory with Neopharm. Revenue earned from sales of VASECPA within the Israel territory are recorded within European revenue.</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above partnerships, the Company partnered with Lotus Pharmaceuticals, or Lotus, in July 2023 to commercialize and distribute VAZKEPA in South Korea and nine other countries in Southeast Asia, or collectively ASEAN.</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will be responsible for supplying finished product to these partners. We continue to assess other potential partnership opportunities for VASCEPA with companies outside of the U.S. and Europe with the intention of partnering in all other international markets where VASCEPA receives local regulatory approval.</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as well as the study of the mechanism of action of the single active ingredient in VASCEPA, icosapent ethyl, or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5"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50 clinical treatment guidelines, consensus statements or scientific statements from global medical societies or journals have recognized the use of icosapent ethyl, or IPE, in appropriate at-risk patients for CV risk reductions, including those statements which we were informed of by our global partners in Canada, China, Southeast Asia, Australia, and the Middle East as well as guidelines which were newly received during the first quarter of 2025 as listed below:</w:t>
      </w:r>
    </w:p>
    <w:p>
      <w:pPr>
        <w:spacing w:after="0" w:line="72" w:lineRule="exact"/>
        <w:rPr>
          <w:sz w:val="20"/>
          <w:szCs w:val="20"/>
          <w:color w:val="auto"/>
        </w:rPr>
      </w:pPr>
    </w:p>
    <w:p>
      <w:pPr>
        <w:ind w:left="1020" w:right="6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American Diabetes Association, or ADA, updated their recommendations for risk management in patients with cardiovascular disease in their Standards of Care in Diabetes. The following information was included regarding IPE:</w:t>
      </w:r>
    </w:p>
    <w:p>
      <w:pPr>
        <w:spacing w:after="0" w:line="53" w:lineRule="exact"/>
        <w:rPr>
          <w:rFonts w:ascii="Times New Roman" w:cs="Times New Roman" w:eastAsia="Times New Roman" w:hAnsi="Times New Roman"/>
          <w:sz w:val="18"/>
          <w:szCs w:val="18"/>
          <w:color w:val="auto"/>
        </w:rPr>
      </w:pPr>
    </w:p>
    <w:p>
      <w:pPr>
        <w:ind w:left="1540" w:right="1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individuals with ASCVD or other cardiovascular risk factors on a statin with managed LDL cholesterol but elevated triglycerides (150–499 mg/dL [1.7–5.6 mmol/L]), the addition of icosapent ethyl can be considered to reduce cardiovascular risk</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American Association of Clinical Endocrinology, or AACE, issued a focused update of the 2017 AACE Guidelines for Management of Dyslipidemia and Prevention of Cardiovascular Disease and provided evidence-based recommendations for the pharmacologic management of adults with dyslipidemia by clinicians and their care teams. The following recommendations were included for patients with CVD or at increased risk for ASCVD:</w:t>
      </w:r>
    </w:p>
    <w:p>
      <w:pPr>
        <w:spacing w:after="0" w:line="71" w:lineRule="exact"/>
        <w:rPr>
          <w:rFonts w:ascii="Times New Roman" w:cs="Times New Roman" w:eastAsia="Times New Roman" w:hAnsi="Times New Roman"/>
          <w:sz w:val="18"/>
          <w:szCs w:val="18"/>
          <w:color w:val="auto"/>
        </w:rPr>
      </w:pPr>
    </w:p>
    <w:p>
      <w:pPr>
        <w:ind w:left="1540" w:right="4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adults with hypertriglyceridemia (150-499 mg/dL) who have cardiovascular disease or who are at increased risk for ASCVD, AACE suggests for the use of EPA (IPE) in addition to statins.</w:t>
      </w:r>
    </w:p>
    <w:p>
      <w:pPr>
        <w:spacing w:after="0" w:line="53" w:lineRule="exact"/>
        <w:rPr>
          <w:rFonts w:ascii="Times New Roman" w:cs="Times New Roman" w:eastAsia="Times New Roman" w:hAnsi="Times New Roman"/>
          <w:sz w:val="18"/>
          <w:szCs w:val="18"/>
          <w:color w:val="auto"/>
        </w:rPr>
      </w:pPr>
    </w:p>
    <w:p>
      <w:pPr>
        <w:ind w:left="1540" w:right="4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adults with hypertriglyceridemia (150-499 mg/dL) who have cardiovascular disease or are at increased risk for cardiovascular disease, AACE suggests against the use of EPA plus DHA in addition to statin therapy.</w:t>
      </w:r>
    </w:p>
    <w:p>
      <w:pPr>
        <w:spacing w:after="0" w:line="53" w:lineRule="exact"/>
        <w:rPr>
          <w:rFonts w:ascii="Times New Roman" w:cs="Times New Roman" w:eastAsia="Times New Roman" w:hAnsi="Times New Roman"/>
          <w:sz w:val="18"/>
          <w:szCs w:val="18"/>
          <w:color w:val="auto"/>
        </w:rPr>
      </w:pPr>
    </w:p>
    <w:p>
      <w:pPr>
        <w:ind w:left="1540" w:right="3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adults with hypertriglyceridemia (150-499 mg/dL) who have ASCVD or are at increased risk for ASCVD, AACE recommends against the use of niacin in addition to usual care.</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of 2025, the National Heart Foundation of Australia &amp; Cardiac Society of Australia and New Zealand issued a clinical guideline for diagnosing and managing acute coronary syndromes, or ACS. The following information was included regarding IPE as a practice point within the Post-ACS Pharmacotherapy section under lipid modifying therapies:</w:t>
      </w:r>
    </w:p>
    <w:p>
      <w:pPr>
        <w:spacing w:after="0" w:line="67" w:lineRule="exact"/>
        <w:rPr>
          <w:rFonts w:ascii="Times New Roman" w:cs="Times New Roman" w:eastAsia="Times New Roman" w:hAnsi="Times New Roman"/>
          <w:sz w:val="18"/>
          <w:szCs w:val="18"/>
          <w:color w:val="auto"/>
        </w:rPr>
      </w:pPr>
    </w:p>
    <w:p>
      <w:pPr>
        <w:ind w:left="1540" w:right="2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people with ACS with triglyceride levels of 1.5–5.6 mmol/L and LDL-C 1.0–2.6 mmol/L despite statin therapy, consider adding icosapent ethyl [549]. Note that the current PBS eligibility criteria for icosapent ethyl is a triglyceride level of 1.7 mmol/L.</w:t>
      </w:r>
    </w:p>
    <w:p>
      <w:pPr>
        <w:spacing w:after="0" w:line="5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March 2025, at the American College of Cardiology, or ACC, Scientific Sessions, we supported two posters, one looking at the antioxidant and anti-inflammatory effects of EPA in combination with a GLP-1 agonist on endothelial cells, and another looking at the antioxidant effects of EPA on Lp(a) as compared to small, dense, LDL and TG rich lipoprotein.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8" w:name="page29"/>
    <w:bookmarkEnd w:id="28"/>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the first three months of 2025, we and global medical and scientific collaborators supported seven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March 31, 2025, we had inventory of $216.9 million, of which 52% is inventory approved for use in North America. We continue to negotiate with our contract suppliers to align our supply arrangements with current and future global market demand.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7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Outside of the U.S.,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as earned based on revenue recognized by our current partners.</w:t>
      </w:r>
    </w:p>
    <w:p>
      <w:pPr>
        <w:spacing w:after="0" w:line="21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10" w:lineRule="exact"/>
        <w:rPr>
          <w:sz w:val="20"/>
          <w:szCs w:val="20"/>
          <w:color w:val="auto"/>
        </w:rPr>
      </w:pPr>
    </w:p>
    <w:p>
      <w:pPr>
        <w:ind w:right="5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600"/>
        <w:spacing w:after="0" w:line="282" w:lineRule="auto"/>
        <w:rPr>
          <w:sz w:val="20"/>
          <w:szCs w:val="20"/>
          <w:color w:val="auto"/>
        </w:rPr>
      </w:pPr>
      <w:r>
        <w:rPr>
          <w:rFonts w:ascii="Times New Roman" w:cs="Times New Roman" w:eastAsia="Times New Roman" w:hAnsi="Times New Roman"/>
          <w:sz w:val="18"/>
          <w:szCs w:val="18"/>
          <w:color w:val="auto"/>
        </w:rPr>
        <w:t>finance and information technology functions. Other costs primarily include facility costs and professional fees for accounting, consulting and legal services.</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jc w:val="both"/>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foreign exchange losses and gains as well as sublease income.</w:t>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deferred tax assets and liabilities, and reserves for unrecognized tax benefits reflect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assessment of estimated future taxes to be paid. We are subject to income taxes in both the U.S. and foreign jurisdictions. In applying guidance prescribed under ASC 740 and based on present evidence and conclusions around the realizability of deferred tax assets, we determined that any tax benefit related to the pretax losses generated for 2025 and 2024 are not more likely than not to be realized.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and March 31, 2024</w:t>
      </w:r>
    </w:p>
    <w:p>
      <w:pPr>
        <w:spacing w:after="0" w:line="25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$42.0 million and $56.5 million during the three months ended March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$14.5 million, or 26%. Total revenue, net, consists primarily of revenue from the sale of VASCEPA in the U.S.. In addition to the U.S., during the three months ending March 31, 2025, we also sold VASCEPA by prescription in certain countries in Europe as well as certain countries outside of the U.S. and Europe, such as China and Canada, through collaborations with third-party companies. As further discussed below, the aforementioned decrease consists of a $12.5 million decrease in U.S. net product revenue and a $1.7 million decrease in net product revenue outside of the U.S., as well as a $0.4 million decrease in licensing and royalty revenue.</w:t>
      </w:r>
    </w:p>
    <w:p>
      <w:pPr>
        <w:spacing w:after="0" w:line="209" w:lineRule="exact"/>
        <w:rPr>
          <w:sz w:val="20"/>
          <w:szCs w:val="20"/>
          <w:color w:val="auto"/>
        </w:rPr>
      </w:pPr>
    </w:p>
    <w:p>
      <w:pPr>
        <w:ind w:right="36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$41.0 million and $55.2 million during the three months ended March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a decrease of $14.1 million, or 26%. This decrease was due primarily to a 26% decrease in VASCEPA sales in the U.S..</w:t>
      </w:r>
    </w:p>
    <w:p>
      <w:pPr>
        <w:spacing w:after="0" w:line="52" w:lineRule="exact"/>
        <w:rPr>
          <w:sz w:val="20"/>
          <w:szCs w:val="20"/>
          <w:color w:val="auto"/>
        </w:rPr>
      </w:pPr>
    </w:p>
    <w:p>
      <w:pPr>
        <w:ind w:right="180" w:firstLine="539"/>
        <w:spacing w:after="0" w:line="261" w:lineRule="auto"/>
        <w:rPr>
          <w:sz w:val="20"/>
          <w:szCs w:val="20"/>
          <w:color w:val="auto"/>
        </w:rPr>
      </w:pPr>
      <w:r>
        <w:rPr>
          <w:rFonts w:ascii="Times New Roman" w:cs="Times New Roman" w:eastAsia="Times New Roman" w:hAnsi="Times New Roman"/>
          <w:sz w:val="18"/>
          <w:szCs w:val="18"/>
          <w:color w:val="auto"/>
        </w:rPr>
        <w:t>We recorded U.S. product revenue, net, of $35.7 million and $48.1 million during the three months ended March 31, 2025 and 2024, respectively. This decrease was due to a decline in net selling price as a result of the impact from generic competition in the</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400"/>
        <w:spacing w:after="0" w:line="282" w:lineRule="auto"/>
        <w:rPr>
          <w:sz w:val="20"/>
          <w:szCs w:val="20"/>
          <w:color w:val="auto"/>
        </w:rPr>
      </w:pPr>
      <w:r>
        <w:rPr>
          <w:rFonts w:ascii="Times New Roman" w:cs="Times New Roman" w:eastAsia="Times New Roman" w:hAnsi="Times New Roman"/>
          <w:sz w:val="18"/>
          <w:szCs w:val="18"/>
          <w:color w:val="auto"/>
        </w:rPr>
        <w:t>market as well as a decrease in volume primarily related to the loss of a large national pharmacy benefit manager, or PBM, going from exclusive to no longer covering VASCEPA effective July 1, 2024.</w:t>
      </w:r>
    </w:p>
    <w:p>
      <w:pPr>
        <w:spacing w:after="0" w:line="54" w:lineRule="exact"/>
        <w:rPr>
          <w:sz w:val="20"/>
          <w:szCs w:val="20"/>
          <w:color w:val="auto"/>
        </w:rPr>
      </w:pPr>
    </w:p>
    <w:p>
      <w:pPr>
        <w:ind w:right="30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increased for the three months ended March 31, 2025 by 3% as compared to the three months ended March 31, 2024. Our share of the icosapent ethyl market has decreased to approximately 42% in the three months ended March 31, 2025 compared to approximately 56% in the three months ended March 31, 2024. Additionally, based on prescription levels reported by Symphony Health, VASCEPA-branded prescriptions decreased by 24% in the three months ended March 31, 2025 compared to the three months ended March 31, 2024.</w:t>
      </w:r>
    </w:p>
    <w:p>
      <w:pPr>
        <w:spacing w:after="0" w:line="75" w:lineRule="exact"/>
        <w:rPr>
          <w:sz w:val="20"/>
          <w:szCs w:val="20"/>
          <w:color w:val="auto"/>
        </w:rPr>
      </w:pPr>
    </w:p>
    <w:p>
      <w:pPr>
        <w:ind w:right="92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$5.4 million and $1.9 million during the three months ended March 31, 2025 and 2024, respectively.</w:t>
      </w:r>
    </w:p>
    <w:p>
      <w:pPr>
        <w:spacing w:after="0" w:line="54" w:lineRule="exact"/>
        <w:rPr>
          <w:sz w:val="20"/>
          <w:szCs w:val="20"/>
          <w:color w:val="auto"/>
        </w:rPr>
      </w:pPr>
    </w:p>
    <w:p>
      <w:pPr>
        <w:ind w:right="20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recorded nominal product revenue, net, from our collaboration partners compared to $5.2 million during the three months ended March 31, 2024.</w:t>
      </w:r>
    </w:p>
    <w:p>
      <w:pPr>
        <w:spacing w:after="0" w:line="54" w:lineRule="exact"/>
        <w:rPr>
          <w:sz w:val="20"/>
          <w:szCs w:val="20"/>
          <w:color w:val="auto"/>
        </w:rPr>
      </w:pPr>
    </w:p>
    <w:p>
      <w:pPr>
        <w:ind w:right="2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advance our pricing and reimbursement and licensing activities to drive access in remaining geographies as well as being the market leader in the U.S.</w:t>
      </w:r>
    </w:p>
    <w:p>
      <w:pPr>
        <w:spacing w:after="0" w:line="201"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March 31, 2025 and 2024 was $1.0 million and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$0.4 million, or 28%. Licensing and royalty revenue has decreased primarily due to recognition of previously achieved milestone payments from Edding in the prior year.</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The royalty payments are being recognized as earned based on revenue recognized by our current partners.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Licensing and royalty revenue is expected to vary from period to period based on timing of milestones achieved and select partner sales within respective territories.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2025 and 2024 was $16.9 million and $24.6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$7.7 million, or 31%.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March 31, 2025 and 2024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March 31, 2025 and 2024 was 59% and 55%, respectively. The increase in gross margin is primarily as a result of a change in customer mix.</w:t>
      </w:r>
    </w:p>
    <w:p>
      <w:pPr>
        <w:spacing w:after="0" w:line="187"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2025 and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$36.6 million and $39.9 million, respectively, a decrease of $3.3 million, or 8%. Selling, general and administrative expenses for the three months ended March 31, 2025 and 2024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-265430</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-265430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jc w:val="both"/>
        <w:ind w:left="480" w:right="140" w:hanging="383"/>
        <w:spacing w:after="0" w:line="266"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March 31, 2025 and 2024 was $16.9 million and $20.4 million, respectively, a decrease of $3.5 million, or 17%. This decrease is primarily due to a reduction in costs associated with decreased promotional and marketing initiatives as well as other cost optimization initiatives.</w:t>
      </w:r>
    </w:p>
    <w:p>
      <w:pPr>
        <w:jc w:val="both"/>
        <w:ind w:left="480" w:right="440" w:hanging="383"/>
        <w:spacing w:after="0" w:line="25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March 31, 2025 and 2024 was $16.1 million and $15.3 million, respectively, an increase of $0.8 million, or 6%. This increase is primarily due to fees associated with the ADS Ratio Change offset by a decrease in in branded pharma fees as a result of lower sales.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480" w:hanging="383"/>
        <w:spacing w:after="0" w:line="28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personnel supporting our selling, general and administrative functions.</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getting VASCEPA to as many patients as possible by continuing to advance our pricing and reimbursement and licensing activities to drive access in remaining geographies, as well as advancing regulatory filings internationally. We will continue to evaluate all of our spending commitments and priorities based on this focus.</w:t>
      </w:r>
    </w:p>
    <w:p>
      <w:pPr>
        <w:spacing w:after="0" w:line="201"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2025 and 2024 was $5.3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 million, respectively, a decrease of $0.3 million, or 5%. Research and development expenses for the three months ended March 31, 2025 and 2024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36"/>
        </w:trPr>
        <w:tc>
          <w:tcPr>
            <w:tcW w:w="6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94"/>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1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 xml:space="preserve">REDUCE-IT study and presentations </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4"/>
                <w:szCs w:val="14"/>
                <w:color w:val="auto"/>
              </w:rPr>
            </w:pPr>
          </w:p>
        </w:tc>
        <w:tc>
          <w:tcPr>
            <w:tcW w:w="280" w:type="dxa"/>
            <w:vAlign w:val="bottom"/>
          </w:tcPr>
          <w:p>
            <w:pPr>
              <w:jc w:val="right"/>
              <w:ind w:right="116"/>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4,513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4,592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1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-1139190</wp:posOffset>
            </wp:positionV>
            <wp:extent cx="570039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-864870</wp:posOffset>
            </wp:positionV>
            <wp:extent cx="570039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-590550</wp:posOffset>
            </wp:positionV>
            <wp:extent cx="570039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jc w:val="both"/>
        <w:ind w:left="520" w:right="1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ind w:left="520" w:right="5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87"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March 31, 2025 and 2024 was $2.9 million and $3.4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$0.5 million, or 15%.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March 31, 2025 and 2024 was $0.3 million and $1.5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$1.3 million, or 84%. Other income, net, primarily consists of gains and losses on foreign exchange transactions and sublease income related to our Bridgewater, New Jersey facility.</w:t>
      </w:r>
    </w:p>
    <w:p>
      <w:pPr>
        <w:spacing w:after="0" w:line="20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three months ended March 31, 2025 and 2024 was $2.1 million and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three months ended March 31, 2025 is the result of changes in income generated by our U.S. and foreign operations for which tax expense has been recognized based on a full year estimated U.S. and foreign income tax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our aggregate sources of liquidity include cash and cash equivalents and restricted cash of $119.8 million and short-term investments of $162.3 million, aggregating $282.1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5"/>
                <w:szCs w:val="15"/>
                <w:color w:val="auto"/>
              </w:rPr>
            </w:pPr>
          </w:p>
        </w:tc>
        <w:tc>
          <w:tcPr>
            <w:tcW w:w="34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remained consistent during the three months ended March 31, 2025 as compared to the same period in 2024.</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2025 decreased due primarily to the proceeds from the maturity of $55.0 million in investment grade interest-bearing instruments offset by purchases of $42.9 million of investment grade interest-bearing instruments as compared to the same period in 2024 where proceeds from the maturity of investment grade interest-bearing instruments were $62.0 million, partially offset by $33.3 million in purchases of investment-grade interest bearing instruments.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2025 as compared to net cash provided by financing activities during the same period in 2024 was primarily as a result of a decrease in taxes paid on stock based-awards.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net accounts receivable of $106.7 million, current inventory of $159.5 million and long-term inventory of $57.4 million. We have incurred annual operating losses since our inception and, as a result, we had an accumulated deficit of $1.7 billion as of March 31, 2025. We anticipate that quarterly net cash outflows in future periods will continue to be variable as a result of the timing of certain items, including our purchases of API, the generic competition in the U.S. and pricing and reimbursement of VAZKEPA in Europe.</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we had cash and cash equivalents of $119.5 million and short-term investments of $162.3 million, aggregating $281.8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wrong, including as a result of the risks discussed under “Risk Factors” in this Quarterly Report and 2024 Annual Report and we could use our capital resources sooner than we expect or fail to achieve positive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3" w:name="page34"/>
    <w:bookmarkEnd w:id="3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2025. Based on such evaluation, our principal executive officer and principal financial officer have concluded that as of March 31, 2025,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March 31, 2025,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w:t>
      </w:r>
      <w:r>
        <w:rPr>
          <w:rFonts w:ascii="Times New Roman" w:cs="Times New Roman" w:eastAsia="Times New Roman" w:hAnsi="Times New Roman"/>
          <w:sz w:val="18"/>
          <w:szCs w:val="18"/>
          <w:i w:val="1"/>
          <w:iCs w:val="1"/>
          <w:color w:val="auto"/>
        </w:rPr>
        <w:t>Note 5 – Commitments and Contingencies</w:t>
      </w:r>
      <w:r>
        <w:rPr>
          <w:rFonts w:ascii="Times New Roman" w:cs="Times New Roman" w:eastAsia="Times New Roman" w:hAnsi="Times New Roman"/>
          <w:sz w:val="18"/>
          <w:szCs w:val="18"/>
          <w:color w:val="auto"/>
        </w:rPr>
        <w:t xml:space="preserve"> in this Quarterly Report for any legal proceedings that became reportable during the three months ended March 31, 2025,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 Commitments and Contingencies</w:t>
      </w:r>
      <w:r>
        <w:rPr>
          <w:rFonts w:ascii="Times New Roman" w:cs="Times New Roman" w:eastAsia="Times New Roman" w:hAnsi="Times New Roman"/>
          <w:sz w:val="18"/>
          <w:szCs w:val="18"/>
          <w:color w:val="auto"/>
        </w:rPr>
        <w:t xml:space="preserve"> is incorporated into this Item 1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below, there have been no material changes to the risk factors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2024 Annual Report on Form 10-K filed with the SEC on March 12,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Ordinary Shares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meet the listing requirements of the Nasdaq Stock Market, our ADS may be delisted.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ADSs are listed and traded on Nasdaq, which has listing requirements that include a $1.00 minimum closing bid price requirement, or the Minimum Bid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 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On November 22, 2024, we received notice Nasdaq granted the Company an additional 180 calendar days, or until May 19, 2025, to regain compliance with the Minimum Bid Requirement. Effective as of April 11, 2025, we implemented an adjustment of the ratio of our ADSs to Ordinary Shares from one ADS representing one Ordinary Share to one ADS representing 20 Ordinary Shares (the “ADS Ratio Change”). The ADS Ratio Change resulted in a 1-for-20 reverse split of issued and outstanding ADSs, and it had no effect on the Ordinary Shares. On April 29, 2025, we received written confirmation from Nasdaq that we regained compliance with the Nasdaq listing requirements as our ADSs had traded above $1.00 for 10 consecutive business days. While we have regained compliance with the minimum bid price requirement, there is no guarantee that we will be able to maintain such compliance, and we may receive additional deficiency letters in the future.</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tariffs, trade sanctions or similar government actions.</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recent imposition and ongoing discussions regarding certain trade restrictions, sanctions and tariffs on goods exported from the U.S. or imported into the U.S., as well as retaliatory measures enacted in response to such actions and related market volatility, could have a material adverse impact on our business, financial condition, results of operations and cash flows. In light of these events, there continues to exist significant uncertainty about the future relationship between the U.S. and other countries with respect to such trade policies. These developments, or the perception that any of them could occur, may have a material adverse effect on global economic conditions and the stability of global financial markets, and may significantly reduce global trade and, in particular,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trade between the impacted nations and the U.S. Any of these factors could depress economic activity, lower product demand and restrict our access to potential partners, suppliers or other third parties we seek to do business with and, in turn, have a material adverse effect on the business and financial condition of such third parties, which in turn would negatively impact us.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ADSs purchased in the first quarter of 2025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11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ADSs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ADS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2025</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-153670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380" w:right="140" w:hanging="372"/>
        <w:spacing w:after="0" w:line="223" w:lineRule="auto"/>
        <w:tabs>
          <w:tab w:leader="none" w:pos="326"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ADSs withheld to satisfy tax withholding amounts due from employees related to the receipt of ADS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adopted, modified, or terminated a “Rule 10b5-1 trading arrangement” or a “non-Rule 10b5-1 trading arrangement,” as defined in Item 408 of Regulation S-K, during the three months ended March 31, 2025.</w:t>
      </w: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25"/>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vMerge w:val="restart"/>
          </w:tcPr>
          <w:p>
            <w:pPr>
              <w:spacing w:after="0"/>
              <w:rPr>
                <w:sz w:val="2"/>
                <w:szCs w:val="2"/>
                <w:color w:val="auto"/>
              </w:rPr>
            </w:pPr>
          </w:p>
        </w:tc>
        <w:tc>
          <w:tcPr>
            <w:tcW w:w="41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1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tcPr>
          <w:p>
            <w:pPr>
              <w:ind w:left="152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4120" w:type="dxa"/>
            <w:vAlign w:val="bottom"/>
            <w:tcBorders>
              <w:bottom w:val="single" w:sz="8" w:color="auto"/>
            </w:tcBorders>
          </w:tcPr>
          <w:p>
            <w:pPr>
              <w:ind w:left="264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40"/>
          </w:cols>
          <w:pgMar w:left="320" w:top="1305" w:right="339" w:bottom="1440" w:gutter="0" w:footer="0" w:header="0"/>
        </w:sectPr>
      </w:pPr>
    </w:p>
    <w:p>
      <w:pPr>
        <w:ind w:left="10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1428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2000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200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7500" w:val="left"/>
        </w:tabs>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u w:val="single" w:color="auto"/>
            <w:color w:val="0000FF"/>
          </w:rPr>
          <w:t>Form of Amendment No. 1 to the Amended and Restated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Registration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Statement on Form F-6 POS, as</w:t>
      </w:r>
      <w:r>
        <w:rPr>
          <w:rFonts w:ascii="Times New Roman" w:cs="Times New Roman" w:eastAsia="Times New Roman" w:hAnsi="Times New Roman"/>
          <w:sz w:val="18"/>
          <w:szCs w:val="18"/>
          <w:color w:val="0000FF"/>
        </w:rPr>
        <w:tab/>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6485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380" w:type="dxa"/>
            <w:vAlign w:val="bottom"/>
            <w:tcBorders>
              <w:bottom w:val="single" w:sz="8" w:color="0000FF"/>
            </w:tcBorders>
            <w:gridSpan w:val="4"/>
          </w:tcPr>
          <w:p>
            <w:pPr>
              <w:spacing w:after="0" w:line="203"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Depositary Agreement, by and among Amarin</w:t>
              </w:r>
            </w:hyperlink>
          </w:p>
        </w:tc>
        <w:tc>
          <w:tcPr>
            <w:tcW w:w="700" w:type="dxa"/>
            <w:vAlign w:val="bottom"/>
            <w:gridSpan w:val="5"/>
          </w:tcPr>
          <w:p>
            <w:pPr>
              <w:spacing w:after="0"/>
              <w:rPr>
                <w:sz w:val="17"/>
                <w:szCs w:val="17"/>
                <w:color w:val="auto"/>
              </w:rPr>
            </w:pPr>
          </w:p>
        </w:tc>
        <w:tc>
          <w:tcPr>
            <w:tcW w:w="112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Exhibit (a)(i)</w:t>
            </w:r>
          </w:p>
        </w:tc>
      </w:tr>
      <w:tr>
        <w:trPr>
          <w:trHeight w:val="196"/>
        </w:trPr>
        <w:tc>
          <w:tcPr>
            <w:tcW w:w="3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Corporation plc, Citibank, N.A., as depositary, and all</w:t>
              </w:r>
            </w:hyperlink>
          </w:p>
        </w:tc>
        <w:tc>
          <w:tcPr>
            <w:tcW w:w="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40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Holders and Beneficial Owners of American Depositary</w:t>
              </w:r>
            </w:hyperlink>
          </w:p>
        </w:tc>
        <w:tc>
          <w:tcPr>
            <w:tcW w:w="1120" w:type="dxa"/>
            <w:vAlign w:val="bottom"/>
          </w:tcPr>
          <w:p>
            <w:pPr>
              <w:spacing w:after="0"/>
              <w:rPr>
                <w:sz w:val="17"/>
                <w:szCs w:val="17"/>
                <w:color w:val="auto"/>
              </w:rPr>
            </w:pPr>
          </w:p>
        </w:tc>
      </w:tr>
      <w:tr>
        <w:trPr>
          <w:trHeight w:val="196"/>
        </w:trPr>
        <w:tc>
          <w:tcPr>
            <w:tcW w:w="4080" w:type="dxa"/>
            <w:vAlign w:val="bottom"/>
            <w:gridSpan w:val="9"/>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Shares issued thereunder</w:t>
              </w:r>
            </w:hyperlink>
          </w:p>
        </w:tc>
        <w:tc>
          <w:tcPr>
            <w:tcW w:w="1120" w:type="dxa"/>
            <w:vAlign w:val="bottom"/>
          </w:tcPr>
          <w:p>
            <w:pPr>
              <w:spacing w:after="0"/>
              <w:rPr>
                <w:sz w:val="17"/>
                <w:szCs w:val="17"/>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40" w:type="dxa"/>
            <w:vAlign w:val="bottom"/>
            <w:gridSpan w:val="2"/>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4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1120" w:type="dxa"/>
            <w:vAlign w:val="bottom"/>
          </w:tcPr>
          <w:p>
            <w:pPr>
              <w:spacing w:after="0"/>
              <w:rPr>
                <w:sz w:val="17"/>
                <w:szCs w:val="17"/>
                <w:color w:val="auto"/>
              </w:rPr>
            </w:pPr>
          </w:p>
        </w:tc>
      </w:tr>
      <w:tr>
        <w:trPr>
          <w:trHeight w:val="196"/>
        </w:trPr>
        <w:tc>
          <w:tcPr>
            <w:tcW w:w="4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120" w:type="dxa"/>
            <w:vAlign w:val="bottom"/>
          </w:tcPr>
          <w:p>
            <w:pPr>
              <w:spacing w:after="0"/>
              <w:rPr>
                <w:sz w:val="17"/>
                <w:szCs w:val="17"/>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3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Vice President and Global Controller</w:t>
            </w:r>
          </w:p>
        </w:tc>
        <w:tc>
          <w:tcPr>
            <w:tcW w:w="220" w:type="dxa"/>
            <w:vAlign w:val="bottom"/>
            <w:gridSpan w:val="4"/>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3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and Principal Accounting</w:t>
            </w:r>
          </w:p>
        </w:tc>
        <w:tc>
          <w:tcPr>
            <w:tcW w:w="16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40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4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120" w:type="dxa"/>
            <w:vAlign w:val="bottom"/>
          </w:tcPr>
          <w:p>
            <w:pPr>
              <w:spacing w:after="0"/>
              <w:rPr>
                <w:sz w:val="17"/>
                <w:szCs w:val="17"/>
                <w:color w:val="auto"/>
              </w:rPr>
            </w:pPr>
          </w:p>
        </w:tc>
      </w:tr>
      <w:tr>
        <w:trPr>
          <w:trHeight w:val="20"/>
        </w:trPr>
        <w:tc>
          <w:tcPr>
            <w:tcW w:w="5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420" w:space="620"/>
            <w:col w:w="1020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Vice President and</w:t>
            </w:r>
          </w:p>
        </w:tc>
        <w:tc>
          <w:tcPr>
            <w:tcW w:w="1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Global Controller (Principal Financial Officer and</w:t>
            </w:r>
          </w:p>
        </w:tc>
        <w:tc>
          <w:tcPr>
            <w:tcW w:w="480" w:type="dxa"/>
            <w:vAlign w:val="bottom"/>
            <w:gridSpan w:val="3"/>
          </w:tcPr>
          <w:p>
            <w:pPr>
              <w:spacing w:after="0"/>
              <w:rPr>
                <w:sz w:val="17"/>
                <w:szCs w:val="17"/>
                <w:color w:val="auto"/>
              </w:rPr>
            </w:pPr>
          </w:p>
        </w:tc>
        <w:tc>
          <w:tcPr>
            <w:tcW w:w="60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906 of</w:t>
            </w:r>
          </w:p>
        </w:tc>
        <w:tc>
          <w:tcPr>
            <w:tcW w:w="60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60" w:type="dxa"/>
            <w:vAlign w:val="bottom"/>
          </w:tcPr>
          <w:p>
            <w:pPr>
              <w:spacing w:after="0"/>
              <w:rPr>
                <w:sz w:val="17"/>
                <w:szCs w:val="17"/>
                <w:color w:val="auto"/>
              </w:rPr>
            </w:pPr>
          </w:p>
        </w:tc>
      </w:tr>
      <w:tr>
        <w:trPr>
          <w:trHeight w:val="20"/>
        </w:trPr>
        <w:tc>
          <w:tcPr>
            <w:tcW w:w="1040" w:type="dxa"/>
            <w:vAlign w:val="bottom"/>
            <w:gridSpan w:val="3"/>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5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1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60" w:type="dxa"/>
            <w:vAlign w:val="bottom"/>
          </w:tcPr>
          <w:p>
            <w:pPr>
              <w:spacing w:after="0"/>
              <w:rPr>
                <w:sz w:val="20"/>
                <w:szCs w:val="20"/>
                <w:color w:val="auto"/>
              </w:rPr>
            </w:pPr>
          </w:p>
        </w:tc>
      </w:tr>
      <w:tr>
        <w:trPr>
          <w:trHeight w:val="31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60" w:type="dxa"/>
            <w:vAlign w:val="bottom"/>
          </w:tcPr>
          <w:p>
            <w:pPr>
              <w:spacing w:after="0"/>
              <w:rPr>
                <w:sz w:val="20"/>
                <w:szCs w:val="20"/>
                <w:color w:val="auto"/>
              </w:rPr>
            </w:pPr>
          </w:p>
        </w:tc>
      </w:tr>
      <w:tr>
        <w:trPr>
          <w:trHeight w:val="31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60" w:type="dxa"/>
            <w:vAlign w:val="bottom"/>
          </w:tcPr>
          <w:p>
            <w:pPr>
              <w:spacing w:after="0"/>
              <w:rPr>
                <w:sz w:val="20"/>
                <w:szCs w:val="20"/>
                <w:color w:val="auto"/>
              </w:rPr>
            </w:pPr>
          </w:p>
        </w:tc>
      </w:tr>
      <w:tr>
        <w:trPr>
          <w:trHeight w:val="31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60" w:type="dxa"/>
            <w:vAlign w:val="bottom"/>
          </w:tcPr>
          <w:p>
            <w:pPr>
              <w:spacing w:after="0"/>
              <w:rPr>
                <w:sz w:val="20"/>
                <w:szCs w:val="20"/>
                <w:color w:val="auto"/>
              </w:rPr>
            </w:pPr>
          </w:p>
        </w:tc>
      </w:tr>
      <w:tr>
        <w:trPr>
          <w:trHeight w:val="319"/>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4"/>
                <w:szCs w:val="24"/>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06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6060" w:type="dxa"/>
            <w:vAlign w:val="bottom"/>
          </w:tcPr>
          <w:p>
            <w:pPr>
              <w:spacing w:after="0"/>
              <w:rPr>
                <w:sz w:val="20"/>
                <w:szCs w:val="20"/>
                <w:color w:val="auto"/>
              </w:rPr>
            </w:pPr>
          </w:p>
        </w:tc>
      </w:tr>
      <w:tr>
        <w:trPr>
          <w:trHeight w:val="86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r>
      <w:tr>
        <w:trPr>
          <w:trHeight w:val="763"/>
        </w:trPr>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7" w:name="page38"/>
    <w:bookmarkEnd w:id="3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Berg</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Fishman</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Aaron Berg</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Aaron Berg</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440" w:firstLine="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78"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Aaron Berg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Peter Fishman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185" Type="http://schemas.openxmlformats.org/officeDocument/2006/relationships/hyperlink" Target="https://www.sec.gov/Archives/edgar/data/897448/000119380525000286/e664262_f6pos-amar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2025-05-07T06:17:55Z</dcterms:created>
  <dcterms:modified xsi:type="dcterms:W3CDTF">2025-05-07T06:17:55Z</dcterms:modified>
</cp:coreProperties>
</file>