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-187325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4"/>
          <w:szCs w:val="24"/>
          <w:color w:val="auto"/>
        </w:rPr>
      </w:pPr>
    </w:p>
    <w:p>
      <w:pPr>
        <w:ind w:left="3780" w:right="1640" w:hanging="3772"/>
        <w:spacing w:after="0" w:line="282" w:lineRule="auto"/>
        <w:tabs>
          <w:tab w:leader="none" w:pos="59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color w:val="auto"/>
        </w:rPr>
        <w:t>September 30, 2019</w:t>
      </w:r>
    </w:p>
    <w:p>
      <w:pPr>
        <w:spacing w:after="0" w:line="16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-20320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4520" w:type="dxa"/>
            <w:vAlign w:val="bottom"/>
          </w:tcPr>
          <w:p>
            <w:pPr>
              <w:jc w:val="center"/>
              <w:ind w:left="901"/>
              <w:spacing w:after="0"/>
              <w:rPr>
                <w:sz w:val="20"/>
                <w:szCs w:val="20"/>
                <w:color w:val="auto"/>
              </w:rPr>
            </w:pPr>
            <w:r>
              <w:rPr>
                <w:rFonts w:ascii="Arial" w:cs="Arial" w:eastAsia="Arial" w:hAnsi="Arial"/>
                <w:sz w:val="18"/>
                <w:szCs w:val="18"/>
                <w:b w:val="1"/>
                <w:bCs w:val="1"/>
                <w:color w:val="auto"/>
                <w:w w:val="90"/>
              </w:rPr>
              <w:t>England and Wales</w:t>
            </w: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40" w:type="dxa"/>
            <w:vAlign w:val="bottom"/>
          </w:tcPr>
          <w:p>
            <w:pPr>
              <w:jc w:val="center"/>
              <w:ind w:right="1580"/>
              <w:spacing w:after="0"/>
              <w:rPr>
                <w:sz w:val="20"/>
                <w:szCs w:val="20"/>
                <w:color w:val="auto"/>
              </w:rPr>
            </w:pPr>
            <w:r>
              <w:rPr>
                <w:rFonts w:ascii="Arial" w:cs="Arial" w:eastAsia="Arial" w:hAnsi="Arial"/>
                <w:sz w:val="18"/>
                <w:szCs w:val="18"/>
                <w:b w:val="1"/>
                <w:bCs w:val="1"/>
                <w:color w:val="auto"/>
                <w:w w:val="90"/>
              </w:rPr>
              <w:t>Not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520" w:type="dxa"/>
            <w:vAlign w:val="bottom"/>
          </w:tcPr>
          <w:p>
            <w:pPr>
              <w:jc w:val="center"/>
              <w:ind w:left="9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940" w:type="dxa"/>
            <w:vAlign w:val="bottom"/>
          </w:tcPr>
          <w:p>
            <w:pPr>
              <w:jc w:val="center"/>
              <w:ind w:right="158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520" w:type="dxa"/>
            <w:vAlign w:val="bottom"/>
          </w:tcPr>
          <w:p>
            <w:pPr>
              <w:jc w:val="center"/>
              <w:ind w:left="901"/>
              <w:spacing w:after="0"/>
              <w:rPr>
                <w:sz w:val="20"/>
                <w:szCs w:val="20"/>
                <w:color w:val="auto"/>
              </w:rPr>
            </w:pPr>
            <w:r>
              <w:rPr>
                <w:rFonts w:ascii="Arial" w:cs="Arial" w:eastAsia="Arial" w:hAnsi="Arial"/>
                <w:sz w:val="14"/>
                <w:szCs w:val="14"/>
                <w:b w:val="1"/>
                <w:bCs w:val="1"/>
                <w:color w:val="auto"/>
                <w:w w:val="95"/>
              </w:rPr>
              <w:t>Incorporation or Organization)</w:t>
            </w:r>
          </w:p>
        </w:tc>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40" w:type="dxa"/>
            <w:vAlign w:val="bottom"/>
          </w:tcPr>
          <w:p>
            <w:pPr>
              <w:jc w:val="center"/>
              <w:ind w:right="158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4520" w:type="dxa"/>
            <w:vAlign w:val="bottom"/>
          </w:tcPr>
          <w:p>
            <w:pPr>
              <w:jc w:val="center"/>
              <w:ind w:left="901"/>
              <w:spacing w:after="0"/>
              <w:rPr>
                <w:sz w:val="20"/>
                <w:szCs w:val="20"/>
                <w:color w:val="auto"/>
              </w:rPr>
            </w:pPr>
            <w:r>
              <w:rPr>
                <w:rFonts w:ascii="Arial" w:cs="Arial" w:eastAsia="Arial" w:hAnsi="Arial"/>
                <w:sz w:val="18"/>
                <w:szCs w:val="18"/>
                <w:b w:val="1"/>
                <w:bCs w:val="1"/>
                <w:color w:val="auto"/>
                <w:w w:val="89"/>
              </w:rPr>
              <w:t>77 Sir John Rogerson’s Quay, Block C,</w:t>
            </w: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40" w:type="dxa"/>
            <w:vAlign w:val="bottom"/>
          </w:tcPr>
          <w:p>
            <w:pPr>
              <w:jc w:val="center"/>
              <w:ind w:right="1580"/>
              <w:spacing w:after="0"/>
              <w:rPr>
                <w:sz w:val="20"/>
                <w:szCs w:val="20"/>
                <w:color w:val="auto"/>
              </w:rPr>
            </w:pPr>
            <w:r>
              <w:rPr>
                <w:rFonts w:ascii="Arial" w:cs="Arial" w:eastAsia="Arial" w:hAnsi="Arial"/>
                <w:sz w:val="18"/>
                <w:szCs w:val="18"/>
                <w:b w:val="1"/>
                <w:bCs w:val="1"/>
                <w:color w:val="auto"/>
                <w:w w:val="94"/>
              </w:rPr>
              <w:t>Dublin 2, Ireland</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4520" w:type="dxa"/>
            <w:vAlign w:val="bottom"/>
          </w:tcPr>
          <w:p>
            <w:pPr>
              <w:jc w:val="center"/>
              <w:ind w:left="901"/>
              <w:spacing w:after="0"/>
              <w:rPr>
                <w:sz w:val="20"/>
                <w:szCs w:val="20"/>
                <w:color w:val="auto"/>
              </w:rPr>
            </w:pPr>
            <w:r>
              <w:rPr>
                <w:rFonts w:ascii="Arial" w:cs="Arial" w:eastAsia="Arial" w:hAnsi="Arial"/>
                <w:sz w:val="18"/>
                <w:szCs w:val="18"/>
                <w:b w:val="1"/>
                <w:bCs w:val="1"/>
                <w:color w:val="auto"/>
                <w:w w:val="91"/>
              </w:rPr>
              <w:t>Grand Canal Docklands</w:t>
            </w:r>
          </w:p>
        </w:tc>
        <w:tc>
          <w:tcPr>
            <w:tcW w:w="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520" w:type="dxa"/>
            <w:vAlign w:val="bottom"/>
          </w:tcPr>
          <w:p>
            <w:pPr>
              <w:jc w:val="center"/>
              <w:ind w:left="90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40" w:type="dxa"/>
            <w:vAlign w:val="bottom"/>
          </w:tcPr>
          <w:p>
            <w:pPr>
              <w:jc w:val="center"/>
              <w:ind w:right="15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0" w:type="dxa"/>
            <w:vAlign w:val="bottom"/>
          </w:tcPr>
          <w:p>
            <w:pPr>
              <w:spacing w:after="0"/>
              <w:rPr>
                <w:sz w:val="1"/>
                <w:szCs w:val="1"/>
                <w:color w:val="auto"/>
              </w:rPr>
            </w:pPr>
          </w:p>
        </w:tc>
      </w:tr>
      <w:tr>
        <w:trPr>
          <w:trHeight w:val="347"/>
        </w:trPr>
        <w:tc>
          <w:tcPr>
            <w:tcW w:w="60" w:type="dxa"/>
            <w:vAlign w:val="bottom"/>
          </w:tcPr>
          <w:p>
            <w:pPr>
              <w:spacing w:after="0"/>
              <w:rPr>
                <w:sz w:val="24"/>
                <w:szCs w:val="24"/>
                <w:color w:val="auto"/>
              </w:rPr>
            </w:pPr>
          </w:p>
        </w:tc>
        <w:tc>
          <w:tcPr>
            <w:tcW w:w="7420" w:type="dxa"/>
            <w:vAlign w:val="bottom"/>
            <w:gridSpan w:val="4"/>
          </w:tcPr>
          <w:p>
            <w:pPr>
              <w:jc w:val="center"/>
              <w:ind w:left="3801"/>
              <w:spacing w:after="0"/>
              <w:rPr>
                <w:sz w:val="20"/>
                <w:szCs w:val="20"/>
                <w:color w:val="auto"/>
              </w:rPr>
            </w:pPr>
            <w:r>
              <w:rPr>
                <w:rFonts w:ascii="Arial" w:cs="Arial" w:eastAsia="Arial" w:hAnsi="Arial"/>
                <w:sz w:val="13"/>
                <w:szCs w:val="13"/>
                <w:b w:val="1"/>
                <w:bCs w:val="1"/>
                <w:color w:val="auto"/>
                <w:w w:val="87"/>
              </w:rPr>
              <w:t>Former name or former address, if changed since last report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45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60" w:type="dxa"/>
            <w:vAlign w:val="bottom"/>
            <w:tcBorders>
              <w:right w:val="single" w:sz="8" w:color="auto"/>
            </w:tcBorders>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600" w:type="dxa"/>
            <w:vAlign w:val="bottom"/>
          </w:tcPr>
          <w:p>
            <w:pPr>
              <w:spacing w:after="0"/>
              <w:rPr>
                <w:sz w:val="18"/>
                <w:szCs w:val="18"/>
                <w:color w:val="auto"/>
              </w:rPr>
            </w:pPr>
          </w:p>
        </w:tc>
        <w:tc>
          <w:tcPr>
            <w:tcW w:w="3940" w:type="dxa"/>
            <w:vAlign w:val="bottom"/>
            <w:tcBorders>
              <w:right w:val="single" w:sz="8" w:color="auto"/>
            </w:tcBorders>
          </w:tcPr>
          <w:p>
            <w:pPr>
              <w:jc w:val="center"/>
              <w:ind w:right="560"/>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33"/>
        </w:trPr>
        <w:tc>
          <w:tcPr>
            <w:tcW w:w="60" w:type="dxa"/>
            <w:vAlign w:val="bottom"/>
            <w:tcBorders>
              <w:right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tcPr>
          <w:p>
            <w:pPr>
              <w:spacing w:after="0"/>
              <w:rPr>
                <w:sz w:val="17"/>
                <w:szCs w:val="17"/>
                <w:color w:val="auto"/>
              </w:rPr>
            </w:pPr>
          </w:p>
        </w:tc>
        <w:tc>
          <w:tcPr>
            <w:tcW w:w="4520" w:type="dxa"/>
            <w:vAlign w:val="bottom"/>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Borders>
              <w:right w:val="single" w:sz="8" w:color="auto"/>
            </w:tcBorders>
          </w:tcPr>
          <w:p>
            <w:pPr>
              <w:spacing w:after="0"/>
              <w:rPr>
                <w:sz w:val="17"/>
                <w:szCs w:val="17"/>
                <w:color w:val="auto"/>
              </w:rPr>
            </w:pPr>
          </w:p>
        </w:tc>
        <w:tc>
          <w:tcPr>
            <w:tcW w:w="4520" w:type="dxa"/>
            <w:vAlign w:val="bottom"/>
          </w:tcPr>
          <w:p>
            <w:pPr>
              <w:jc w:val="center"/>
              <w:spacing w:after="0"/>
              <w:rPr>
                <w:sz w:val="20"/>
                <w:szCs w:val="20"/>
                <w:color w:val="auto"/>
              </w:rPr>
            </w:pPr>
            <w:r>
              <w:rPr>
                <w:rFonts w:ascii="Arial" w:cs="Arial" w:eastAsia="Arial" w:hAnsi="Arial"/>
                <w:sz w:val="16"/>
                <w:szCs w:val="16"/>
                <w:color w:val="auto"/>
                <w:w w:val="95"/>
              </w:rPr>
              <w:t>Amarin Corporation plc</w:t>
            </w:r>
          </w:p>
        </w:tc>
        <w:tc>
          <w:tcPr>
            <w:tcW w:w="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600" w:type="dxa"/>
            <w:vAlign w:val="bottom"/>
          </w:tcPr>
          <w:p>
            <w:pPr>
              <w:spacing w:after="0"/>
              <w:rPr>
                <w:sz w:val="17"/>
                <w:szCs w:val="17"/>
                <w:color w:val="auto"/>
              </w:rPr>
            </w:pPr>
          </w:p>
        </w:tc>
        <w:tc>
          <w:tcPr>
            <w:tcW w:w="3940" w:type="dxa"/>
            <w:vAlign w:val="bottom"/>
            <w:tcBorders>
              <w:right w:val="single" w:sz="8" w:color="auto"/>
            </w:tcBorders>
          </w:tcPr>
          <w:p>
            <w:pPr>
              <w:jc w:val="center"/>
              <w:ind w:right="560"/>
              <w:spacing w:after="0"/>
              <w:rPr>
                <w:sz w:val="20"/>
                <w:szCs w:val="20"/>
                <w:color w:val="auto"/>
              </w:rPr>
            </w:pPr>
            <w:r>
              <w:rPr>
                <w:rFonts w:ascii="Arial" w:cs="Arial" w:eastAsia="Arial" w:hAnsi="Arial"/>
                <w:sz w:val="16"/>
                <w:szCs w:val="16"/>
                <w:color w:val="auto"/>
                <w:w w:val="97"/>
              </w:rPr>
              <w:t>NASDAQ Stock Market LLC</w:t>
            </w:r>
          </w:p>
        </w:tc>
        <w:tc>
          <w:tcPr>
            <w:tcW w:w="0" w:type="dxa"/>
            <w:vAlign w:val="bottom"/>
          </w:tcPr>
          <w:p>
            <w:pPr>
              <w:spacing w:after="0"/>
              <w:rPr>
                <w:sz w:val="1"/>
                <w:szCs w:val="1"/>
                <w:color w:val="auto"/>
              </w:rPr>
            </w:pPr>
          </w:p>
        </w:tc>
      </w:tr>
      <w:tr>
        <w:trPr>
          <w:trHeight w:val="33"/>
        </w:trPr>
        <w:tc>
          <w:tcPr>
            <w:tcW w:w="60" w:type="dxa"/>
            <w:vAlign w:val="bottom"/>
            <w:tcBorders>
              <w:right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6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6"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358,906,887 common shares were outstanding as of November 1, 2019, including 358,703,359 shares held as American Depositary Shares (ADSs), each representing one Ordinary Share, 50 pence par value per share and 203,528 Ordinary Shares. In addition, 28,931,746 ordinary share equivalents were issuable in exchange for outstanding preferred shares as of November 1, 2019, for a total of 387,838,633 ordinary shares and ordinary share equivalents outstanding as of November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Borders>
              <w:bottom w:val="single" w:sz="8" w:color="0000EE"/>
            </w:tcBorders>
            <w:gridSpan w:val="14"/>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2019 and December 31, 2018</w:t>
              </w:r>
            </w:hyperlink>
          </w:p>
        </w:tc>
        <w:tc>
          <w:tcPr>
            <w:tcW w:w="2440" w:type="dxa"/>
            <w:vAlign w:val="bottom"/>
            <w:gridSpan w:val="4"/>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2019 and 2018</w:t>
              </w:r>
            </w:hyperlink>
          </w:p>
        </w:tc>
        <w:tc>
          <w:tcPr>
            <w:tcW w:w="52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8"/>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Changes in Stockholders’ Equity (Deficit) for the nine months ended September 30,</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and 2018</w:t>
              </w:r>
            </w:hyperlink>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nine months ended September 30, 2019 and 2018</w:t>
              </w:r>
            </w:hyperlink>
          </w:p>
        </w:tc>
        <w:tc>
          <w:tcPr>
            <w:tcW w:w="118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020" w:type="dxa"/>
            <w:vAlign w:val="bottom"/>
            <w:gridSpan w:val="9"/>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5"/>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8120" w:type="dxa"/>
            <w:vAlign w:val="bottom"/>
            <w:gridSpan w:val="1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11"/>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30,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673,207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848,110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Operating lease right-of-use asset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866,937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42,042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229,712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271,041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Series A Convertible Preferred Stock, £0.05 par, unlimited authorized; 289,317,460 shares issued</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3"/>
              </w:rPr>
              <w:t>and outstanding as of September 30, 2019 and December 31, 2018 (equivalent to 28,931,746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ordinary shares upon future consolidation and redesignation at a 10:1 ratio)</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500"/>
              <w:spacing w:after="0"/>
              <w:rPr>
                <w:sz w:val="20"/>
                <w:szCs w:val="20"/>
                <w:color w:val="auto"/>
              </w:rPr>
            </w:pPr>
            <w:r>
              <w:rPr>
                <w:rFonts w:ascii="Arial" w:cs="Arial" w:eastAsia="Arial" w:hAnsi="Arial"/>
                <w:sz w:val="18"/>
                <w:szCs w:val="18"/>
                <w:color w:val="auto"/>
                <w:w w:val="91"/>
              </w:rPr>
              <w:t>Common stock, £0.50 par, unlimited authorized; 361,368,945 issued, 357,527,330 outstanding as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640"/>
              <w:spacing w:after="0"/>
              <w:rPr>
                <w:sz w:val="20"/>
                <w:szCs w:val="20"/>
                <w:color w:val="auto"/>
              </w:rPr>
            </w:pPr>
            <w:r>
              <w:rPr>
                <w:rFonts w:ascii="Arial" w:cs="Arial" w:eastAsia="Arial" w:hAnsi="Arial"/>
                <w:sz w:val="18"/>
                <w:szCs w:val="18"/>
                <w:color w:val="auto"/>
                <w:w w:val="91"/>
              </w:rPr>
              <w:t>of September 30, 2019; 329,110,863 issued, 325,850,013 outstanding as of December 31, 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266,878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1,745,946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500"/>
              <w:spacing w:after="0"/>
              <w:rPr>
                <w:sz w:val="20"/>
                <w:szCs w:val="20"/>
                <w:color w:val="auto"/>
              </w:rPr>
            </w:pPr>
            <w:r>
              <w:rPr>
                <w:rFonts w:ascii="Arial" w:cs="Arial" w:eastAsia="Arial" w:hAnsi="Arial"/>
                <w:sz w:val="18"/>
                <w:szCs w:val="18"/>
                <w:color w:val="auto"/>
                <w:w w:val="90"/>
              </w:rPr>
              <w:t>Treasury stock; 3,841,615 shares as of September 30, 2019; 3,260,850 shares as of December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6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(20,533)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(1,418,245)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(1,388,532)</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866,937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385,714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86,964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expense,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1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350,994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295,595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336,938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6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Treasury</w:t>
            </w: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Treasury</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06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289,317,460</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329,110,863</w:t>
            </w: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(3,260,850)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21,850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246,663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1,282,762</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(10,413)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(1,388,532)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152,330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3,838,739</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15,456</w:t>
            </w:r>
          </w:p>
        </w:tc>
        <w:tc>
          <w:tcPr>
            <w:tcW w:w="80" w:type="dxa"/>
            <w:vAlign w:val="bottom"/>
          </w:tcPr>
          <w:p>
            <w:pPr>
              <w:spacing w:after="0"/>
              <w:rPr>
                <w:sz w:val="19"/>
                <w:szCs w:val="19"/>
                <w:color w:val="auto"/>
              </w:rPr>
            </w:pPr>
          </w:p>
        </w:tc>
      </w:tr>
      <w:tr>
        <w:trPr>
          <w:trHeight w:val="215"/>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w w:val="98"/>
              </w:rPr>
              <w:t>Vesting of restricted stock</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1,416,124</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(526,708)</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(929)</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(9,080)</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(9,080)</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3"/>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6,596</w:t>
            </w:r>
          </w:p>
        </w:tc>
        <w:tc>
          <w:tcPr>
            <w:tcW w:w="80" w:type="dxa"/>
            <w:vAlign w:val="bottom"/>
          </w:tcPr>
          <w:p>
            <w:pPr>
              <w:spacing w:after="0"/>
              <w:rPr>
                <w:sz w:val="19"/>
                <w:szCs w:val="19"/>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(24,431)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(24,431)</w:t>
            </w:r>
          </w:p>
        </w:tc>
      </w:tr>
      <w:tr>
        <w:trPr>
          <w:trHeight w:val="263"/>
        </w:trPr>
        <w:tc>
          <w:tcPr>
            <w:tcW w:w="2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March 31,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289,317,460</w:t>
            </w:r>
          </w:p>
        </w:tc>
        <w:tc>
          <w:tcPr>
            <w:tcW w:w="12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334,365,726</w:t>
            </w:r>
          </w:p>
        </w:tc>
        <w:tc>
          <w:tcPr>
            <w:tcW w:w="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(3,787,558)</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21,850</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250,088</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1,301,389</w:t>
            </w:r>
          </w:p>
        </w:tc>
        <w:tc>
          <w:tcPr>
            <w:tcW w:w="1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(1,412,963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140,871</w:t>
            </w:r>
          </w:p>
        </w:tc>
        <w:tc>
          <w:tcPr>
            <w:tcW w:w="80" w:type="dxa"/>
            <w:vAlign w:val="bottom"/>
            <w:tcBorders>
              <w:bottom w:val="single" w:sz="8" w:color="CFF0FC"/>
            </w:tcBorders>
          </w:tcPr>
          <w:p>
            <w:pPr>
              <w:spacing w:after="0"/>
              <w:rPr>
                <w:sz w:val="22"/>
                <w:szCs w:val="22"/>
                <w:color w:val="auto"/>
              </w:rPr>
            </w:pPr>
          </w:p>
        </w:tc>
      </w:tr>
      <w:tr>
        <w:trPr>
          <w:trHeight w:val="196"/>
        </w:trPr>
        <w:tc>
          <w:tcPr>
            <w:tcW w:w="2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5"/>
              </w:rPr>
              <w:t>Issuance of common stock</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employee stock</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47,358</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FF0FC"/>
          </w:tcPr>
          <w:p>
            <w:pPr>
              <w:spacing w:after="0"/>
              <w:rPr>
                <w:sz w:val="20"/>
                <w:szCs w:val="20"/>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619,404</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1,888</w:t>
            </w:r>
          </w:p>
        </w:tc>
        <w:tc>
          <w:tcPr>
            <w:tcW w:w="80" w:type="dxa"/>
            <w:vAlign w:val="bottom"/>
          </w:tcPr>
          <w:p>
            <w:pPr>
              <w:spacing w:after="0"/>
              <w:rPr>
                <w:sz w:val="19"/>
                <w:szCs w:val="19"/>
                <w:color w:val="auto"/>
              </w:rPr>
            </w:pPr>
          </w:p>
        </w:tc>
      </w:tr>
      <w:tr>
        <w:trPr>
          <w:trHeight w:val="215"/>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w w:val="98"/>
              </w:rPr>
              <w:t>Vesting of restricted stock</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116,937</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(54,057)</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(1,040)</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w w:val="93"/>
              </w:rPr>
              <w:t>Stock-based compensation</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8,351</w:t>
            </w:r>
          </w:p>
        </w:tc>
        <w:tc>
          <w:tcPr>
            <w:tcW w:w="80" w:type="dxa"/>
            <w:vAlign w:val="bottom"/>
          </w:tcPr>
          <w:p>
            <w:pPr>
              <w:spacing w:after="0"/>
              <w:rPr>
                <w:sz w:val="19"/>
                <w:szCs w:val="19"/>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(1,820)</w:t>
            </w:r>
          </w:p>
        </w:tc>
      </w:tr>
      <w:tr>
        <w:trPr>
          <w:trHeight w:val="263"/>
        </w:trPr>
        <w:tc>
          <w:tcPr>
            <w:tcW w:w="20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June 30,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289,317,460</w:t>
            </w:r>
          </w:p>
        </w:tc>
        <w:tc>
          <w:tcPr>
            <w:tcW w:w="12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335,149,425</w:t>
            </w:r>
          </w:p>
        </w:tc>
        <w:tc>
          <w:tcPr>
            <w:tcW w:w="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(3,841,615)</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21,850</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250,588</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1,311,965</w:t>
            </w:r>
          </w:p>
        </w:tc>
        <w:tc>
          <w:tcPr>
            <w:tcW w:w="1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(1,414,783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149,087</w:t>
            </w:r>
          </w:p>
        </w:tc>
        <w:tc>
          <w:tcPr>
            <w:tcW w:w="80" w:type="dxa"/>
            <w:vAlign w:val="bottom"/>
            <w:tcBorders>
              <w:bottom w:val="single" w:sz="8" w:color="CFF0FC"/>
            </w:tcBorders>
          </w:tcPr>
          <w:p>
            <w:pPr>
              <w:spacing w:after="0"/>
              <w:rPr>
                <w:sz w:val="22"/>
                <w:szCs w:val="22"/>
                <w:color w:val="auto"/>
              </w:rPr>
            </w:pPr>
          </w:p>
        </w:tc>
      </w:tr>
      <w:tr>
        <w:trPr>
          <w:trHeight w:val="196"/>
        </w:trPr>
        <w:tc>
          <w:tcPr>
            <w:tcW w:w="2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3"/>
              </w:rPr>
              <w:t>Issuance of common stock,</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2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transaction costs</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25,555,556</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424,229</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440,108</w:t>
            </w:r>
          </w:p>
        </w:tc>
        <w:tc>
          <w:tcPr>
            <w:tcW w:w="80" w:type="dxa"/>
            <w:vAlign w:val="bottom"/>
            <w:shd w:val="clear" w:color="auto" w:fill="CFF0FC"/>
          </w:tcPr>
          <w:p>
            <w:pPr>
              <w:spacing w:after="0"/>
              <w:rPr>
                <w:sz w:val="20"/>
                <w:szCs w:val="20"/>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663,964</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r>
      <w:tr>
        <w:trPr>
          <w:trHeight w:val="230"/>
        </w:trPr>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w w:val="93"/>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w:t>
            </w:r>
          </w:p>
        </w:tc>
        <w:tc>
          <w:tcPr>
            <w:tcW w:w="80" w:type="dxa"/>
            <w:vAlign w:val="bottom"/>
            <w:shd w:val="clear" w:color="auto" w:fill="CFF0FC"/>
          </w:tcPr>
          <w:p>
            <w:pPr>
              <w:spacing w:after="0"/>
              <w:rPr>
                <w:sz w:val="19"/>
                <w:szCs w:val="19"/>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Loss for the period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(3,462)</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r>
      <w:tr>
        <w:trPr>
          <w:trHeight w:val="223"/>
        </w:trPr>
        <w:tc>
          <w:tcPr>
            <w:tcW w:w="2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289,317,460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361,368,945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(3,841,615)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21,850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266,878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1,745,946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(20,533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(1,418,245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595,896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2"/>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Additional</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Preferred</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Treasury</w:t>
            </w: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140" w:type="dxa"/>
            <w:vAlign w:val="bottom"/>
            <w:vMerge w:val="continue"/>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328,184,640</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272,719,044</w:t>
            </w:r>
          </w:p>
        </w:tc>
        <w:tc>
          <w:tcPr>
            <w:tcW w:w="1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(1,697,033)</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24,364</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208,768</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977,866</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(4,229)</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(1,271,869)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(65,100)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Cumulative-effect</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b w:val="1"/>
                <w:bCs w:val="1"/>
                <w:color w:val="auto"/>
              </w:rPr>
              <w:t>January 1, 2018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328,184,640</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272,719,044</w:t>
            </w:r>
          </w:p>
        </w:tc>
        <w:tc>
          <w:tcPr>
            <w:tcW w:w="1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(1,697,033)</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24,364</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208,768</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977,866</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(4,229)</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(1,272,087)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(65,318)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w w:val="97"/>
              </w:rPr>
              <w:t>Issuance of common stock,</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transaction costs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20,616,438</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55,372</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782,553</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1,838,380</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(675,242)</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7"/>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(24,095)</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March 31, 2018</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328,184,640</w:t>
            </w:r>
          </w:p>
        </w:tc>
        <w:tc>
          <w:tcPr>
            <w:tcW w:w="16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295,956,415</w:t>
            </w:r>
          </w:p>
        </w:tc>
        <w:tc>
          <w:tcPr>
            <w:tcW w:w="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(2,372,275)</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24,364</w:t>
            </w: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225,246</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1,036,697</w:t>
            </w:r>
          </w:p>
        </w:tc>
        <w:tc>
          <w:tcPr>
            <w:tcW w:w="14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(6,782</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(1,296,182</w:t>
            </w:r>
          </w:p>
        </w:tc>
        <w:tc>
          <w:tcPr>
            <w:tcW w:w="1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(16,657</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Issuance of common stock</w:t>
            </w: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employee stock</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127,872</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173,679</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90,937</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(41,252)</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7"/>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3,606</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(34,210)</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June 30, 2018</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328,184,640</w:t>
            </w:r>
          </w:p>
        </w:tc>
        <w:tc>
          <w:tcPr>
            <w:tcW w:w="16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296,348,903</w:t>
            </w:r>
          </w:p>
        </w:tc>
        <w:tc>
          <w:tcPr>
            <w:tcW w:w="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(2,413,527)</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24,364</w:t>
            </w: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225,507</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1,040,743</w:t>
            </w:r>
          </w:p>
        </w:tc>
        <w:tc>
          <w:tcPr>
            <w:tcW w:w="14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(6,909</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(1,330,392</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(46,687</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21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Conversion of Series A</w:t>
            </w: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Preferred</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net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(38,867,180)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3,886,718</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4,483,007</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11,736</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2,590,688</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(806,071)</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7"/>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6,661</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289,317,460</w:t>
            </w:r>
          </w:p>
        </w:tc>
        <w:tc>
          <w:tcPr>
            <w:tcW w:w="1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307,309,316</w:t>
            </w:r>
          </w:p>
        </w:tc>
        <w:tc>
          <w:tcPr>
            <w:tcW w:w="1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(3,219,598)</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21,850</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232,646</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1,057,408</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(9,867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(1,354,863</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(52,826</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(29,713)</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(82,776)</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(37,060)</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(25,654)</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(13,413)</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(9,914)</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(900)</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(1,131)</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54,962</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(4,322)</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(62,400)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Purchases of furniture, fixtures and equipment</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(2,114)</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Payment of transaction costs for conversion of preferred stock</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440,945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19,544</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Payment on long-term debt from royalty-bearing instrument</w:t>
            </w:r>
          </w:p>
        </w:tc>
        <w:tc>
          <w:tcPr>
            <w:tcW w:w="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(21,441)</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(10,539)</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Taxes paid related to stock-based awards</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(10,120)</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428,928</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NET INCREASE IN CASH AND CASH EQUIVALENTS AND</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426,384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86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250,727</w:t>
            </w:r>
          </w:p>
        </w:tc>
        <w:tc>
          <w:tcPr>
            <w:tcW w:w="30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86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677,111</w:t>
            </w:r>
          </w:p>
        </w:tc>
        <w:tc>
          <w:tcPr>
            <w:tcW w:w="30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8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3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500"/>
              <w:spacing w:after="0"/>
              <w:rPr>
                <w:sz w:val="20"/>
                <w:szCs w:val="20"/>
                <w:color w:val="auto"/>
              </w:rPr>
            </w:pPr>
            <w:r>
              <w:rPr>
                <w:rFonts w:ascii="Arial" w:cs="Arial" w:eastAsia="Arial" w:hAnsi="Arial"/>
                <w:sz w:val="18"/>
                <w:szCs w:val="18"/>
                <w:color w:val="auto"/>
              </w:rPr>
              <w:t>Income taxes</w:t>
            </w: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transactions:</w:t>
            </w: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Initial recognition of operating lease right-of-use asset</w:t>
            </w:r>
          </w:p>
        </w:tc>
        <w:tc>
          <w:tcPr>
            <w:tcW w:w="178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8,995</w:t>
            </w:r>
          </w:p>
        </w:tc>
        <w:tc>
          <w:tcPr>
            <w:tcW w:w="300" w:type="dxa"/>
            <w:vAlign w:val="bottom"/>
          </w:tcPr>
          <w:p>
            <w:pPr>
              <w:spacing w:after="0"/>
              <w:rPr>
                <w:sz w:val="19"/>
                <w:szCs w:val="19"/>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Amarin Corporation plc (“Amarin” or the “Company”) is a pharmaceutical company with expertise in omega-3 fatty acids and lipid science focused on the commercialization and development of therapeutics to improve cardiovascular health and reduce cardiovascular risk. Since its inception, the Company has devoted substantial resources to research and development.</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hypertriglyceridemia. Vascepa is available in the United States (the “U.S.”)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also developed Vascepa for FDA approval of potential additional indications for use. In particular, the Company conducted a cardiovascular outcomes study of Vascepa, titled REDUCE-IT</w:t>
      </w:r>
      <w:r>
        <w:rPr>
          <w:rFonts w:ascii="Arial" w:cs="Arial" w:eastAsia="Arial" w:hAnsi="Arial"/>
          <w:sz w:val="13"/>
          <w:szCs w:val="13"/>
          <w:color w:val="auto"/>
        </w:rPr>
        <w:t>®</w:t>
      </w:r>
      <w:r>
        <w:rPr>
          <w:rFonts w:ascii="Arial" w:cs="Arial" w:eastAsia="Arial" w:hAnsi="Arial"/>
          <w:sz w:val="16"/>
          <w:szCs w:val="16"/>
          <w:color w:val="auto"/>
        </w:rPr>
        <w:t xml:space="preserve"> (Reduction of Cardiovascular Events with EPA—Intervention Trial). The REDUCE-IT study, which commenced in 2011 and completed patient enrollment and randomization of 8,179 individual patients in 2016, was designed to evaluate the efficacy of Vascepa in reducing major cardiovascular events in a high-risk patient population on statin therapy. The REDUCE-IT study topline results were made public in September 2018, and the primary results of the REDUCE-IT study were presented at the 2018 Scientific Sessions of the American Heart Association (AHA) in November 2018 with such results concurrently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of </w:t>
      </w:r>
      <w:r>
        <w:rPr>
          <w:rFonts w:ascii="Arial" w:cs="Arial" w:eastAsia="Arial" w:hAnsi="Arial"/>
          <w:sz w:val="16"/>
          <w:szCs w:val="16"/>
          <w:i w:val="1"/>
          <w:iCs w:val="1"/>
          <w:color w:val="auto"/>
        </w:rPr>
        <w:t>Medicine</w:t>
      </w:r>
      <w:r>
        <w:rPr>
          <w:rFonts w:ascii="Arial" w:cs="Arial" w:eastAsia="Arial" w:hAnsi="Arial"/>
          <w:sz w:val="16"/>
          <w:szCs w:val="16"/>
          <w:color w:val="auto"/>
        </w:rPr>
        <w:t>. The total (first and subsequent) cardiovascular events results of the REDUCE-IT study were presented at the American College of Cardiology’s (ACC) 68</w:t>
      </w:r>
      <w:r>
        <w:rPr>
          <w:rFonts w:ascii="Arial" w:cs="Arial" w:eastAsia="Arial" w:hAnsi="Arial"/>
          <w:sz w:val="13"/>
          <w:szCs w:val="13"/>
          <w:color w:val="auto"/>
        </w:rPr>
        <w:t>th</w:t>
      </w:r>
      <w:r>
        <w:rPr>
          <w:rFonts w:ascii="Arial" w:cs="Arial" w:eastAsia="Arial" w:hAnsi="Arial"/>
          <w:sz w:val="16"/>
          <w:szCs w:val="16"/>
          <w:color w:val="auto"/>
        </w:rPr>
        <w:t xml:space="preserve"> Annual Scientific Session in March 2019 and concurrently published in the </w:t>
      </w:r>
      <w:r>
        <w:rPr>
          <w:rFonts w:ascii="Arial" w:cs="Arial" w:eastAsia="Arial" w:hAnsi="Arial"/>
          <w:sz w:val="16"/>
          <w:szCs w:val="16"/>
          <w:i w:val="1"/>
          <w:iCs w:val="1"/>
          <w:color w:val="auto"/>
        </w:rPr>
        <w:t>Journal of the American College of Cardiology.</w:t>
      </w:r>
      <w:r>
        <w:rPr>
          <w:rFonts w:ascii="Arial" w:cs="Arial" w:eastAsia="Arial" w:hAnsi="Arial"/>
          <w:sz w:val="16"/>
          <w:szCs w:val="16"/>
          <w:color w:val="auto"/>
        </w:rPr>
        <w:t xml:space="preserve"> The Company submitted a supplemental new drug application (sNDA) to the FDA in March 2019 seeking revised labeling for Vascepa based on results of the REDUCE-IT study. In May 2019, the FDA accepted the sNDA for filing and granted Priority Review designation with a Prescription Drug User Fee Act (PDUFA) goal date of September 28, 2019. In August 2019, the FDA notified the Company that it intends to hold an Endocrinologic and Metabolic Drugs Advisory Committee (EMDAC) meeting to review the sNDA. In September 2019, the FDA confirmed the EMDAC meeting will take place on November 14, 2019 and extended the PDUFA goal date to December 28, 2019.</w:t>
      </w:r>
    </w:p>
    <w:p>
      <w:pPr>
        <w:spacing w:after="0" w:line="16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which prior to the REDUCE-IT results topline announcement in September 2018 consisted of approximately 170 sales professionals, including sales representatives and their managers. In early 2019, the Company increased its sales team to approximately 440 sales professionals, including approximately 400 sales representatives. The Company is working to expand its direct sales force to approximately 800 sales professionals for the assumed launch of Vascepa in early 2020 for the cardiovascular risk reduction indication being sought through the sNDA.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September 30, 2019. In years prior to 2019, the Company engaged a co-promotion partner to help promote Vascepa in the United States which co-promotion by mutual agreement was not extended beyond December 31, 2018. Outside of the United States, the Company has entered into agreements with third party companies in select geographies for purposes of pursuing regulatory approval and commercialization of Vascepa. The Company operates in one business segment.</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ind w:right="280"/>
        <w:spacing w:after="0" w:line="264" w:lineRule="auto"/>
        <w:rPr>
          <w:sz w:val="20"/>
          <w:szCs w:val="20"/>
          <w:color w:val="auto"/>
        </w:rPr>
      </w:pPr>
      <w:r>
        <w:rPr>
          <w:rFonts w:ascii="Arial" w:cs="Arial" w:eastAsia="Arial" w:hAnsi="Arial"/>
          <w:sz w:val="18"/>
          <w:szCs w:val="18"/>
          <w:color w:val="auto"/>
        </w:rPr>
        <w:t>conjunction with the Company’s audited consolidated financial statements and notes included in its Annual Report on Form 10-K for the fiscal year ended December 31, 2018, or the 2018 Form 10-K, filed with the SEC. The balance sheet amounts at December 31, 2018 in this report were derived from the Company’s audited 2018 consolidated financial statements included in the 2018 Form 10-K.</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2019 and 2018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2019, the Company had current assets of $848.1 million, including cash and cash equivalents of $673.2 million, accounts receivable, net, of $103.6 million and inventory of $54.6 million. The Company’s condensed consolidated balance sheets also include long-term debt from royalty-bearing instrument which is anticipated to be repaid quarterly calculated as a percentage of Vascepa net revenues until fully satisfied. As of September 30, 2019, the Company had no other debt outstanding.</w:t>
      </w:r>
    </w:p>
    <w:p>
      <w:pPr>
        <w:spacing w:after="0" w:line="31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Trade allowances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(27,947)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(19,495)</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103,583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 w:name="page10"/>
    <w:bookmarkEnd w:id="9"/>
    <w:p>
      <w:pPr>
        <w:ind w:right="400"/>
        <w:spacing w:after="0" w:line="308" w:lineRule="auto"/>
        <w:rPr>
          <w:sz w:val="20"/>
          <w:szCs w:val="20"/>
          <w:color w:val="auto"/>
        </w:rPr>
      </w:pPr>
      <w:r>
        <w:rPr>
          <w:rFonts w:ascii="Arial" w:cs="Arial" w:eastAsia="Arial" w:hAnsi="Arial"/>
          <w:sz w:val="17"/>
          <w:szCs w:val="17"/>
          <w:color w:val="auto"/>
        </w:rPr>
        <w:t>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and its subsidiaries’ income tax returns are periodically examined by various tax authorities, including the Internal Revenue Service (IRS) and states. The Company completed the audit by the IRS for the years 2013 to 2014 in the prior year with no material changes to the filed income tax returns.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88"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2019 and 2018 are as follows:</w:t>
      </w:r>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Three months ended 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6"/>
              </w:rPr>
              <w:t>Weighted average shares outstanding—basic and diluted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350,994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295,595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336,938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nine months ended September 30, 2019 and 2018, the following potentially dilutive securities were not included in the computation of net loss per share because the effect would be anti-dilutive: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76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vMerge w:val="continue"/>
          </w:tcPr>
          <w:p>
            <w:pPr>
              <w:spacing w:after="0"/>
              <w:rPr>
                <w:sz w:val="13"/>
                <w:szCs w:val="13"/>
                <w:color w:val="auto"/>
              </w:rPr>
            </w:pPr>
          </w:p>
        </w:tc>
        <w:tc>
          <w:tcPr>
            <w:tcW w:w="12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16,259</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9,359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9,359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(if converted)</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200" w:type="dxa"/>
            <w:vAlign w:val="bottom"/>
          </w:tcPr>
          <w:p>
            <w:pPr>
              <w:jc w:val="right"/>
              <w:spacing w:after="0"/>
              <w:rPr>
                <w:sz w:val="20"/>
                <w:szCs w:val="20"/>
                <w:color w:val="auto"/>
              </w:rPr>
            </w:pPr>
            <w:r>
              <w:rPr>
                <w:rFonts w:ascii="Arial" w:cs="Arial" w:eastAsia="Arial" w:hAnsi="Arial"/>
                <w:sz w:val="18"/>
                <w:szCs w:val="18"/>
                <w:color w:val="auto"/>
              </w:rPr>
              <w:t>28,932</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25%, 36%, and 29%, respectively, of gross product sales for the nine months ended September 30, 2019, and represented 42%, 23%, and 28%, respectively, of the gross accounts receivable balance as of September 30, 2019. Customers A, B, and C accounted for 26%, 31%, and 31%, respectively, of gross product sales for the nine months ended September 30, 2018 and represented 37%, 33%, and 17%, respectively, of the gross accounts receivable balance as of September 30, 2018. The Company has not experienced any significant write-offs of its accounts receivable.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anticipated demand for Vascepa.</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98" w:right="279" w:bottom="1440" w:gutter="0" w:footer="0" w:header="0"/>
        </w:sectPr>
      </w:pPr>
    </w:p>
    <w:bookmarkStart w:id="11" w:name="page12"/>
    <w:bookmarkEnd w:id="11"/>
    <w:p>
      <w:pPr>
        <w:ind w:right="26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September 30, 2019 and December 31, 2018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10,041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10,041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2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9,880</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9,880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carrying amounts and the estimated fair values of debt instruments as of September 30, 2019 and December 31, 2018 are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2018</w:t>
            </w:r>
          </w:p>
        </w:tc>
      </w:tr>
      <w:tr>
        <w:trPr>
          <w:trHeight w:val="133"/>
        </w:trPr>
        <w:tc>
          <w:tcPr>
            <w:tcW w:w="4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 net of accrued interest</w:t>
            </w:r>
          </w:p>
        </w:tc>
        <w:tc>
          <w:tcPr>
            <w:tcW w:w="8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79,710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78,600</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estimated fair value of the long-term debt from royalty-bearing instrument is calculated utilizing the same Level 3 inputs utilized in valuing the related derivative liability (see Derivative Liabilities below). The carrying value of the long-term debt from royalty-bearing instrument as of both September 30, 2019 and December 31, 2018 did not include a debt discount as it had been fully amortized.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Redemption Feature</w:t>
      </w:r>
    </w:p>
    <w:p>
      <w:pPr>
        <w:spacing w:after="0" w:line="11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September 30, 2019, the fair value of the derivative was determined to be nil, and the debt was valued by comparing debt issues of similar companies with (i) remaining terms of between 0.8 and 7.6 years, (ii) coupon rates of between 6.4% and 11.5% and (iii) market yields of between 5.4% and 18.2%. As of December 31, 2018, the fair value of the derivative was determined to be nil based on underlying assumptions, and the debt was valued by comparing debt issues of similar companies with</w:t>
      </w:r>
    </w:p>
    <w:p>
      <w:pPr>
        <w:spacing w:after="0" w:line="6" w:lineRule="exact"/>
        <w:rPr>
          <w:sz w:val="20"/>
          <w:szCs w:val="20"/>
          <w:color w:val="auto"/>
        </w:rPr>
      </w:pPr>
    </w:p>
    <w:p>
      <w:pPr>
        <w:ind w:right="140" w:firstLine="8"/>
        <w:spacing w:after="0" w:line="277"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remaining terms of between 1.3 and 4.0 years, (ii) coupon rates of between 5.4% and 10.8% and (iii) market yields of between 6.7% and 15.8%. As such, the Company recognized no gain or loss on change in fair value of derivative liability for the nine months ended September 30, 2019. The Company recognized no gain or loss on change in fair value of derivative liability for the nine months ended September 30, 2018.</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changes in the assumptions used to value the derivative liability, including the probability of a change in control, could potentially result in a material change to the carrying value of such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February 2016, the FASB issued Accounting Standard Update (“ASU”) 2016-02, Leases (ASC 842), which supersedes the existing guidance for lease accounting, Leases (Topic 840). ASU 2016-02 requires lessees to recognize a lease liability and a right-of-use asset for virtually all of their leases (other than leases that meet the definition of a short-term lease). Lessor accounting remains largely unchanged except for changes in the definition and classification of leases. ASU 2016-02 requires a modified retrospective approach for all leases existing at, or entered into after the date of initial adoption, with an option to elect to use certain transition relief. The FASB also proposed a transition method to allow entities to not apply the new leases standard in the comparative periods they present in their financial statements in the year of adoption.</w:t>
      </w:r>
    </w:p>
    <w:p>
      <w:pPr>
        <w:spacing w:after="0" w:line="17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On January 1, 2019, the Company adopted ASC 842 using the modified retrospective method for all leases that existed at or commenced after January 1, 2019. The adoption of ASC 842 did not have a material impact on the Company’s condensed consolidated financial statements as of the effective date. See Note 11 – Leases for further details. The Company elected to apply the practical expedients in ASC 842-10-65-1 (f) and therefore:</w:t>
      </w:r>
    </w:p>
    <w:p>
      <w:pPr>
        <w:spacing w:after="0" w:line="39" w:lineRule="exact"/>
        <w:rPr>
          <w:sz w:val="20"/>
          <w:szCs w:val="20"/>
          <w:color w:val="auto"/>
        </w:rPr>
      </w:pPr>
    </w:p>
    <w:p>
      <w:pPr>
        <w:ind w:left="1040" w:right="3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Did not reassess expired contracts for the presence of lease components therein and if it was already concluded that such contracts had lease components then the classification of the respective lease components therein was not re-assessed.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not separate the lease and non-lease components.</w:t>
      </w:r>
    </w:p>
    <w:p>
      <w:pPr>
        <w:spacing w:after="0" w:line="2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to nonemployees by aligning it with the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employees, with certain exceptions. The Company adopted this standard effective January 1, 2019, which did not have a material impact on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pronouncements which were not yet adopted as of September 30, 2019:</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which eliminates, adds and modifies certain disclosure requirements for fair value measurements, including eliminating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condensed consolidated financial statements.</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 consists of the historical acquisition cost of certain technology rights for Vascepa and has an estimated weighted-average remaining useful life of 10.8 years. The carrying value as of September 30, 2019 and December 31, 2018 is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(4,144)</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September 30, 2019 and December 31, 2018 consist of the following:</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inventory, gross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58,089</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Inventory cost adjustment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57,802</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2019, the remaining amount to be repaid to CPPIB is $63.6 million. During the three and nine months ended September 30, 2019, the Company made repayments under the agreement of $10.0 million and $25.0 million, respectively, to CPPIB and an additional $11.2 million is scheduled to be paid in November 2019 for the third quarter of 2019.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nine months ended September 30, 2019 and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As of September 30, 2019 and December 31, 2018, the carrying value of the royalty-bearing instrument, net of the unamortized debt discount and issuance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was $59.5 million and $79.7 million, respectively. During the nine months ended September 30, 2019, the Company recorded cash and non-cash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of $3.4 million and $1.3 million, respectively, in connection with the royalty-bearing instrument.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the Company recorded $4.3 million and $1.5 million of cash and non-cash interest expense, respectively, in connection with the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bearing instrument. The Company will periodically evaluate the remaining term of the agreement and the effective interest rate is recalculated each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 Company’s most current estimate of repayment.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5" w:lineRule="exact"/>
        <w:rPr>
          <w:sz w:val="20"/>
          <w:szCs w:val="20"/>
          <w:color w:val="auto"/>
        </w:rPr>
      </w:pPr>
    </w:p>
    <w:p>
      <w:pPr>
        <w:ind w:left="520" w:right="8320" w:hanging="512"/>
        <w:spacing w:after="0" w:line="378" w:lineRule="auto"/>
        <w:tabs>
          <w:tab w:leader="none" w:pos="5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40"/>
        <w:spacing w:after="0" w:line="342" w:lineRule="auto"/>
        <w:rPr>
          <w:sz w:val="20"/>
          <w:szCs w:val="20"/>
          <w:color w:val="auto"/>
        </w:rPr>
      </w:pPr>
      <w:r>
        <w:rPr>
          <w:rFonts w:ascii="Arial" w:cs="Arial" w:eastAsia="Arial" w:hAnsi="Arial"/>
          <w:sz w:val="16"/>
          <w:szCs w:val="16"/>
          <w:color w:val="auto"/>
        </w:rPr>
        <w:t>In the ordinary course of business, the Company is from time to time involved in lawsuits, claims, investigations, proceedings, and threats of litigation relating to intellectual property, commercial arrangements and other matters. There have been no material changes to such matters as of the date of this filing.</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supply agreements, there is a total of approximately $90.0 million that is potentially payable over the term of such agreements based on minimum purchase obligations. The Company continues to meet its contractual purchase obligations.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$9.2 million as of September 30, 2019).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$6.1 million as of September 30, 2019) for each of the two potential market approvals (i.e. £10 million maximum, or approximately $12.3 million as of September 30,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September 30, 2019.</w:t>
      </w:r>
    </w:p>
    <w:p>
      <w:pPr>
        <w:spacing w:after="0" w:line="352" w:lineRule="exact"/>
        <w:rPr>
          <w:sz w:val="20"/>
          <w:szCs w:val="20"/>
          <w:color w:val="auto"/>
        </w:rPr>
      </w:pPr>
    </w:p>
    <w:p>
      <w:pPr>
        <w:ind w:left="520" w:right="9760" w:hanging="512"/>
        <w:spacing w:after="0" w:line="425" w:lineRule="auto"/>
        <w:tabs>
          <w:tab w:leader="none" w:pos="51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 year holding requirement under Rule 144. During the year ended December 31, 2015, at the request of the holders, a portion of the Series A Preference Shares were consolidated and redesignated, resulting in the issuance of 6,283,333 ADSs.</w:t>
      </w:r>
    </w:p>
    <w:p>
      <w:pPr>
        <w:spacing w:after="0" w:line="1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year ended December 31, 2018, the Company issued 3,886,718 ADSs upon consolidation and redesignation of Series A Preference Shares at the request of the holder, such that a maximum of 28,931,746 ordinary shares remain issuable upon future consolidation and redesignation of the remaining Series A Preference Shares as of September 30, 2019, subject to certain adjustments for dilutive events.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18, 2019, the Company completed a public offering of 22,222,223 ADSs with each ADS representing one ordinary share of the Company, at a price of $18.00 per ADS after commission. In addition, the Company granted the underwriters a 30-day option to purchase up to an additional 3,333,333 ADSs at a price of $18.00 per ADS. On July 29, 2019, the underwriters exercised the full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t>option. This public offering, including the exercised option, resulted in gross proceeds of approximately $460.0 million and, after deducting customary commissions and offering expenses, net proceeds to the Company of approximately $440.1 million.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of September 30, 2019, there were an aggregate of 16,259,328 stock options and 9,358,721 restricted stock units (“RSUs”) outstanding, representing approximately 4% and 2%, respectively, of outstanding shares (including common and preferred shares) on a fully diluted basis.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nine months ended September 30, 2019 and 2018, the Company issued 5,122,107 and 5,439,239 shares, respectively, as a result of the exercise of stock options, resulting in gross and net proceeds of $19.5 million during the nine months ended September 30, 2019 and $16.5 million during the nine months ended September 30, 2018.</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October 2019, in connection with achievement of a predetermined performance-based formula tied to company cash flow, the Company issued 2,436,750 shares upon vesting of performance-based RSUs granted in 2015, of which 1,069,377 shares were retained as treasury shares as settlement of employee tax obligations.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20, 2019, the Company granted a total of 45,163 RSUs and 58,721 stock options to members of the Company’s Board of Directors under the Amarin Corporation plc Stock Incentive Plan (the “2011 Plan”). The RSUs vest in equal installments over a three year period upon the earlier of the anniversary of the grant date or the Company’s annual general meeting of shareholders in such anniversary year. The stock options vest in full upon the earlier of the one 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on May 20, 2019, the Company granted an additional 20,000 RSUs to employees under the 2011 Plan that vest upon the achievement of a specified sales performance condition.</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 February 1, 2019, the Company granted a total of 757,800 RSUs and 1,193,400 stock options to employees under the 2011 Plan. The RSUs vest annually over a three year period and the stock options vest quarterly over a four year period. Also on February 1, 2019, the Company granted a total of 580,000 RSUs to employees under the 2011 Plan that vest upon the achievement of a specified sales performance condition.</w:t>
      </w:r>
    </w:p>
    <w:p>
      <w:pPr>
        <w:spacing w:after="0" w:line="16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14, 2018, the Company granted a total of 190,034 RSUs and 286,536 stock options to members of the Company’s Board of Directors under the 2011 Plan. The RSUs vest in equal installments over a three year period upon the earlier of the anniversary of the grant date or the Company’s annual general meeting of shareholders in such anniversary year. The stock options vest in full upon the earlier of the one 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12, 2018 and November 1, 2018, the Company granted a total of 970,000 RSUs and 90,000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ind w:right="420"/>
        <w:spacing w:after="0" w:line="259" w:lineRule="auto"/>
        <w:rPr>
          <w:sz w:val="20"/>
          <w:szCs w:val="20"/>
          <w:color w:val="auto"/>
        </w:rPr>
      </w:pPr>
      <w:r>
        <w:rPr>
          <w:rFonts w:ascii="Arial" w:cs="Arial" w:eastAsia="Arial" w:hAnsi="Arial"/>
          <w:sz w:val="18"/>
          <w:szCs w:val="18"/>
          <w:color w:val="auto"/>
        </w:rPr>
        <w:t>On February 1, 2018, the Company granted a total of 1,305,575 RSUs and 2,205,075 stock options to employees under the 2011 Plan. The RSUs vest annually over a three year period and the stock options vest monthly over a four year period. During the nine months ended September 30, 2019, the Company issued 387,715 common shares related to the vesting of these RSUs, of which 139,928 shares were retained as treasury shares as settlement of employee tax obligations.</w:t>
      </w:r>
    </w:p>
    <w:p>
      <w:pPr>
        <w:spacing w:after="0" w:line="2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March 31, 2014, the Company entered into a Co-Promotion Agreement (the “Agreement”) with Kowa Pharmaceuticals America, Inc. related to the commercialization of Vascepa capsules in the United States. Under the terms of the Agreement, Amarin granted to Kowa Pharmaceuticals America, Inc. the right to be the sole co-promoter, together with the Company, of Vascepa in the United States during the term. The Agreement was amended on July 25, 2017 to reflect evolving promotional needs, including refinement of target lists. Amarin and Kowa Pharmaceuticals America, Inc. intentionally designed the co-promotion to naturally end as of December 31, 2018 and mutually agreed not to renew the agreement.</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2018, which was the last year of the Agreement, as amended, the Company incurred expense for co-promotion tail payments which are calculated as a percentage of the 2018 co-promotion fee, which was eighteen and a half percent (18.5%) of Vascepa gross margin. The accrued tail payments are paid over three years with declining amounts each year. Kowa Pharmaceuticals America, Inc. is eligible to receive $17.8 million in co-promotion tail payments, the present value of which, $16.6 million, was fully accrued as of December 31, 2018. There were $4.8 million in tail payments made as of September 30, 2019. As of September 30, 2019, of the $12.3 million the Company accrued for in tail payments under the Agreement, $7.6 million was classified as current on the condensed consolidated balance sheet.</w:t>
      </w:r>
    </w:p>
    <w:p>
      <w:pPr>
        <w:spacing w:after="0" w:line="338"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67" w:lineRule="exact"/>
        <w:rPr>
          <w:sz w:val="20"/>
          <w:szCs w:val="20"/>
          <w:color w:val="auto"/>
        </w:rPr>
      </w:pPr>
    </w:p>
    <w:p>
      <w:pPr>
        <w:jc w:val="both"/>
        <w:ind w:left="520" w:right="340" w:firstLine="495"/>
        <w:spacing w:after="0" w:line="264"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 payment terms for sales to Distributors generally include a 2% discount for prompt payment while the fees for distribution services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left="520" w:right="260"/>
        <w:spacing w:after="0" w:line="264" w:lineRule="auto"/>
        <w:rPr>
          <w:sz w:val="20"/>
          <w:szCs w:val="20"/>
          <w:color w:val="auto"/>
        </w:rPr>
      </w:pPr>
      <w:r>
        <w:rPr>
          <w:rFonts w:ascii="Arial" w:cs="Arial" w:eastAsia="Arial" w:hAnsi="Arial"/>
          <w:sz w:val="18"/>
          <w:szCs w:val="18"/>
          <w:color w:val="auto"/>
        </w:rPr>
        <w:t>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3" w:lineRule="exact"/>
        <w:rPr>
          <w:sz w:val="20"/>
          <w:szCs w:val="20"/>
          <w:color w:val="auto"/>
        </w:rPr>
      </w:pPr>
    </w:p>
    <w:p>
      <w:pPr>
        <w:ind w:left="520" w:right="20" w:firstLine="495"/>
        <w:spacing w:after="0" w:line="283"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Medicare, other government agencies and various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w:t>
      </w:r>
    </w:p>
    <w:p>
      <w:pPr>
        <w:spacing w:after="0" w:line="6" w:lineRule="exact"/>
        <w:rPr>
          <w:sz w:val="20"/>
          <w:szCs w:val="20"/>
          <w:color w:val="auto"/>
        </w:rPr>
      </w:pPr>
    </w:p>
    <w:p>
      <w:pPr>
        <w:ind w:left="520" w:right="180" w:firstLine="6"/>
        <w:spacing w:after="0" w:line="254" w:lineRule="auto"/>
        <w:tabs>
          <w:tab w:leader="none" w:pos="8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2" w:lineRule="exact"/>
        <w:rPr>
          <w:sz w:val="20"/>
          <w:szCs w:val="20"/>
          <w:color w:val="auto"/>
        </w:rPr>
      </w:pPr>
    </w:p>
    <w:p>
      <w:pPr>
        <w:ind w:left="520" w:right="60" w:firstLine="495"/>
        <w:spacing w:after="0" w:line="287"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1" w:lineRule="exact"/>
        <w:rPr>
          <w:sz w:val="20"/>
          <w:szCs w:val="20"/>
          <w:color w:val="auto"/>
        </w:rPr>
      </w:pPr>
    </w:p>
    <w:p>
      <w:pPr>
        <w:ind w:left="520" w:right="20" w:firstLine="495"/>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Rebates,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(184,801)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(30,404)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(249,600)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(41,363)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580"/>
              <w:spacing w:after="0"/>
              <w:rPr>
                <w:sz w:val="20"/>
                <w:szCs w:val="20"/>
                <w:color w:val="auto"/>
              </w:rPr>
            </w:pPr>
            <w:r>
              <w:rPr>
                <w:rFonts w:ascii="Arial" w:cs="Arial" w:eastAsia="Arial" w:hAnsi="Arial"/>
                <w:sz w:val="18"/>
                <w:szCs w:val="18"/>
                <w:b w:val="1"/>
                <w:bCs w:val="1"/>
                <w:color w:val="auto"/>
              </w:rPr>
              <w:t>Balance as of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5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Trade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Rebates,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Product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Allowances</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Returns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Incentives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48,093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(15,038)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(106,961)</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(29,594)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(43,617)</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The Company enters into licensing agreements which are within the scope of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the Company’s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component if the expectation at contract inception is such that the period between payment by the customer and the transfer of the promised goods or services to the customer will be one year or less.</w:t>
      </w:r>
    </w:p>
    <w:p>
      <w:pPr>
        <w:spacing w:after="0" w:line="27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which was recorded in research and development expense in the condensed consolidated statement of operations for the year ended December 31, 2018. In addition, the agreement provides for the Company to pay milestone payments upon the achievement of certain product development milestones and royalties on net sales of future products arising from the collaboration, if any.</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7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6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clinical trial aimed to support the regulatory approval of the first indication of Vascepa in a patient population with severe hypertriglyceridemia in Mainland China.</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9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nine months ended September 30, 2019 and 2018, the Company recognized $0.2 million and $0.1 million, respectively, as licensing revenue related to the up-front and milestone payments received in connection with the Eddingpharm agreement. From contract inception through September 30, 2019 and December 31, 2018, the Company recognized $3.0 million and $2.8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$13.0 million and $13.2 million is recorded in deferred revenue as of September 30, 2019 and December 31, 2018, respectively, on the condensed consolidated balance sheets and will be recognized as revenue over the remaining period of 15 years.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right="240"/>
        <w:spacing w:after="0" w:line="257" w:lineRule="auto"/>
        <w:rPr>
          <w:sz w:val="20"/>
          <w:szCs w:val="20"/>
          <w:color w:val="auto"/>
        </w:rPr>
      </w:pPr>
      <w:r>
        <w:rPr>
          <w:rFonts w:ascii="Arial" w:cs="Arial" w:eastAsia="Arial" w:hAnsi="Arial"/>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In addition to the non-refundable, up-front and regulatory milestone payments just described, the Company is entitled to receive certain regulatory and sales-based milestone payments of up to an additional $57.5 million, as well as tiered double-digit royalties on net sales of Vascepa in Canada.</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price includes the $5.0 million up-front consideration and the $2.5 million milestone related to the achievement of the REDUCE-IT trial primary endpoint. None of the other regulatory milestones have been included in the transaction price, as all of the remaining regulatory milestone amounts were fully constrained. As part of its evaluation of the constraint, the Company considered numerous factors, including that receipt of the milestones is outside the control of the Company and contingent upon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nine months ended September 30, 2019 and 2018, the Company recognized $0.9 million and $0.5 million, respectively, as licensing revenue related to up-front and milestone payments received in connection with the HLS agreement. From contract inception through September 30, 2019 and December 31, 2018, the Company recognized $1.8 million and $0.9 million, respectively, as licensing revenue is recognized under the agreement concurrent with the support provided by Amarin to HLS in achieving the performance obligation, which in the Company’s judgment is the best measure of progress towards satisfying the combined performance obligation. The remaining transaction price of $5.7 million and $6.6 million is recorded in deferred revenue as of September 30, 2019 and December 31, 2018, respectively, on the condensed consolidated balance sheets and will be recognized as revenue over the remaining period of 11 years.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changes in the balances of the Company’s contract assets and liabilities during the nine months ended September 30, 2019 and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Deductions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8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 assets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20,710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 liabilities: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2019 and 2018 date, the Company recognized the following revenues as a result of changes in the contract asset and contract liability balances in the respective periods: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9"/>
                <w:szCs w:val="19"/>
                <w:color w:val="auto"/>
              </w:rPr>
            </w:pPr>
          </w:p>
        </w:tc>
        <w:tc>
          <w:tcPr>
            <w:tcW w:w="134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10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1,131</w:t>
            </w:r>
          </w:p>
        </w:tc>
        <w:tc>
          <w:tcPr>
            <w:tcW w:w="3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206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r>
    </w:tbl>
    <w:p>
      <w:pPr>
        <w:spacing w:after="0" w:line="332" w:lineRule="exact"/>
        <w:rPr>
          <w:sz w:val="20"/>
          <w:szCs w:val="20"/>
          <w:color w:val="auto"/>
        </w:rPr>
      </w:pPr>
    </w:p>
    <w:p>
      <w:pPr>
        <w:ind w:left="940" w:hanging="932"/>
        <w:spacing w:after="0"/>
        <w:tabs>
          <w:tab w:leader="none" w:pos="9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3" w:name="page24"/>
    <w:bookmarkEnd w:id="23"/>
    <w:p>
      <w:pPr>
        <w:ind w:right="140"/>
        <w:spacing w:after="0" w:line="273" w:lineRule="auto"/>
        <w:rPr>
          <w:sz w:val="20"/>
          <w:szCs w:val="20"/>
          <w:color w:val="auto"/>
        </w:rPr>
      </w:pPr>
      <w:r>
        <w:rPr>
          <w:rFonts w:ascii="Arial" w:cs="Arial" w:eastAsia="Arial" w:hAnsi="Arial"/>
          <w:sz w:val="17"/>
          <w:szCs w:val="17"/>
          <w:color w:val="auto"/>
        </w:rPr>
        <w:t>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30, 2011, the Company entered into an agreement for office space in Dublin, Ireland which terminated on May 1, 2019. On April 12, 2019 and July 4, 2019, the Company entered into Office Centre Sharing Agreements effective May 1, 2019 and October 1, 2019, respectively, to replace the office space with new office space in Dublin, Ireland which terminates on April 30, 2020 and September 30, 2020, respectively, and can be extended automatically for successive one year periods. On July 1, 2011, the Company leased office space in Bedminster, New Jersey. The lease, as amended, terminated on September 15, 2019. On January 26, 2019, the Company leased additional space in another building in Bedminster, New Jersey, effective February 1, 2019 which also terminated on September 15, 2019.</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These leases have been determined to be short-term leases and the Company is committed to making nominal payments during the next twelve months.</w:t>
      </w:r>
    </w:p>
    <w:p>
      <w:pPr>
        <w:spacing w:after="0" w:line="2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5, 2019, the Company entered into a lease agreement for new office space in Bridgewater, New Jersey (the “Lease”). The Lease commenced on August 15, 2019 (the “Commencement Date”) for an 11 year period, with two five 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$9.6 million and the operating lease right-of-use asset is $8.6 million, as of September 30, 2019. The lease expense for the three and nine months ended September 30, 2019 is approximately $0.4 million and $1.1 million, respectively.</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Undiscounted</w:t>
            </w:r>
          </w:p>
        </w:tc>
        <w:tc>
          <w:tcPr>
            <w:tcW w:w="228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22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payments</w:t>
            </w:r>
          </w:p>
        </w:tc>
        <w:tc>
          <w:tcPr>
            <w:tcW w:w="2280" w:type="dxa"/>
            <w:vAlign w:val="bottom"/>
          </w:tcPr>
          <w:p>
            <w:pPr>
              <w:spacing w:after="0"/>
              <w:rPr>
                <w:sz w:val="12"/>
                <w:szCs w:val="12"/>
                <w:color w:val="auto"/>
              </w:rPr>
            </w:pPr>
          </w:p>
        </w:tc>
      </w:tr>
      <w:tr>
        <w:trPr>
          <w:trHeight w:val="171"/>
        </w:trPr>
        <w:tc>
          <w:tcPr>
            <w:tcW w:w="2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($000s)</w:t>
            </w:r>
          </w:p>
        </w:tc>
        <w:tc>
          <w:tcPr>
            <w:tcW w:w="228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2021</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2023</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1,801</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7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w:t>
            </w:r>
          </w:p>
        </w:tc>
        <w:tc>
          <w:tcPr>
            <w:tcW w:w="80" w:type="dxa"/>
            <w:vAlign w:val="bottom"/>
            <w:tcBorders>
              <w:bottom w:val="single" w:sz="8" w:color="CFF0FC"/>
            </w:tcBorders>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payments</w:t>
            </w:r>
          </w:p>
        </w:tc>
        <w:tc>
          <w:tcPr>
            <w:tcW w:w="2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18,223</w:t>
            </w:r>
          </w:p>
        </w:tc>
        <w:tc>
          <w:tcPr>
            <w:tcW w:w="80" w:type="dxa"/>
            <w:vAlign w:val="bottom"/>
            <w:shd w:val="clear" w:color="auto" w:fill="CFF0FC"/>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5020" w:type="dxa"/>
            <w:vAlign w:val="bottom"/>
            <w:gridSpan w:val="2"/>
          </w:tcPr>
          <w:p>
            <w:pPr>
              <w:ind w:left="2300"/>
              <w:spacing w:after="0"/>
              <w:rPr>
                <w:sz w:val="20"/>
                <w:szCs w:val="20"/>
                <w:color w:val="auto"/>
              </w:rPr>
            </w:pPr>
            <w:r>
              <w:rPr>
                <w:rFonts w:ascii="Arial" w:cs="Arial" w:eastAsia="Arial" w:hAnsi="Arial"/>
                <w:sz w:val="18"/>
                <w:szCs w:val="18"/>
                <w:color w:val="auto"/>
              </w:rPr>
              <w:t>Discount Adjustments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(8,667)</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2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9,556</w:t>
            </w:r>
          </w:p>
        </w:tc>
        <w:tc>
          <w:tcPr>
            <w:tcW w:w="80" w:type="dxa"/>
            <w:vAlign w:val="bottom"/>
            <w:tcBorders>
              <w:top w:val="single" w:sz="8" w:color="CFF0FC"/>
            </w:tcBorders>
            <w:shd w:val="clear" w:color="auto" w:fill="CFF0FC"/>
          </w:tcPr>
          <w:p>
            <w:pPr>
              <w:spacing w:after="0"/>
              <w:rPr>
                <w:sz w:val="19"/>
                <w:szCs w:val="19"/>
                <w:color w:val="auto"/>
              </w:rPr>
            </w:pPr>
          </w:p>
        </w:tc>
        <w:tc>
          <w:tcPr>
            <w:tcW w:w="2280" w:type="dxa"/>
            <w:vAlign w:val="bottom"/>
          </w:tcPr>
          <w:p>
            <w:pPr>
              <w:spacing w:after="0"/>
              <w:rPr>
                <w:sz w:val="19"/>
                <w:szCs w:val="19"/>
                <w:color w:val="auto"/>
              </w:rPr>
            </w:pPr>
          </w:p>
        </w:tc>
      </w:tr>
      <w:tr>
        <w:trPr>
          <w:trHeight w:val="648"/>
        </w:trPr>
        <w:tc>
          <w:tcPr>
            <w:tcW w:w="2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Pr>
          <w:p>
            <w:pPr>
              <w:jc w:val="right"/>
              <w:ind w:right="18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2018 and below under Part II, Item IA, “Risk Factors”.</w:t>
      </w:r>
    </w:p>
    <w:p>
      <w:pPr>
        <w:spacing w:after="0" w:line="182"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We are a pharmaceutical company with expertise in omega-3 fatty acids and lipid science focused on the commercialization and development of therapeutics to improve cardiovascular, or CV, health and reduce CV risk.</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or TG, levels in adult patients with severe (TG ≥500 mg/dL) hypertriglyceridemia. In January 2013, we began selling and marketing Vascepa in the United States by prescription only based on the FDA-approved MARINE indication for use in patients with severe (TG ≥500 mg/dL) triglyceride levels. We sell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9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Since our inception, we have devoted substantial resources to our research and development efforts, most significantly our Vascepa cardiovascular outcomes trial, REDUCE-IT</w:t>
      </w:r>
      <w:r>
        <w:rPr>
          <w:rFonts w:ascii="Arial" w:cs="Arial" w:eastAsia="Arial" w:hAnsi="Arial"/>
          <w:sz w:val="13"/>
          <w:szCs w:val="13"/>
          <w:color w:val="auto"/>
        </w:rPr>
        <w:t>®</w:t>
      </w:r>
      <w:r>
        <w:rPr>
          <w:rFonts w:ascii="Arial" w:cs="Arial" w:eastAsia="Arial" w:hAnsi="Arial"/>
          <w:sz w:val="16"/>
          <w:szCs w:val="16"/>
          <w:color w:val="auto"/>
        </w:rPr>
        <w:t xml:space="preserve">. We announced topline results from the REDUCE-IT study on September 24, 2018. On November 10, 2018, we publicly presented primary results of the REDUCE-IT study at the 2018 Scientific Sessions of the American Heart Association, or AHA, and the results were concurrently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(ACC) 68</w:t>
      </w:r>
      <w:r>
        <w:rPr>
          <w:rFonts w:ascii="Arial" w:cs="Arial" w:eastAsia="Arial" w:hAnsi="Arial"/>
          <w:sz w:val="13"/>
          <w:szCs w:val="13"/>
          <w:color w:val="auto"/>
        </w:rPr>
        <w:t>th</w:t>
      </w:r>
      <w:r>
        <w:rPr>
          <w:rFonts w:ascii="Arial" w:cs="Arial" w:eastAsia="Arial" w:hAnsi="Arial"/>
          <w:sz w:val="16"/>
          <w:szCs w:val="16"/>
          <w:color w:val="auto"/>
        </w:rPr>
        <w:t xml:space="preserve"> Annual Scientific Session and such results and methods were concurrently published in the </w:t>
      </w:r>
      <w:r>
        <w:rPr>
          <w:rFonts w:ascii="Arial" w:cs="Arial" w:eastAsia="Arial" w:hAnsi="Arial"/>
          <w:sz w:val="16"/>
          <w:szCs w:val="16"/>
          <w:i w:val="1"/>
          <w:iCs w:val="1"/>
          <w:color w:val="auto"/>
        </w:rPr>
        <w:t>Journal of the American College of Cardiology</w:t>
      </w:r>
      <w:r>
        <w:rPr>
          <w:rFonts w:ascii="Arial" w:cs="Arial" w:eastAsia="Arial" w:hAnsi="Arial"/>
          <w:sz w:val="16"/>
          <w:szCs w:val="16"/>
          <w:color w:val="auto"/>
        </w:rPr>
        <w:t xml:space="preserve">. Included in such results were that Vascepa reduced total events (first and subsequent events) by 30% compared to placebo, reflecting that for every 1000 patients treated for 5 years with Vascepa versus placebo approximately 159 MACE could be prevented with Vascepa. On March 28, 2019 the American Diabetes Association, or ADA, issued important updates to the </w:t>
      </w:r>
      <w:r>
        <w:rPr>
          <w:rFonts w:ascii="Arial" w:cs="Arial" w:eastAsia="Arial" w:hAnsi="Arial"/>
          <w:sz w:val="16"/>
          <w:szCs w:val="16"/>
          <w:i w:val="1"/>
          <w:iCs w:val="1"/>
          <w:color w:val="auto"/>
        </w:rPr>
        <w:t>Standard of Medical Care in Diabetes</w:t>
      </w:r>
      <w:r>
        <w:rPr>
          <w:rFonts w:ascii="Arial" w:cs="Arial" w:eastAsia="Arial" w:hAnsi="Arial"/>
          <w:sz w:val="16"/>
          <w:szCs w:val="16"/>
          <w:color w:val="auto"/>
        </w:rPr>
        <w:t xml:space="preserve"> for 2019, including a recommendation for the use of icosapent ethyl in treating at-risk patients based on the results of the REDUCE-IT cardiovascular outcomes study. On September 16, 2019 the National Lipid Association (NLA) issued a position statement recognizing the cardiovascular risk-lowering effects of icosapent ethyl based on the REDUCE-IT results. Also in September 2019, the European Society of Cardiology (ESC) and the European Atherosclerosis Society (EAS) updated their Clinical Practice Guidelines for the Management of Dyslipidemias to incorporate findings from the REDUCE-IT study. On October 17, 2019 the Institute for Clinical and Economic Review, or ICER, released its final evidence report regarding clinical effectiveness and economic impacts on Vascepa. ICER’s report confirmed the cost effectiveness of Vascepa across all of the non-profit organization’s analyses, including its quality-adjusted life year (QALY) metrics of &lt;$50,000. The conclusion from the report is that Vascepa easily meets “commonly cited thresholds for cost-effectiveness and therefore represents a high long-term value for money” based on the organization’s value assessment framework.</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March 28, 2019, we submitted a supplemental new drug application (sNDA) to the FDA seeking an expanded indication for Vascepa in the United States based on the positive results of the REDUCE-IT study. The indication we are seeking pertains to use of Vascepa to reduce cardiovascular events in at-risk patients. Based on the final positive results of REDUCE-IT, we plan to continue to develop Vascepa commercially in major markets around the world. On May 29, 2019, the FDA accepted the sNDA for filing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ind w:right="180"/>
        <w:spacing w:after="0" w:line="259" w:lineRule="auto"/>
        <w:rPr>
          <w:sz w:val="20"/>
          <w:szCs w:val="20"/>
          <w:color w:val="auto"/>
        </w:rPr>
      </w:pPr>
      <w:r>
        <w:rPr>
          <w:rFonts w:ascii="Arial" w:cs="Arial" w:eastAsia="Arial" w:hAnsi="Arial"/>
          <w:sz w:val="18"/>
          <w:szCs w:val="18"/>
          <w:color w:val="auto"/>
        </w:rPr>
        <w:t>granted Priority Review designation with an assigned Prescription Drug User Fee Act (PDUFA) goal date of September 28, 2019. In August 2019, the FDA notified the Company that it intends to hold an Endocrinologic and Metabolic Drugs Advisory Committee (EMDAC) meeting to review the sNDA. In September 2019, the FDA confirmed that the EMDAC meeting will take place on November 14, 2019 and extended the PDUFA goal date to December 28, 2019.</w:t>
      </w:r>
    </w:p>
    <w:p>
      <w:pPr>
        <w:spacing w:after="0" w:line="18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promote Vascepa directly in the United States. Such promotion, prior to results of the REDUCE-IT study, was based on demonstrated changes in biomarkers based on the MARINE study and, as to healthcare professionals with respect to cardiovascular risk reduction potential, the ANCHOR study of Vascepa in patients with persistent high (200-499 mg/dL) triglycerides after statin therapy. In considering drug treatment for cardiovascular risk reduction, most healthcare professionals express that they prefer outcomes data to biomarker data. Because prior to results of the REDUCE-IT study we did not have outcomes data regarding the clinical effect of Vascepa and because a substantial portion of our resources were being spent on the REDUCE-IT study, prior to REDUCE-IT results our commercialization of Vascepa was somewhat limited. Subsequent to learning the positive cardiovascular outcomes results of the REDUCE-IT study, we have begun increasing our promotion of Vascepa.</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117"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commenced the commercial launch of Vascepa, through sales and shipments to our network of U.S.-based wholesalers in the United States in January 2013. Prior to the REDUCE-IT results topline announcement in September 2018, our direct sales force consisted of approximately 170 sales professionals, including sales representatives and their managers. Based on the positive REDUCE-IT results, to begin 2019, we increased the size of our sales team to approximately 440 sales professionals, including approximately 400 sales representatives. We are working to expand our direct sales force to approximately 800 sales professionals for the assumed launch of Vascepa in early 2020 for the cardiovascular risk reduction indication being sought through the sNDA.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September 30, 2019. From May 2014 to December 2018, in addition to Vascepa promotion by our sales representatives, Kowa Pharmaceuticals America, Inc. co-promoted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During 2018, as a result of not renewing the agreement, we incurred expense for the accrual of co-promotion tail payments, which were calculated as a percentage of the 2018 co-promotion fee. Kowa Pharmaceuticals America, Inc. will receive $17.8 million in co-promotion tail payments, the present value of which, $16.6 million, was fully accrued as of December 31, 2018 and will be paid over three years with declining amounts each year. We made $4.8 million in tail payments as of September 30, 2019. 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following label expansion of Vascepa, subject to FDA approval of such expanded label.</w:t>
      </w:r>
    </w:p>
    <w:p>
      <w:pPr>
        <w:spacing w:after="0" w:line="19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for the three months ended September 30, 2019 was approximately 865,000 compared to 756,000, 618,000 and 458,000 in the three months ended June 30, 2019, March 31, 2019 and September 30, 2018, respectively. According to data from another third party, IQVIA, the estimated number of normalized total Vascepa prescriptions for the three months ended September 30, 2019 was approximately 787,000 compared to 683,000, 553,000 and 417,000 in the three months ended June 30, 2019, March 31, 2019 and September 30, 2018,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6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140"/>
        <w:spacing w:after="0" w:line="277" w:lineRule="auto"/>
        <w:rPr>
          <w:sz w:val="20"/>
          <w:szCs w:val="20"/>
          <w:color w:val="auto"/>
        </w:rPr>
      </w:pPr>
      <w:r>
        <w:rPr>
          <w:rFonts w:ascii="Arial" w:cs="Arial" w:eastAsia="Arial" w:hAnsi="Arial"/>
          <w:sz w:val="18"/>
          <w:szCs w:val="18"/>
          <w:color w:val="auto"/>
        </w:rPr>
        <w:t>Health and IQVIA is rarely identical. As such, the resulting conclusions from such sources should be viewed with caution. Amarin is not responsible for the accuracy of these companies’ information and Amarin does not receive prescription data directly from retail pharmacies.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Amarin sells Vascepa principally to a limited number of major wholesalers, as well as selected regional wholesalers and specialty pharmacy providers in the United States, that in turn resell Vascepa to retail pharmacies for subsequent resale to patients and healthcare providers. Amarin recognizes revenue from product sales when the distributor obtains control of Amarin’s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8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In March 2016, we entered into an agreement with Biologix FZCo, or Biologix, to register and commercialize Vascepa in several Middle Eastern and North African countries. 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are seeking additional indicated uses for Vascepa in the United States and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American Heart Association (AHA) on November 10, 2018 with such results concurrently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of Medicine</w:t>
      </w:r>
      <w:r>
        <w:rPr>
          <w:rFonts w:ascii="Arial" w:cs="Arial" w:eastAsia="Arial" w:hAnsi="Arial"/>
          <w:sz w:val="17"/>
          <w:szCs w:val="17"/>
          <w:color w:val="auto"/>
        </w:rPr>
        <w:t>. The total (first and subsequent) cardiovascular events results of the REDUCE-IT study were presented at the American College of Cardiology’s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 68th Annual Scientific Session in March 2019 and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Potential additional research and development opportunities beyond REDUCE-IT will be prioritized after giving priority to securing regulatory approval for Vascepa based on the REDUCE-IT results in the United States and in various geographies internationally, including pursuit of approval for Vascepa in Europe and in countries where we have commercialization partners for Vascepa.</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March 28, 2019, we submitted an sNDA to the FDA seeking an expanded indication for Vascepa in the United States based on the positive results of the REDUCE-IT study. The indication we are seeking pertains to use of Vascepa to reduce cardiovascular events in at-risk patients. While the current FDA-approved indication for Vascepa is biomarker based (i.e., lowering triglyceride levels), the indication we are seeking based on REDUCE-IT results is outcomes based (i.e., lowering cardiovascular events). On May 29, 2019, the FDA accepted the sNDA for filing and granted Priority Review designation with an assigned PDUFA goal date of September 28, 2019. In August 2019, the FDA notified us that it intends to hold an EMDAC meeting to review the sNDA. In September 2019, the FDA confirmed that the EMDAC meeting will take place on November 14, 2019 and extended the PDUFA goal date to December 28, 2019.</w:t>
      </w:r>
    </w:p>
    <w:p>
      <w:pPr>
        <w:spacing w:after="0" w:line="18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160"/>
        <w:spacing w:after="0" w:line="286" w:lineRule="auto"/>
        <w:rPr>
          <w:sz w:val="20"/>
          <w:szCs w:val="20"/>
          <w:color w:val="auto"/>
        </w:rPr>
      </w:pPr>
      <w:r>
        <w:rPr>
          <w:rFonts w:ascii="Arial" w:cs="Arial" w:eastAsia="Arial" w:hAnsi="Arial"/>
          <w:sz w:val="17"/>
          <w:szCs w:val="17"/>
          <w:color w:val="auto"/>
        </w:rPr>
        <w:t>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 allowances,</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78"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 consists primarily of salaries and other 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stock-based compensation expense, for personnel in our sales, marketing, executive, business development, finance and information technology functions, as well as co-promotion fees payable to Kowa Pharmaceuticals America, Inc. and, in 2018, the final year of the co-promotion agreement, accrual for the co-promotion tail payments. Other costs primarily include facility costs and professional fees for accounting, consulting and legal services.</w:t>
      </w:r>
    </w:p>
    <w:p>
      <w:pPr>
        <w:spacing w:after="0" w:line="15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78"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expense consists of interest incurred under our December 2012 royalty-bearing instrument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and interest incurred under our previously outstanding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net, consists primarily of foreign exchange losses and gains.</w:t>
      </w:r>
    </w:p>
    <w:p>
      <w:pPr>
        <w:spacing w:after="0" w:line="15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Provision for income taxes, deferred tax assets and liabilities, and reserves for unrecognized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management’s best assessment of estimated future taxes to be paid. We are subject to income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140"/>
        <w:spacing w:after="0" w:line="257" w:lineRule="auto"/>
        <w:rPr>
          <w:sz w:val="20"/>
          <w:szCs w:val="20"/>
          <w:color w:val="auto"/>
        </w:rPr>
      </w:pPr>
      <w:r>
        <w:rPr>
          <w:rFonts w:ascii="Arial" w:cs="Arial" w:eastAsia="Arial" w:hAnsi="Arial"/>
          <w:sz w:val="18"/>
          <w:szCs w:val="18"/>
          <w:color w:val="auto"/>
        </w:rPr>
        <w:t>in both the United States and foreign jurisdictions. In applying the estimated annual effective tax rate approach prescribed under ASC 740-270 and based on present evidence and conclusions around the realizability of deferred tax assets, we determined that any tax benefit related to the pretax losses generated during the three and nine months ended September 30, 2019 and 2018 is neither more likely than not to be realized in the current year nor realizable as a deferred tax asset at the end of the year. Therefore, the appropriate amount of income tax benefit to recognize during the three and nine months ended September 30, 2019 and 2018 is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2018. There were no material changes to our critical accounting policies, significant judgments and estimates during the nine months ended September 30,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2019 and September 30, 2018</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$112.3 million and $55.0 million during the three months ended September 30,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2018, respectively, an increase of $57.3 million, or 104%. This increase in revenue was driven primarily by increased volume of Vascepa sold to independent wholesalers and other customers which results from an increase in estimated normalized total Vascepa prescriptions in the United States. Based on data provided by Symphony Health and IQVIA, estimated normalized total Vascepa prescriptions in the United States increased by approximately 407,000 and 370,000, respectively, over the three months ended September 30, 2018, representing growth of 89% in both periods.</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All of our product revenue in the three months ended September 30,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During the three months ended September 30, 2019 and 2018,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three months ended September 30, 2019 and 2018 was up to $110 and $70, respectively per 30-day prescription filled and, up to $330 and $140, respectively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during the three months ended September 30, 2019 and 2018 was $0.2 million and $0.4 million,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$0.2 million, or 55%. Licensing revenue relates to the recognition of amounts received in connection with a Vascepa licensing agreement for the China Territory, specifically a $15.0 million up-front payment received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right="180"/>
        <w:spacing w:after="0" w:line="293" w:lineRule="auto"/>
        <w:rPr>
          <w:sz w:val="20"/>
          <w:szCs w:val="20"/>
          <w:color w:val="auto"/>
        </w:rPr>
      </w:pPr>
      <w:r>
        <w:rPr>
          <w:rFonts w:ascii="Arial" w:cs="Arial" w:eastAsia="Arial" w:hAnsi="Arial"/>
          <w:sz w:val="16"/>
          <w:szCs w:val="16"/>
          <w:color w:val="auto"/>
        </w:rPr>
        <w:t>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2019.</w:t>
      </w:r>
    </w:p>
    <w:p>
      <w:pPr>
        <w:spacing w:after="0" w:line="165" w:lineRule="exact"/>
        <w:rPr>
          <w:sz w:val="20"/>
          <w:szCs w:val="20"/>
          <w:color w:val="auto"/>
        </w:rPr>
      </w:pPr>
    </w:p>
    <w:p>
      <w:pPr>
        <w:ind w:right="42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2019 and 2018 was $25.4 million and $13.5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$11.9 million, or 88%.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three months ended September 30,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or modestly lower than 2018. The average cost may be variable from period to period depending upon the timing and quantity of API purchased from each supplier.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each of the three months ended September 30, 2019 and 2018 was 77% and 75%, respectively.</w:t>
      </w:r>
    </w:p>
    <w:p>
      <w:pPr>
        <w:spacing w:after="0" w:line="225"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September 30,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$82.6 million and $50.0 million, respectively, an increase of $32.6 million, or 65%. Selling, general and administrative expenses for the three months ended September 30, 2019 and 2018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20" w:hanging="512"/>
        <w:spacing w:after="0" w:line="25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co-promotion fees and non-cash compensation charges for stock compensation, for the three months ended September 30, 2019 and 2018 was $75.8 million and $33.2 million, respectively, an increase of $42.6 million, or 128%. This increase is due primarily to increased commercial and other promotional spend for expansion following successful REDUCE-IT results (announced on September 24, 2018), as well as costs for sales force expansion.</w:t>
      </w:r>
    </w:p>
    <w:p>
      <w:pPr>
        <w:spacing w:after="0" w:line="2" w:lineRule="exact"/>
        <w:rPr>
          <w:rFonts w:ascii="Arial" w:cs="Arial" w:eastAsia="Arial" w:hAnsi="Arial"/>
          <w:sz w:val="18"/>
          <w:szCs w:val="18"/>
          <w:color w:val="auto"/>
        </w:rPr>
      </w:pPr>
    </w:p>
    <w:p>
      <w:pPr>
        <w:ind w:left="520" w:right="80" w:hanging="512"/>
        <w:spacing w:after="0" w:line="250"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September 30, 2019 and 2018 were nil and $11.2 million, respectively, a decrease of $11.2 million, or 100%. Amarin and Kowa Pharmaceuticals America, Inc. intentionally designed the co-promotion agreement to naturally end as of December 31, 2018 and mutually agreed not to renew the agreement.</w:t>
      </w:r>
    </w:p>
    <w:p>
      <w:pPr>
        <w:spacing w:after="0" w:line="1" w:lineRule="exact"/>
        <w:rPr>
          <w:rFonts w:ascii="Arial" w:cs="Arial" w:eastAsia="Arial" w:hAnsi="Arial"/>
          <w:sz w:val="18"/>
          <w:szCs w:val="18"/>
          <w:color w:val="auto"/>
        </w:rPr>
      </w:pPr>
    </w:p>
    <w:p>
      <w:pPr>
        <w:ind w:left="520" w:right="100" w:hanging="512"/>
        <w:spacing w:after="0" w:line="25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September 30, 2019 and 2018 was $6.8 million and $5.6 million, respectively, an increase of $1.2 million, or 21%. Non-cash stock-based compensation expense represents the estimated costs associated with equity awards issued to internal staff supporting our selling, general and administrative functions. The increase is due primarily to the increase in the number of employees receiving equity awards as a result of the growth of our sales force and an increase in the underlying fair value of the equity awards resulting from the increase in the price of our stock.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2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September 30, 2019 and 2018 was $8.9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$14.1 million, respectively, a decrease of $5.1 million, or 37%. Research and development expenses for the three months ended September 30, 2019 and 2018 are summarized in the table below:</w:t>
      </w:r>
    </w:p>
    <w:p>
      <w:pPr>
        <w:spacing w:after="0" w:line="254"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51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w w:val="95"/>
              </w:rPr>
              <w:t>Research and development expense, excluding non-cash expense</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three months ended September 30, 2019, as compared to the prior year period, is primarily due to timing of REDUCE-IT and related costs.</w:t>
      </w:r>
    </w:p>
    <w:p>
      <w:pPr>
        <w:spacing w:after="0" w:line="62" w:lineRule="exact"/>
        <w:rPr>
          <w:sz w:val="20"/>
          <w:szCs w:val="20"/>
          <w:color w:val="auto"/>
        </w:rPr>
      </w:pPr>
    </w:p>
    <w:p>
      <w:pPr>
        <w:ind w:left="520" w:hanging="512"/>
        <w:spacing w:after="0" w:line="285"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We managed the study through a contract research organization (CRO) through which all costs for the conduct of this outcomes study were incurred with the exception of costs for clinical trial material (CTM) and costs for internal management. The decrease in three months ended September 30, 2019 and 2018 expenses is primarily driven by a decline in REDUCE-IT related costs after the successful REDUCE-IT</w:t>
      </w:r>
    </w:p>
    <w:p>
      <w:pPr>
        <w:spacing w:after="0" w:line="2" w:lineRule="exact"/>
        <w:rPr>
          <w:rFonts w:ascii="Arial" w:cs="Arial" w:eastAsia="Arial" w:hAnsi="Arial"/>
          <w:sz w:val="16"/>
          <w:szCs w:val="16"/>
          <w:color w:val="auto"/>
        </w:rPr>
      </w:pPr>
    </w:p>
    <w:p>
      <w:pPr>
        <w:ind w:left="520" w:right="160"/>
        <w:spacing w:after="0" w:line="250" w:lineRule="auto"/>
        <w:rPr>
          <w:rFonts w:ascii="Arial" w:cs="Arial" w:eastAsia="Arial" w:hAnsi="Arial"/>
          <w:sz w:val="16"/>
          <w:szCs w:val="16"/>
          <w:color w:val="auto"/>
        </w:rPr>
      </w:pPr>
      <w:r>
        <w:rPr>
          <w:rFonts w:ascii="Arial" w:cs="Arial" w:eastAsia="Arial" w:hAnsi="Arial"/>
          <w:sz w:val="18"/>
          <w:szCs w:val="18"/>
          <w:color w:val="auto"/>
        </w:rPr>
        <w:t>results. Following the completion of the REDUCE-IT trial, costs consisted primarily of the clinical study’s wrap-up activities, regulatory support and publications.</w:t>
      </w:r>
    </w:p>
    <w:p>
      <w:pPr>
        <w:ind w:left="520" w:right="20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filing fees in each of the three months ended September 30,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52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income (expense) for the three months ended September 30, 2019 and 2018 was income of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 of $2.2 million, respectively, a decrease of $3.3 million, or 153%. Net interest income (expense) for the three months ended September 30, 2019 and 2018 is summarized in the table below:</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2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Three months ended September 30,</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Total long-term debt from royalty-bearing instrument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(1,468)</w:t>
            </w: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interest income (expense),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58"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which were fully exchanged and retired for equity in November 2018, for the three months ended September 30, 2019 and 2018 was nil and $0.3 million, respectively.</w:t>
      </w:r>
    </w:p>
    <w:p>
      <w:pPr>
        <w:spacing w:after="0" w:line="1" w:lineRule="exact"/>
        <w:rPr>
          <w:rFonts w:ascii="Arial" w:cs="Arial" w:eastAsia="Arial" w:hAnsi="Arial"/>
          <w:sz w:val="18"/>
          <w:szCs w:val="18"/>
          <w:color w:val="auto"/>
        </w:rPr>
      </w:pPr>
    </w:p>
    <w:p>
      <w:pPr>
        <w:ind w:left="520" w:right="20" w:hanging="512"/>
        <w:spacing w:after="0" w:line="252"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September 30, 2019 and 2018 was $1.5 million and $1.9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ectPr>
          <w:pgSz w:w="11900" w:h="16838" w:orient="portrait"/>
          <w:cols w:equalWidth="0" w:num="1">
            <w:col w:w="11420"/>
          </w:cols>
          <w:pgMar w:left="240" w:top="34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1" w:name="page32"/>
    <w:bookmarkEnd w:id="31"/>
    <w:p>
      <w:pPr>
        <w:ind w:left="520" w:right="20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2019 and 2018 was $2.8 million and $0.1 million, respectively. Interest income represents income earned on cash balances.</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each of the three months ended September 30, 2019 and 2018 was $0.1 million. Other expense, net,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consists of gains and losses on foreign exchange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2019 and September 30, 2018</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net product revenue of $285.3 million and $151.3 million during the nine months ended September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an increase of $134.1 million, or 89%. This increase in revenue was driven primarily by an increase in estimated normalized total Vascepa prescriptions in the United States. Based on data provided by Symphony Health and IQVIA, estimated normalized total Vascepa prescriptions in the United States increased by approximately 960,000 and 856,000, respectively, over the nine months ended September 30, 2018, representing growth of 75% and 73%, respectively.</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All of our product revenue in the nine months ended September 30, 2019 and 2018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During the nine months ended September 30, 2019 and 2018,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nine months ended September 30, 2019 and 2018 was up to $110 and $70, respectively per 30-day prescription filled and, up to $330 and $140, respectively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i w:val="1"/>
          <w:iCs w:val="1"/>
          <w:color w:val="auto"/>
        </w:rPr>
        <w:t>Licensing Revenue</w:t>
      </w:r>
      <w:r>
        <w:rPr>
          <w:rFonts w:ascii="Arial" w:cs="Arial" w:eastAsia="Arial" w:hAnsi="Arial"/>
          <w:sz w:val="17"/>
          <w:szCs w:val="17"/>
          <w:color w:val="auto"/>
        </w:rPr>
        <w:t>. Licensing revenue during the nine months ended September 30, 2019 and 2018 was $1.1 million and $0.6 million, respectively,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$0.5 million, or 89%.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2019.</w:t>
      </w:r>
    </w:p>
    <w:p>
      <w:pPr>
        <w:spacing w:after="0" w:line="18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2019 and 2018 was $65.4 million and $37.0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$28.3 million, or 76%.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nine months ended September 30, 2019 and 2018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or modestly lower than 2018. The average cost may be variable from period to period depending upon the timing and quantity of API purchased from each supplier.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nine months ended September 30, 2019 and 2018 was 77% and 76%,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ind w:right="20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nine months ended September 30,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$227.6 million and $147.3 million, respectively, an increase of $80.3 million, or 55%. Selling, general and administrative expenses for the nine months ended September 30, 2019 and 2018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208,394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60" w:hanging="512"/>
        <w:spacing w:after="0" w:line="26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co-promotion fees and non-cash compensation charges for stock compensation, for the nine months ended September 30, 2019 and 2018 was $208.4 million and $104.9 million, respectively, an increase of $103.5 million, or 99%. This increase is due primarily to increased commercial and other promotional spend for expansion following successful REDUCE-IT results (announced on September 24, 2018), as well as costs for sales force expansion. Partially offsetting this increase is a payment of $2.0 million made in connection with the settlement agreement reached with Teva Pharmaceuticals USA, Inc. in May 2018.</w:t>
      </w:r>
    </w:p>
    <w:p>
      <w:pPr>
        <w:spacing w:after="0" w:line="3" w:lineRule="exact"/>
        <w:rPr>
          <w:rFonts w:ascii="Arial" w:cs="Arial" w:eastAsia="Arial" w:hAnsi="Arial"/>
          <w:sz w:val="17"/>
          <w:szCs w:val="17"/>
          <w:color w:val="auto"/>
        </w:rPr>
      </w:pPr>
    </w:p>
    <w:p>
      <w:pPr>
        <w:ind w:left="520" w:right="8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nine months ended September 30, 2019 and 2018 were nil and $30.5 million, respectively, a decrease of $30.5 million, or 100%. Amarin and Kowa Pharmaceuticals America, Inc. intentionally designed the co-promotion agreement to naturally end as of December 31, 2018 and mutually agreed not to renew the agreement.</w:t>
      </w:r>
    </w:p>
    <w:p>
      <w:pPr>
        <w:spacing w:after="0" w:line="1" w:lineRule="exact"/>
        <w:rPr>
          <w:rFonts w:ascii="Arial" w:cs="Arial" w:eastAsia="Arial" w:hAnsi="Arial"/>
          <w:sz w:val="18"/>
          <w:szCs w:val="18"/>
          <w:color w:val="auto"/>
        </w:rPr>
      </w:pPr>
    </w:p>
    <w:p>
      <w:pPr>
        <w:ind w:left="520" w:right="140" w:hanging="512"/>
        <w:spacing w:after="0" w:line="25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stock-based compensation expense for the nine months ended September 30, 2019 and 2018 was $19.2 million and $11.9 million, respectively, an increase of $7.3 million, or 62%. Non-cash stock-based compensation expense represents the estimated costs associated with equity awards issued to internal staff supporting our selling, general and administrative functions. The increase is due primarily to an increase in the number of employees receiving equity awards as a result of the growth of our sales force and an increase in the underlying fair value of the equity awards resulting from the increase in the price of our stock.</w:t>
      </w:r>
    </w:p>
    <w:p>
      <w:pPr>
        <w:spacing w:after="0" w:line="19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nine months ended September 30, 2019 and 2018 was $23.3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$44.0 million, respectively, a decrease of $20.7 million, or 47%. Research and development expenses for the nine months ended September 30, 2019 and 2018 are summarized in the table below:</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w w:val="95"/>
              </w:rPr>
              <w:t>Research and development expense, excluding non-cash expense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nine months ended September 30, 2019, as compared to the prior year period, is primarily due to timing of REDUCE-IT and related costs.</w:t>
      </w:r>
    </w:p>
    <w:p>
      <w:pPr>
        <w:spacing w:after="0" w:line="62" w:lineRule="exact"/>
        <w:rPr>
          <w:sz w:val="20"/>
          <w:szCs w:val="20"/>
          <w:color w:val="auto"/>
        </w:rPr>
      </w:pPr>
    </w:p>
    <w:p>
      <w:pPr>
        <w:ind w:left="520" w:hanging="512"/>
        <w:spacing w:after="0" w:line="285"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We managed the study through a contract research organization (CRO) through which all costs for the conduct of this outcomes study were incurred with the exception of costs for clinical trial material (CTM) and costs for internal management. The decrease in the nine months ended September 30, 2019 and 2018 expenses is primarily driven by a decline in REDUCE-IT related costs after the successful REDUCE-IT</w:t>
      </w:r>
    </w:p>
    <w:p>
      <w:pPr>
        <w:spacing w:after="0" w:line="2" w:lineRule="exact"/>
        <w:rPr>
          <w:rFonts w:ascii="Arial" w:cs="Arial" w:eastAsia="Arial" w:hAnsi="Arial"/>
          <w:sz w:val="16"/>
          <w:szCs w:val="16"/>
          <w:color w:val="auto"/>
        </w:rPr>
      </w:pPr>
    </w:p>
    <w:p>
      <w:pPr>
        <w:ind w:left="520" w:right="160"/>
        <w:spacing w:after="0" w:line="250" w:lineRule="auto"/>
        <w:rPr>
          <w:rFonts w:ascii="Arial" w:cs="Arial" w:eastAsia="Arial" w:hAnsi="Arial"/>
          <w:sz w:val="16"/>
          <w:szCs w:val="16"/>
          <w:color w:val="auto"/>
        </w:rPr>
      </w:pPr>
      <w:r>
        <w:rPr>
          <w:rFonts w:ascii="Arial" w:cs="Arial" w:eastAsia="Arial" w:hAnsi="Arial"/>
          <w:sz w:val="18"/>
          <w:szCs w:val="18"/>
          <w:color w:val="auto"/>
        </w:rPr>
        <w:t>results. Following the completion of the REDUCE-IT trial, costs consisted primarily of the clinical study’s wrap-up activities, regulatory support and publications.</w:t>
      </w:r>
    </w:p>
    <w:p>
      <w:pPr>
        <w:ind w:left="520" w:right="260" w:hanging="512"/>
        <w:spacing w:after="0" w:line="250"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regulatory filing fees in each of the nine months ended September 30, 2019 and 2018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addition, during the nine months ended September 30, 2018, we made a non-refundable, non-creditable upfront payment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left="520" w:right="240"/>
        <w:spacing w:after="0" w:line="256" w:lineRule="auto"/>
        <w:rPr>
          <w:sz w:val="20"/>
          <w:szCs w:val="20"/>
          <w:color w:val="auto"/>
        </w:rPr>
      </w:pPr>
      <w:r>
        <w:rPr>
          <w:rFonts w:ascii="Arial" w:cs="Arial" w:eastAsia="Arial" w:hAnsi="Arial"/>
          <w:sz w:val="18"/>
          <w:szCs w:val="18"/>
          <w:color w:val="auto"/>
        </w:rPr>
        <w:t>approximately $2.7 million related to our strategic collaboration with Mochida Pharmaceutical Co., Ltd., which was offset by an increase in costs in 2019 compared to 2018 in support of publishing results of the REDUCE-IT study and preparing for sNDA submission based on the results of the study, which occurred in March 2019.</w:t>
      </w:r>
    </w:p>
    <w:p>
      <w:pPr>
        <w:ind w:left="520" w:right="52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internal staff supporting our research and development and regulatory functions.</w:t>
      </w:r>
    </w:p>
    <w:p>
      <w:pPr>
        <w:spacing w:after="0" w:line="18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income (expense) for the nine months ended September 30, 2019 and 2018 was income of $0.2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$6.2 million, respectively, a decrease of $6.4 million, or 104%. Net interest income (expense) for the nine months ended September 30, 2019 and 2018 is summarized in the table below:</w:t>
      </w:r>
    </w:p>
    <w:p>
      <w:pPr>
        <w:spacing w:after="0" w:line="227" w:lineRule="exact"/>
        <w:rPr>
          <w:sz w:val="20"/>
          <w:szCs w:val="20"/>
          <w:color w:val="auto"/>
        </w:rPr>
      </w:pPr>
    </w:p>
    <w:tbl>
      <w:tblPr>
        <w:tblLayout w:type="fixed"/>
        <w:tblInd w:w="2140" w:type="dxa"/>
        <w:tblCellMar>
          <w:top w:w="0" w:type="dxa"/>
          <w:left w:w="0" w:type="dxa"/>
          <w:bottom w:w="0" w:type="dxa"/>
          <w:right w:w="0" w:type="dxa"/>
        </w:tblCellMar>
      </w:tblP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42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Amortization of debt discounts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9"/>
        </w:trPr>
        <w:tc>
          <w:tcPr>
            <w:tcW w:w="4220" w:type="dxa"/>
            <w:vAlign w:val="bottom"/>
            <w:gridSpan w:val="2"/>
          </w:tcPr>
          <w:p>
            <w:pPr>
              <w:spacing w:after="0"/>
              <w:rPr>
                <w:sz w:val="20"/>
                <w:szCs w:val="20"/>
                <w:color w:val="auto"/>
              </w:rPr>
            </w:pPr>
            <w:r>
              <w:rPr>
                <w:rFonts w:ascii="Arial" w:cs="Arial" w:eastAsia="Arial" w:hAnsi="Arial"/>
                <w:sz w:val="18"/>
                <w:szCs w:val="18"/>
                <w:color w:val="auto"/>
              </w:rPr>
              <w:t>Total long-term debt from royalty-bearing instrument</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40" w:hanging="512"/>
        <w:spacing w:after="0" w:line="274"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and non-cash interest expense related to the exchangeable senior notes, which were fully exchanged and retired for equity in November 2018, for the exchangeable senior notes for the nine months ended September 30, 2019 and 2018 was nil and $1.0 million, respectively.</w:t>
      </w:r>
    </w:p>
    <w:p>
      <w:pPr>
        <w:ind w:left="520" w:right="80" w:hanging="512"/>
        <w:spacing w:after="0" w:line="281"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and non-cash interest expense related to the December 2012 royalty-bearing instrument for the nine months ended September 30, 2019 and 2018 was $4.7 million and $5.9 million, respectively. These amounts reflect the assumption that our Vascepa net revenue levels will not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2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2019 and 2018 was $5.4 million and $0.7 million, respectively. Interest income represents income earned on cash balances.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Other expense, net, for each of the nine months ended September 30, 2019 and 2018 was $0.2 and $0.1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gains and losses on foreign exchange transactions.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Our sources of liquidity as of September 30, 2019 include cash and cash equivalents and restricted cash of $677.1 million. Our cash flows from operating, investing and financing activities, as reflected in the condensed consolidated statements of cash flows, are summarized in the following table:</w:t>
      </w:r>
    </w:p>
    <w:p>
      <w:pPr>
        <w:spacing w:after="0" w:line="12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vMerge w:val="continue"/>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 and restricted cash</w:t>
            </w:r>
          </w:p>
        </w:tc>
        <w:tc>
          <w:tcPr>
            <w:tcW w:w="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Net cash used in operating activities during the nine months ended September 30, 2019 compared to the same period in 2018 decreased primarily as a result of higher collections due to an increase in product sales and a decrease in R&amp;D activities associated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300"/>
        <w:spacing w:after="0" w:line="277" w:lineRule="auto"/>
        <w:rPr>
          <w:sz w:val="20"/>
          <w:szCs w:val="20"/>
          <w:color w:val="auto"/>
        </w:rPr>
      </w:pPr>
      <w:r>
        <w:rPr>
          <w:rFonts w:ascii="Arial" w:cs="Arial" w:eastAsia="Arial" w:hAnsi="Arial"/>
          <w:sz w:val="18"/>
          <w:szCs w:val="18"/>
          <w:color w:val="auto"/>
        </w:rPr>
        <w:t>with the REDUCE-IT study, partially offset by commercial and promotional activities following the successful REDUCE-IT study results, including costs associated with expanding the sales force.</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2019 is due to payments on the purchase of equipment associated with the Company’s new office space in Bridgewater, NJ.</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Net cash provided by financing activities during the nine months ended September 30, 2019 is primarily due to completing a public offering of 22,222,223 ADS with each ADS representing one ordinary share, at a price of $18.00 per ADS after commission, on July 18, 2019. In addition, we granted the underwriters a 30-day option to purchase up to an additional 3,333,333 ADS at a price of $18.00 per ADS. On July 29, 2019, the underwriters exercised the full option. This public offering, including the exercised option, resulted in net proceeds to us of approximately $440.1 million, after deducting customary commissions and offering expenses. Net cash provided by financing activities in the same period in 2018 was primarily a result of a common stock issuance.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w:t>
      </w:r>
    </w:p>
    <w:p>
      <w:pPr>
        <w:spacing w:after="0" w:line="166"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September 30, 2019, the net remaining amount to be repaid to CPPIB is $63.6 million, which will be repaid in quarterly installments calculated as 10% of quarterly Vascepa net revenues. We can prepay the net remaining amount at any time.</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As of September 30, 2019, we have no exchangeable notes or term debt outstanding since, in October 2018, we exercised our optional exchange rights upon satisfaction of specified equity conditions set forth in the 3.5% exchangeable senior notes due 2047, or the 2017 Notes, to mandatorily exchange the entirety of the $30.0 million in aggregate principal amount outstanding into ADSs. This resulted in elimination of the debt and issuance of 7,716,046 ADSs. The 2017 Notes were issued and sold in January 2017 when we, through our wholly-owned subsidiary Corsicanto II DAC, or Corsicanto II, a private designated activity company incorporated under the laws of Ireland, entered into separate, privately negotiated purchase agreements with certain unrelated investors. The net proceeds we received from the January 2017 offering were approximately $28.8 million, after deducting placement agent fees and estimated offering expenses.</w:t>
      </w:r>
    </w:p>
    <w:p>
      <w:pPr>
        <w:spacing w:after="0" w:line="189" w:lineRule="exact"/>
        <w:rPr>
          <w:sz w:val="20"/>
          <w:szCs w:val="20"/>
          <w:color w:val="auto"/>
        </w:rPr>
      </w:pPr>
    </w:p>
    <w:p>
      <w:pPr>
        <w:ind w:firstLine="688"/>
        <w:spacing w:after="0" w:line="253" w:lineRule="auto"/>
        <w:rPr>
          <w:sz w:val="20"/>
          <w:szCs w:val="20"/>
          <w:color w:val="auto"/>
        </w:rPr>
      </w:pPr>
      <w:r>
        <w:rPr>
          <w:rFonts w:ascii="Arial" w:cs="Arial" w:eastAsia="Arial" w:hAnsi="Arial"/>
          <w:sz w:val="18"/>
          <w:szCs w:val="18"/>
          <w:color w:val="auto"/>
        </w:rPr>
        <w:t>As of September 30, 2019, we had accounts receivable, net, of $103.6 million and inventory of $54.6 million. We have incurred annual operating losses since our inception and, as a result, we had an accumulated deficit of $1.4 billion as of September 30, 2019. We anticipate that quarterly net cash outflows in future periods will continue to be variable as a result of the timing of certain items, including our purchases of API and expanded Vascepa promotional activities resulting from positive REDUCE-IT results both before and after label change for Vascepa based on REDUCE-IT results both before and after REDUCE-IT results, which label change is subject to FDA review and approval of our sNDA. Because levels of Vascepa revenues are difficult to predict, as is the timing of label expansion, we intend to purchase API during 2019 at a rate which, based on current levels of revenue growth, is higher than is required for 2019. We estimate the incremental cost of this anticipated inventory build to be between $50 million and $75 million in 2019. We believe that there is limited financial risk of over-purchasing Vascepa inventory as the product has demonstrated stability supporting approved commercial expiry dating through four years.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Our contractual obligations consist mainly of payments related to purchase obligations with certain supply chain contracting parties, operating leases related to real estate used as office space and long-term debt and related interest. As a result of entering into a new operating lease during the nine months ended September 30, 2019 as described in Note 11 – Leases, we have provided updated operating lease obligations information. The following table summarizes our contractual obligations associated with our operating leases as of September 30, 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5"/>
          </w:tcPr>
          <w:p>
            <w:pPr>
              <w:ind w:left="500"/>
              <w:spacing w:after="0"/>
              <w:rPr>
                <w:sz w:val="20"/>
                <w:szCs w:val="20"/>
                <w:color w:val="auto"/>
              </w:rPr>
            </w:pPr>
            <w:r>
              <w:rPr>
                <w:rFonts w:ascii="Arial" w:cs="Arial" w:eastAsia="Arial" w:hAnsi="Arial"/>
                <w:sz w:val="14"/>
                <w:szCs w:val="14"/>
                <w:b w:val="1"/>
                <w:bCs w:val="1"/>
                <w:color w:val="auto"/>
                <w:w w:val="91"/>
              </w:rPr>
              <w:t>Payments Due By Period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ind w:left="200"/>
              <w:spacing w:after="0" w:line="155" w:lineRule="exact"/>
              <w:rPr>
                <w:sz w:val="20"/>
                <w:szCs w:val="20"/>
                <w:color w:val="auto"/>
              </w:rPr>
            </w:pPr>
            <w:r>
              <w:rPr>
                <w:rFonts w:ascii="Arial" w:cs="Arial" w:eastAsia="Arial" w:hAnsi="Arial"/>
                <w:sz w:val="14"/>
                <w:szCs w:val="14"/>
                <w:b w:val="1"/>
                <w:bCs w:val="1"/>
                <w:color w:val="auto"/>
                <w:w w:val="93"/>
              </w:rPr>
              <w:t>Remainder of 2019</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2020 to 2021</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w w:val="91"/>
              </w:rPr>
              <w:t>2022 to 2023</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7"/>
              </w:rPr>
              <w:t>After 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Contractual obligations:</w:t>
            </w:r>
          </w:p>
        </w:tc>
        <w:tc>
          <w:tcPr>
            <w:tcW w:w="9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Operating lease obligations (1)</w:t>
            </w:r>
          </w:p>
        </w:tc>
        <w:tc>
          <w:tcPr>
            <w:tcW w:w="15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18.3</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20" w:right="1360" w:hanging="5612"/>
        <w:spacing w:after="0" w:line="528" w:lineRule="auto"/>
        <w:tabs>
          <w:tab w:leader="none" w:pos="5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Bridgewater, NJ, Dublin, Ireland and Bedminster, NJ.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2019.</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of September 30, 2019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September 30, 2019,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quarter ended September 30, 2019,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2018 and “Item 1. Legal Proceedings” of our Quarterly Report on Form 10-Q for the quarter ended June 30, 2019 includes a discussion of our current legal proceedings. There have been no material changes to the matters described in those disclosures during the three months ended September 30, 2019.</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2018 filed with the SEC on February 27,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do not meet expectations, our business could be materially and adversely affected.</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demand for Vascepa does not meet expectations and we are not successful with development,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97"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Factors out of our control make it more difficult for Vascepa to achieve a level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w:t>
      </w:r>
    </w:p>
    <w:p>
      <w:pPr>
        <w:spacing w:after="0" w:line="158"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 xml:space="preserve">In August 2015, based on a federal court order, we began communicating promotional information beyond the MARINE indication to healthcare professionals in the United States for the treatment of patients with high (TG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7" w:name="page38"/>
    <w:bookmarkEnd w:id="37"/>
    <w:p>
      <w:pPr>
        <w:ind w:firstLine="518"/>
        <w:spacing w:after="0" w:line="268" w:lineRule="auto"/>
        <w:rPr>
          <w:sz w:val="20"/>
          <w:szCs w:val="20"/>
          <w:color w:val="auto"/>
        </w:rPr>
      </w:pPr>
      <w:r>
        <w:rPr>
          <w:rFonts w:ascii="Arial" w:cs="Arial" w:eastAsia="Arial" w:hAnsi="Arial"/>
          <w:sz w:val="17"/>
          <w:szCs w:val="17"/>
          <w:color w:val="auto"/>
        </w:rPr>
        <w:t>In September 2018, we announced topline results from the REDUCE-IT</w:t>
      </w:r>
      <w:r>
        <w:rPr>
          <w:rFonts w:ascii="Arial" w:cs="Arial" w:eastAsia="Arial" w:hAnsi="Arial"/>
          <w:sz w:val="14"/>
          <w:szCs w:val="14"/>
          <w:color w:val="auto"/>
        </w:rPr>
        <w:t>®</w:t>
      </w:r>
      <w:r>
        <w:rPr>
          <w:rFonts w:ascii="Arial" w:cs="Arial" w:eastAsia="Arial" w:hAnsi="Arial"/>
          <w:sz w:val="17"/>
          <w:szCs w:val="17"/>
          <w:color w:val="auto"/>
        </w:rPr>
        <w:t xml:space="preserve"> (Reduction of Cardiovascular Events with EPA—Intervention Trial) cardiovascular (CV)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major adverse cardiovascular events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 Based on the final positive results of REDUCE-IT, we are seeking additional indicated uses for Vascepa in the United States and to continue to develop Vascepa commercially in major markets around the world.</w:t>
      </w:r>
    </w:p>
    <w:p>
      <w:pPr>
        <w:spacing w:after="0" w:line="188"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Even though we have released positive results from the REDUCE-IT trial, our approved label for Vascepa in the United States currently remains unchanged pending additional interactions and review by the FDA. A failure to obtain an expanded label may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50" w:lineRule="exact"/>
        <w:rPr>
          <w:sz w:val="20"/>
          <w:szCs w:val="20"/>
          <w:color w:val="auto"/>
        </w:rPr>
      </w:pPr>
    </w:p>
    <w:p>
      <w:pPr>
        <w:ind w:left="1040" w:right="48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as compared to no treatment and as compared to alternative treatments in various at-risk patient populations, both as studied in clinical trials of Vascepa such as MARINE, ANCHOR and REDUCE-IT and not studied but for which the benefit/risk profile may be viewed as positive;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peer review of REDUCE-IT results and publication of results in one or more medical journals over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FDA’s review and analysis of the results of REDUCE-IT;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or related settlement;</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left="260" w:right="240" w:firstLine="7"/>
        <w:spacing w:after="0" w:line="279" w:lineRule="auto"/>
        <w:tabs>
          <w:tab w:leader="none" w:pos="395"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Endocrinologic and Metabolic Drugs Advisory Committee, EMDAC, meeting convened by FDA in connection with the REDUCE-IT supplemental new drug application, or sNDA, and related documents are expected to explore a broad range of topics and explore different opinions related to REDUCE-IT results with some opinions that could differ from our own. The EMDAC meeting could result in recommendations that are negative, may delay or prevent label expansion approval or limit Vascepa’s marketability.</w:t>
      </w:r>
    </w:p>
    <w:p>
      <w:pPr>
        <w:spacing w:after="0" w:line="17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continue to expect FDA approval of our REDUCE-IT sNDA with an appropriate indication based on REDUCE-IT results. The Prescription Drug User Fee Act (PDUFA) goal date in connection with the FDA’s review of the REDUCE-IT sNDA is December 28, 2019.</w:t>
      </w:r>
    </w:p>
    <w:p>
      <w:pPr>
        <w:spacing w:after="0" w:line="170"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On August 8, 2019 the FDA informed us of its scheduled, November 14, 2019, EMDAC meeting to review the sNDA for our proposed Vascepa label expansion based on REDUCE-IT results. Typically within two days before the EMDAC meeting, the FDA is expected to publish on its website its briefing document for EMDAC members. FDA briefing documents often contain assessments and/or conclusions and recommendations written by individual FDA reviewers without being called out as such. Such conclusions and recommendations do not necessarily represent the final position of the individual reviewers, nor do they necessarily represent the final position of the FDA’s review division or supervising office. FDA convenes advisory committees to gain committee insights and opinions, and the briefing document may not include all issues relevant to the final regulatory recommendation and instead is intended to focus on issues identified by the agency for discussion by the EMDAC. The FDA advises that it will not issue a final determination on the issues at hand until input from the advisory committee process has been considered and all reviews have been finalized. The FDA is not bound by the recommendations of an advisory committee, which is typically composed of clinicians, statisticians, and other experts but the agency typically follows such recommendations. The final determination may be affected by issues not discussed at the advisory committee meeting.</w:t>
      </w:r>
    </w:p>
    <w:p>
      <w:pPr>
        <w:spacing w:after="0" w:line="169"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Our briefing document detailing our view of REDUCE-IT data and relevant matters for the EMDAC consideration is scheduled to be published by FDA contemporaneously with FDA’s briefing document, within two days before the scheduled November 14, 2019 EMDAC meeting. As is typical, our briefing document was prepared independently of FDA’s and was submitted to FDA weeks before FDA’s draft briefing document was finalized.</w:t>
      </w:r>
    </w:p>
    <w:p>
      <w:pPr>
        <w:spacing w:after="0" w:line="147"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As previously disclosed, as is the case for all major cardiovascular outcomes studies like REDUCE-IT, data assessment by regulatory authorities, such as the FDA and Health Canada, after topline and primary results data release would yield additional useful information to inform greater understanding of the trial outcome. As is typical with detailed analysis of clinical study data at advisory committee meetings, FDA’s final briefing document is expected to identify data and information relevant to our application in more significant detail than previously available to the public.</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Based on our current understanding of FDA’s focus and perspectives due in part to our review of an advanced copy of a draft of FDA’s EMDAC briefing document received from FDA at the end of October 2019 as part of the agency’s typical procedures, we expect the final FDA EMDAC briefing document and the EMDAC meeting to cover the following topics, among others, related to our REDUCE-IT sNDA, which topics are among the broad range of topics typically explored at FDA advisory committee meetings and cover matters consistent with prior disclosures and available data:</w:t>
      </w:r>
    </w:p>
    <w:p>
      <w:pPr>
        <w:spacing w:after="0" w:line="63" w:lineRule="exact"/>
        <w:rPr>
          <w:sz w:val="20"/>
          <w:szCs w:val="20"/>
          <w:color w:val="auto"/>
        </w:rPr>
      </w:pPr>
    </w:p>
    <w:p>
      <w:pPr>
        <w:ind w:left="1040" w:right="80" w:hanging="519"/>
        <w:spacing w:after="0" w:line="293"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analyses of the degree of treatment benefit in the different patient populations (i.e., subgroups) studied in REDUCE-IT and the sufficiency of the efficacy findings to support indications and the appropriate wording thereof in light of the patient characteristics of the populations studied; for example, as prespecified and previously disclosed, the established cardiovascular (CVD) disease secondary prevention cohort, which represented approximately 70% of enrolled patients in REDUCE-IT and had a high observed event rate, experienced a numerically higher effect size (27% relative risk reduction, or RRR) than the high-risk, mostly diabetic primary prevention cohort, which represented approximately 30% of enrolled patients and had a relatively lower observed event rate and experienced a 12% RRR;</w:t>
      </w:r>
    </w:p>
    <w:p>
      <w:pPr>
        <w:spacing w:after="0" w:line="56" w:lineRule="exact"/>
        <w:rPr>
          <w:rFonts w:ascii="Arial" w:cs="Arial" w:eastAsia="Arial" w:hAnsi="Arial"/>
          <w:sz w:val="16"/>
          <w:szCs w:val="16"/>
          <w:color w:val="auto"/>
        </w:rPr>
      </w:pPr>
    </w:p>
    <w:p>
      <w:pPr>
        <w:ind w:left="1040" w:right="100" w:hanging="519"/>
        <w:spacing w:after="0" w:line="25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analyses of the degree of treatment benefit on specific studied endpoints in the different subgroups studied in REDUCE-IT and the sufficiency of the efficacy findings with respect to the studied endpoints to support indications and the appropriate wording thereof; for example, as previously disclosed, beyond the primary endpoint and key secondary endpoint, seven secondary endpoints of different clinical relevance were achieved to varying degrees of impact and degrees of statistical significance in the order of sequential statistical testing within the prespecified hierarchy;</w:t>
      </w:r>
    </w:p>
    <w:p>
      <w:pPr>
        <w:spacing w:after="0" w:line="80" w:lineRule="exact"/>
        <w:rPr>
          <w:rFonts w:ascii="Arial" w:cs="Arial" w:eastAsia="Arial" w:hAnsi="Arial"/>
          <w:sz w:val="18"/>
          <w:szCs w:val="18"/>
          <w:color w:val="auto"/>
        </w:rPr>
      </w:pPr>
    </w:p>
    <w:p>
      <w:pPr>
        <w:ind w:left="1040" w:hanging="519"/>
        <w:spacing w:after="0" w:line="273"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analyses related to study conduct and data robustness, quality, integrity and consistency; for example, as previously disclosed, REDUCE-IT was a single clinical trial conducted based on a special protocol assessment (SPA) agreement with the FDA and, as is typical for all CV outcomes studies, related analyses are expected on the overall strength and limitations of study data to support the indications sought, as described above, considering factors including, but not limited to, the use of mineral oil placebo used in the study and questions explored in past FDA reviews and raised publicly since then over the plausibility of an interaction of the placebo with statins that some have argued could have led to reduced absorption of statin medications, which we do not believe occurred for reasons previously disclosed, among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520" w:right="200"/>
        <w:spacing w:after="0" w:line="286" w:lineRule="auto"/>
        <w:rPr>
          <w:sz w:val="20"/>
          <w:szCs w:val="20"/>
          <w:color w:val="auto"/>
        </w:rPr>
      </w:pPr>
      <w:r>
        <w:rPr>
          <w:rFonts w:ascii="Arial" w:cs="Arial" w:eastAsia="Arial" w:hAnsi="Arial"/>
          <w:sz w:val="16"/>
          <w:szCs w:val="16"/>
          <w:color w:val="auto"/>
        </w:rPr>
        <w:t xml:space="preserve">others to be presented in our briefing document; but, consistent with the publication of REDUCE-IT results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we believe FDA has assessed that even if plausible based on indirect evidence of a potential effect, that an exploratory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indicates the effect, if any, of mineral oil on LDL cholesterol values on the time to the primary endpoint is numerically small and unlikely to change the overall conclusion of treatment benefit (see also, the previously disclosed discussion of mineral oil placebo below within, </w:t>
      </w:r>
      <w:r>
        <w:rPr>
          <w:rFonts w:ascii="Arial" w:cs="Arial" w:eastAsia="Arial" w:hAnsi="Arial"/>
          <w:sz w:val="16"/>
          <w:szCs w:val="16"/>
          <w:i w:val="1"/>
          <w:iCs w:val="1"/>
          <w:color w:val="auto"/>
        </w:rPr>
        <w:t>“---</w:t>
      </w:r>
    </w:p>
    <w:p>
      <w:pPr>
        <w:spacing w:after="0" w:line="2" w:lineRule="exact"/>
        <w:rPr>
          <w:sz w:val="20"/>
          <w:szCs w:val="20"/>
          <w:color w:val="auto"/>
        </w:rPr>
      </w:pPr>
    </w:p>
    <w:p>
      <w:pPr>
        <w:ind w:left="520" w:right="60"/>
        <w:spacing w:after="0" w:line="277" w:lineRule="auto"/>
        <w:rPr>
          <w:sz w:val="20"/>
          <w:szCs w:val="20"/>
          <w:color w:val="auto"/>
        </w:rPr>
      </w:pPr>
      <w:r>
        <w:rPr>
          <w:rFonts w:ascii="Arial" w:cs="Arial" w:eastAsia="Arial" w:hAnsi="Arial"/>
          <w:sz w:val="17"/>
          <w:szCs w:val="17"/>
          <w:i w:val="1"/>
          <w:iCs w:val="1"/>
          <w:color w:val="auto"/>
        </w:rPr>
        <w:t>Clinical trials that we or potential partners conduct, including the REDUCE-IT trial, may not provide sufficient safety and efficacy data to obtain the requisite regulatory approvals for product candidates or to achieve a level of market acceptance by physicians, patients, healthcare payors and others in the medical community necessary for commercial success if we obtain regulatory approval”);</w:t>
      </w:r>
    </w:p>
    <w:p>
      <w:pPr>
        <w:spacing w:after="0" w:line="65" w:lineRule="exact"/>
        <w:rPr>
          <w:sz w:val="20"/>
          <w:szCs w:val="20"/>
          <w:color w:val="auto"/>
        </w:rPr>
      </w:pPr>
    </w:p>
    <w:p>
      <w:pPr>
        <w:ind w:left="520" w:hanging="519"/>
        <w:spacing w:after="0" w:line="270"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safety data and related risk/benefit considerations in light of the above; for example, as previously disclosed, overall safety findings in REDUCE-IT were generally consistent with product labeling and available data on the omega-3 class; more patients in the Vascepa group experienced an adjudicated event of atrial fibrillation or atrial flutter event requiring hospitalization 24 hours or greater compared with patients in the placebo group (3.1% versus 2.1%), and more patients experienced any treatment emergent adverse event of atrial fibrillation or atrial flutter in the Vascepa arm versus placebo; the incidence of atrial fibrillation or atrial flutter was greater in the subset of patients with a previous history of atrial fibrillation or flutter, and the relative imbalance was numerically greater between arms in this subgroup compared with the imbalance in those without a previous history; additionally, more patients in the Vascepa group experienced an adverse event of bleeding compared with patients in the placebo group, excluding hemorrhagic strokes (which were adjudicated efficacy events), 482 patients (11.8%) in the Vascepa treatment arm experienced bleeding events compared to 404 patients (9.9%) in the placebo treatment arm (in each case, consistent with prior disclosures); and</w:t>
      </w:r>
    </w:p>
    <w:p>
      <w:pPr>
        <w:spacing w:after="0" w:line="69" w:lineRule="exact"/>
        <w:rPr>
          <w:rFonts w:ascii="Arial" w:cs="Arial" w:eastAsia="Arial" w:hAnsi="Arial"/>
          <w:sz w:val="17"/>
          <w:szCs w:val="17"/>
          <w:color w:val="auto"/>
        </w:rPr>
      </w:pPr>
    </w:p>
    <w:p>
      <w:pPr>
        <w:ind w:left="520" w:hanging="519"/>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20"/>
          </w:cols>
          <w:pgMar w:left="760" w:top="125" w:right="319" w:bottom="1440" w:gutter="0" w:footer="0" w:header="0"/>
        </w:sectPr>
      </w:pPr>
    </w:p>
    <w:bookmarkStart w:id="40" w:name="page41"/>
    <w:bookmarkEnd w:id="40"/>
    <w:p>
      <w:pPr>
        <w:ind w:right="160" w:firstLine="518"/>
        <w:spacing w:after="0" w:line="291" w:lineRule="auto"/>
        <w:rPr>
          <w:sz w:val="20"/>
          <w:szCs w:val="20"/>
          <w:color w:val="auto"/>
        </w:rPr>
      </w:pPr>
      <w:r>
        <w:rPr>
          <w:rFonts w:ascii="Arial" w:cs="Arial" w:eastAsia="Arial" w:hAnsi="Arial"/>
          <w:sz w:val="16"/>
          <w:szCs w:val="16"/>
          <w:color w:val="auto"/>
        </w:rPr>
        <w:t>Because the FDA draft briefing document on which the above information is based is in draft form, we cannot be sure that the same content, or more or less content, will be presented or discussed as key topics at the EMDAC meeting. Similarly, the agency will present a slide deck communicating information relevant to the meeting that we will not have had the opportunity to review in advance and may contain materially different information. And, panelists at the EMDAC meeting will have the ability to ask their own questions, regardless of whether or not they are included in briefing materials from Amarin or from FDA. Generally, because regulatory reviews are typically fluid and not definitive interactions between sponsor and agency on individual elements of an application and related information, as previously disclosed we do not plan to update investors on ongoing communications with regulatory authorities. Amarin plans to announce the final outcome of the advisory committee vote and subsequent regulatory reviews when appropriate.</w:t>
      </w:r>
    </w:p>
    <w:p>
      <w:pPr>
        <w:spacing w:after="0" w:line="16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if the EMDAC or FDA ultimately agree with our views on the topics above and other topics related to the REDUCE-IT sNDA, the publication of topics or areas of concerns from FDA and the EMDAC and the degree to which the public views these matters as material to, for example, the prospects and scope of approval of the sNDA, may negatively affect us.</w:t>
      </w:r>
    </w:p>
    <w:p>
      <w:pPr>
        <w:spacing w:after="0" w:line="1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addition, the EMDAC may recommend against approval of our application or may recommend that the FDA require, as a condition of approval or as a post-approval commitment, additional preclinical studies or clinical trials. This may delay and increase the cost of the review and approval process. Although not typically the case, the FDA can also, at its option, delay the target date for completion of our sNDA (as it did already from September 28, 2019 to December 28, 2019) to allow for additional time to assess new or existing information in connection with the sNDA review. Any delay in obtaining, or an inability to obtain, expanded marketing approval could prevent us from commercializing Vascepa in the REDUCE-IT indication generally or to a specific subgroup of studied patients, generating revenue at current or increasing rates of growth, and achieving long-term profitability, any of which could materially harm our business and cause our stock price to decline.</w:t>
      </w:r>
    </w:p>
    <w:p>
      <w:pPr>
        <w:spacing w:after="0" w:line="297" w:lineRule="exact"/>
        <w:rPr>
          <w:sz w:val="20"/>
          <w:szCs w:val="20"/>
          <w:color w:val="auto"/>
        </w:rPr>
      </w:pPr>
    </w:p>
    <w:p>
      <w:pPr>
        <w:ind w:left="260" w:firstLine="6"/>
        <w:spacing w:after="0" w:line="277" w:lineRule="auto"/>
        <w:tabs>
          <w:tab w:leader="none" w:pos="401"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cannot predict whether the FDA will approve our REDUCE-IT sNDA or whether the scope of approval or any post-approval requirements, will meet investor expectations.</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March 2019, we submitted an sNDA to the FDA seeking revised labeling for Vascepa based on results of the REDUCE-IT study and, upon such expanded labeling, subject to FDA approval of such label, to further expand its promotion of Vascepa in the United States. In May 2019, the FDA granted Priority Review for the sNDA and assigned a Prescription Drug User Fee Act (PDUFA) goal date of September 28, 2019. In September 2019, the FDA confirmed the previous tentative date, November 14, 2019, as the scheduled date for the EMDAC meeting to review the sNDA and extended the PDUFA goal date to December 28, 2019.</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can be no assurance as to the actual timetable for FDA action or whether the sNDA will be approved by the FDA.</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If the sNDA is approved, there can be no assurance that the scope of approval will meet investor expectations. For example, on October 17, 2019, the Institute for Clinical and Economic Review, or ICER, released its final evidence report regarding clinical effectiveness and economic impacts on Vascepa. The conclusion from the report is that Vascepa easily meets “commonly cited thresholds for cost-effectiveness and therefore represent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This represents a significantly larger patient population than studied in REDUCE-IT, which enrolled patients with persistent elevated triglyceride levels after statin therapy and other highly specific entry criteria designed to ensure the patient populations studied had sufficiently high degrees of CV risk. While the clinical judgment of prescribing physicians is a key factor that determines the breadth of a drug’s use and often results in prescriptions in patient populations that go beyond FDA labeling, FDA-approved labeling is typically more closely tied to the patient population studied in a clinical trial and for which the agency determines there exists substantial evidence of a favorable benefit to risk ratio.</w:t>
      </w:r>
    </w:p>
    <w:p>
      <w:pPr>
        <w:spacing w:after="0" w:line="75"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Additionally, even if the sNDA is approved, such approval could require various actions by us including modification of the existing Vascepa label or the adoption of FDA-mandated risk evaluation and mitigation strategies. Any adverse developments or results or perceived adverse developments or results with respect to our sNDA will significantly harm our business and could cause the market price of our securities to decline.</w:t>
      </w:r>
    </w:p>
    <w:p>
      <w:pPr>
        <w:spacing w:after="0" w:line="274"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proposed REDUCE-IT indications.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20" w:firstLine="518"/>
        <w:spacing w:after="0" w:line="264" w:lineRule="auto"/>
        <w:rPr>
          <w:sz w:val="20"/>
          <w:szCs w:val="20"/>
          <w:color w:val="auto"/>
        </w:rPr>
      </w:pPr>
      <w:r>
        <w:rPr>
          <w:rFonts w:ascii="Arial" w:cs="Arial" w:eastAsia="Arial" w:hAnsi="Arial"/>
          <w:sz w:val="18"/>
          <w:szCs w:val="18"/>
          <w:color w:val="auto"/>
        </w:rPr>
        <w:t>The REDUCE-IT trial was conducted under a SPA agreement with the FDA which means that the FDA agreed, based on the information we submitted to the agency, that the design and planned analysis of the trial was adequate to support use of the conducted study as the primary basis for approval with respect to effectiveness.</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 SPA agreement does not cover every aspect of clinical trial conduct and assessment. For example,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 The FDA previously rescinded our SPA agreement with the FDA for our ANCHOR trial because the FDA determined that a substantial scientific issue essential to determining the effectiveness of Vascepa in the studied population was identified after testing began. There can be no assurance that the FDA or the applicable regulatory authorities in other jurisdictions will not reach a similar conclusion with respect to the results of the REDUCE-IT trial or will not require additional studies by us of Vascepa.</w:t>
      </w:r>
    </w:p>
    <w:p>
      <w:pPr>
        <w:spacing w:after="0" w:line="286" w:lineRule="exact"/>
        <w:rPr>
          <w:sz w:val="20"/>
          <w:szCs w:val="20"/>
          <w:color w:val="auto"/>
        </w:rPr>
      </w:pPr>
    </w:p>
    <w:p>
      <w:pPr>
        <w:jc w:val="both"/>
        <w:ind w:left="260" w:right="60" w:firstLine="7"/>
        <w:spacing w:after="0" w:line="279" w:lineRule="auto"/>
        <w:tabs>
          <w:tab w:leader="none" w:pos="395"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with any cardiovascular outcomes trial, over time further REDUCE-IT data assessment and data release will yield additional useful information to inform greater understanding of study outcome. That additional data and related interpretations by us, regulatory authorities such as FDA or third parties may exceed, meet or not meet investor expectations. If the additional data or related interpretations do not meet expectations, the perception of REDUCE-IT results and Vascepa may suffer and our stock price may decline.</w:t>
      </w:r>
    </w:p>
    <w:p>
      <w:pPr>
        <w:spacing w:after="0" w:line="6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 xml:space="preserve">In September 2018, we announced topline results from the REDUCE-IT trial showing that the trial met its primary endpoint demonstrating an approximately 25% relative risk reduction, to a high degree of statistical significance (p&lt;0.001), in MACE in the intent-to-treat patient population with use of Vascepa 4 grams/day as compared to placebo. More detailed presentation of REDUCE-IT results was first made at the 2018 Scientific Sessions of the American Heart Association (AHA) on November 10, 2018 with such results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As detailed above, additional data assessment and data release in connection with the EMDAC meeting will yield additional useful information to inform greater understanding of study outcome. Generally, trial data assessment sufficient to convey a complete picture of trial data typically takes several months and can take years to complete and publish. When new data are assessed and released it could exceed, match or may not meet investor expectations. This type of updates and any future presentation and additional data may exceed, match or may not meet investors’ expectations.</w:t>
      </w:r>
    </w:p>
    <w:p>
      <w:pPr>
        <w:spacing w:after="0" w:line="179"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In addition, the same set of data can sometimes be interpreted to reach conclusions that conflict with our conclusions, as was the case when FDA reviewed earlier cardiovascular outcomes trials of other drugs in the context of the effects of triglyceride lowering agents on cardiovascular risk reduction. For example, FDA review of our REDUCE-IT sNDA in connection with its final determination or in connection with the EMDAC meeting, or otherwise, could bring public attention to data interpretations that conflict with our own or the public’s. Conflicting interpretations of data, or new data, could impact public and medical community perception of the totality of the efficacy and safety data from REDUCE-IT.</w:t>
      </w:r>
    </w:p>
    <w:p>
      <w:pPr>
        <w:spacing w:after="0" w:line="17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Aspects that from time to time in the future could be considered to change and impact the final evaluation of the totality of the efficacy and safety data from REDUCE-IT, in addition to those noted above, may include some or all of the following:</w:t>
      </w:r>
    </w:p>
    <w:p>
      <w:pPr>
        <w:spacing w:after="0" w:line="62" w:lineRule="exact"/>
        <w:rPr>
          <w:sz w:val="20"/>
          <w:szCs w:val="20"/>
          <w:color w:val="auto"/>
        </w:rPr>
      </w:pPr>
    </w:p>
    <w:p>
      <w:pPr>
        <w:ind w:left="1040" w:right="5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related to adverse events such as bleeding and atrial fibrillation generally and in different sub-populations);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additional analyses regard the placebo used in REDUCE-IT).</w:t>
      </w:r>
    </w:p>
    <w:p>
      <w:pPr>
        <w:spacing w:after="0" w:line="2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If additional data released from time to time does not meet expectations, the perception of REDUCE-IT results and the perceived value of Vascepa may suffer. If this occurs, our business could suffer and our stock price could significantly decline.</w:t>
      </w:r>
    </w:p>
    <w:p>
      <w:pPr>
        <w:spacing w:after="0" w:line="279"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*Ongoing clinical trials involving Vascepa and similar moderate-to-high doses of eicosapentaenoic acid or icosapent ethyl could influence public perception of Vascepa’s clinical profile and the commercial and regulatory prospects of Vascepa.</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Ongoing trials of moderate-to-high doses of Vascepa and icosapent ethyl or a similar, eicosapentaenoic acid, could provide further information on the effects of Vascepa and its commercial prospects.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In addition, 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&gt;40 mg/dL and LDL-C ≤115 mg/dL on appropriate statin therapy; stable diet and exercise, as defined as the same pattern for the previous 4 weeks; and stable treatment with a statin with or without ezetimibe for at least 4 weeks. If the outcomes of these studies do not meet expectations, the perception of REDUCE-IT results and the perceived value of Vascepa and its regulatory status may suffer. If this occurs our business could suffer and our stock price could significantly decline.</w:t>
      </w:r>
    </w:p>
    <w:p>
      <w:pPr>
        <w:spacing w:after="0" w:line="280" w:lineRule="exact"/>
        <w:rPr>
          <w:sz w:val="20"/>
          <w:szCs w:val="20"/>
          <w:color w:val="auto"/>
        </w:rPr>
      </w:pPr>
    </w:p>
    <w:p>
      <w:pPr>
        <w:jc w:val="both"/>
        <w:ind w:left="260" w:right="100"/>
        <w:spacing w:after="0" w:line="286" w:lineRule="auto"/>
        <w:rPr>
          <w:sz w:val="20"/>
          <w:szCs w:val="20"/>
          <w:color w:val="auto"/>
        </w:rPr>
      </w:pPr>
      <w:r>
        <w:rPr>
          <w:rFonts w:ascii="Arial" w:cs="Arial" w:eastAsia="Arial" w:hAnsi="Arial"/>
          <w:sz w:val="17"/>
          <w:szCs w:val="17"/>
          <w:b w:val="1"/>
          <w:bCs w:val="1"/>
          <w:i w:val="1"/>
          <w:iCs w:val="1"/>
          <w:color w:val="auto"/>
        </w:rPr>
        <w:t>Clinical trials that we or potential partners conduct, including the REDUCE-IT trial, may not provide sufficient safety and efficacy data to obtain the requisite regulatory approvals for product candidates or to achieve a level of market acceptance by physicians, patients, healthcare payors and others in the medical community necessary for commercial success if we obtain regulatory approval.</w:t>
      </w:r>
    </w:p>
    <w:p>
      <w:pPr>
        <w:spacing w:after="0" w:line="5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On November 10, 2018, we announced the primary results of our REDUCE-IT cardiovascular outcomes study confirming 25% relative risk reduction for the topline primary endpoint result with multiple robust demonstrations of efficacy, including 20% reduction in cardiovascular death. Major cardiovascular outcomes studies like REDUCE-IT typically motivate the medical community to search for ways to fit the results into the mosaic of prior studies, like JELIS and CANTOS, and their associated mechanisms of action, and to also distinguish results from prior failed studies, like what the authors of </w:t>
      </w:r>
      <w:r>
        <w:rPr>
          <w:rFonts w:ascii="Arial" w:cs="Arial" w:eastAsia="Arial" w:hAnsi="Arial"/>
          <w:sz w:val="17"/>
          <w:szCs w:val="17"/>
          <w:i w:val="1"/>
          <w:iCs w:val="1"/>
          <w:color w:val="auto"/>
        </w:rPr>
        <w:t xml:space="preserve">The New England Journal of Medicine </w:t>
      </w:r>
      <w:r>
        <w:rPr>
          <w:rFonts w:ascii="Arial" w:cs="Arial" w:eastAsia="Arial" w:hAnsi="Arial"/>
          <w:sz w:val="17"/>
          <w:szCs w:val="17"/>
          <w:color w:val="auto"/>
        </w:rPr>
        <w:t>editorial on REDUCE-IT referred to as the “parade of failed cardiovascular outcome trials of fish oils.” It is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medical community to understand related science on the unique active pharmaceutical ingredient in Vascepa, icosapent ethyl, and REDUCE-IT. As with any clinical study, as the medical community and regulators such as the FDA review and analyze REDUCE-IT study data, dialogue is expected to continue with respect to the reliability of REDUCE-IT data and the study quality that could adversely affect our product development, regulatory review, market or medical community acceptance, and level of payor reimbursement in the event of an expansion of the Vascepa label. Likewise, public perception of the REDUCE-IT results and Vascepa may be affected.</w:t>
      </w:r>
    </w:p>
    <w:p>
      <w:pPr>
        <w:spacing w:after="0" w:line="178"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 xml:space="preserve">For example,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Determination of the mechanisms responsible for the benefit shown in REDUCE-IT was not the focus or purpose of the study. As summarized from the primary results of REDUCE-IT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right="20" w:firstLine="518"/>
        <w:spacing w:after="0" w:line="284" w:lineRule="auto"/>
        <w:rPr>
          <w:sz w:val="20"/>
          <w:szCs w:val="20"/>
          <w:color w:val="auto"/>
        </w:rPr>
      </w:pPr>
      <w:r>
        <w:rPr>
          <w:rFonts w:ascii="Arial" w:cs="Arial" w:eastAsia="Arial" w:hAnsi="Arial"/>
          <w:sz w:val="16"/>
          <w:szCs w:val="16"/>
          <w:color w:val="auto"/>
        </w:rPr>
        <w:t xml:space="preserve">In addition, the median change in LDL cholesterol level from baseline was 6.6% (5.0 mg/dL; p &lt; 0.001) on a placebo-corrected basis reflecting an increase of 3.1% (+2.0 mg/dL) in the Vascepa group and an increase of 10.2% (+7.0 mg/dL) in the placebo group. Increases in the placebo group relative to the Vascepa group were also observed in other parameters classically measured in such studies but with uncertain relevance to cardiovascular outcomes. An upward drift in LDL cholesterol and such other parameters has been commonly, although not always, observed in statin-stabilized patients across numerous studies within varying patient populations, and many have estimated LDL cholesterol increases of at least 6% and ranging up to more than 30%. Factors cited as potentially contributing to this circumstance include decreased drug and lifestyle regimen compliance, physiological compensation for drug-induced lipid changes, regression to the mean, intraindividual variability, lab variability, genetics, metabolic state, disease state, age, and season. If light liquid paraffin oil, or mineral oil, used as the placebo in REDUCE-IT adversely affected statin absorption or other parameters in some patients as is asserted by certain critics of the study, this could be theorized to have contributed to differences in outcomes between the groups and leave open the possibility that the placebo used in the trial was not biologically inert. Based on our current understanding of FDA’s perspective on our REDUCE-IT sNDA, an interaction between mineral oil and statins leading to decreased absorption of statins cannot be excluded when the two are co-administered and that, based on our understanding of FDA’s view, indirect evidence suggests the presence of a potential inhibitory effect on statin absorption by mineral oil. However, we believe FDA’s perspective is that an exploratory analysis indicates that the effect of LDL cholesterol values on the time to the primary endpoint is numerically small and unlikely to change the overall conclusion of treatment benefit. These and other observations, whether scientifically reliable or not, may impact how these trial results are interpreted by EMDAC members, regulators, the medical community and third-party payors. This is the case notwithstanding that a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analysis of REDUCE-IT data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showed no material differences in the primary and key secondary endpoint event rates for placebo patients with an increase in LDL-C at one year versus those with no change or a decrease, and also suggested a similar relative risk reduction regardless of whether there was an increase in LDL cholesterol level among the patients in the placebo group. Data generated by Amarin after, but supporting, this analysis reflect that patient-by-patient differences in LDL cholesterol levels from baseline to Year 1 included some patients with increases, some patients with decreases and others with no change in both the Vascepa arm and the placebo arm of the REDUCE-IT study. If mineral oil affected statin absorption significantly, it is reasonable to expect that such effect might be evident in all patients on placebo (i.e., if mineral oil had a definitive effect one would expect LDL cholesterol increases would be consistently observed among patients in the placebo arm) rather than the observed mixed results that include many patients with LDL cholesterol decreases or lack of change in LDL cholesterol. Moreover, as the authors of the primary results publication on REDUCE-IT in </w:t>
      </w:r>
      <w:r>
        <w:rPr>
          <w:rFonts w:ascii="Arial" w:cs="Arial" w:eastAsia="Arial" w:hAnsi="Arial"/>
          <w:sz w:val="16"/>
          <w:szCs w:val="16"/>
          <w:i w:val="1"/>
          <w:iCs w:val="1"/>
          <w:color w:val="auto"/>
        </w:rPr>
        <w:t xml:space="preserve">The New England Journal of Medicine </w:t>
      </w:r>
      <w:r>
        <w:rPr>
          <w:rFonts w:ascii="Arial" w:cs="Arial" w:eastAsia="Arial" w:hAnsi="Arial"/>
          <w:sz w:val="16"/>
          <w:szCs w:val="16"/>
          <w:color w:val="auto"/>
        </w:rPr>
        <w:t>noted, the relatively small differences in LDL cholesterol levels between the groups would not be likely to explain the</w:t>
      </w:r>
      <w:r>
        <w:rPr>
          <w:rFonts w:ascii="Arial" w:cs="Arial" w:eastAsia="Arial" w:hAnsi="Arial"/>
          <w:sz w:val="16"/>
          <w:szCs w:val="16"/>
          <w:i w:val="1"/>
          <w:iCs w:val="1"/>
          <w:color w:val="auto"/>
        </w:rPr>
        <w:t xml:space="preserve"> </w:t>
      </w:r>
      <w:r>
        <w:rPr>
          <w:rFonts w:ascii="Arial" w:cs="Arial" w:eastAsia="Arial" w:hAnsi="Arial"/>
          <w:sz w:val="16"/>
          <w:szCs w:val="16"/>
          <w:color w:val="auto"/>
        </w:rPr>
        <w:t>25% lower MACE risk observed with Vascepa and JELIS, an over 18,000 patient cardiovascular outcomes study in Japan of a highly-pure EPA product similar to Vascepa, that, while a different study than REDUCE-IT in various respects, previously demonstrated a 19% risk reduction without a mineral oil placebo.</w:t>
      </w:r>
    </w:p>
    <w:p>
      <w:pPr>
        <w:spacing w:after="0" w:line="39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Consistent with our SPA for REDUCE-IT agreed to with the FDA, the trial subjects in the placebo arm of REDUCE-IT were given light liquid paraffin oil, or mineral oil, to mimic the color and consistency of Vascepa. We also used mineral oil in the placebo arms of our MARINE and ANCHOR trials.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led to further discussion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The FDA, early in the course of the REDUCE-IT trial, directed the independent data monitoring committee, or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 In addition, following discussions on this topic in October 2013 in connection with the FDA’s review of our supplemental new drug application for our ANCHOR study, the FDA did not seek to require that we include any qualification related to the use of mineral oil as a placebo in REDUCE-IT at the time of our March 2016 amendment to the REDUCE-IT SPA. As noted, importantly and consistently, JELIS, an over 18,000 patient cardiovascular outcomes study in Japan of a highly-pure EPA product similar to Vascepa previously, and a different study than REDUCE-IT in various respects, demonstrated a 19% risk reduction without a mineral oil placebo.</w:t>
      </w:r>
    </w:p>
    <w:p>
      <w:pPr>
        <w:spacing w:after="0" w:line="16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As with any cardiovascular outcomes trial, further REDUCE-IT data assessment and data release could yield additional useful information to inform a greater understanding of the trial outcome. Further detailed data assessment by Amarin and regulatory authorities will continue and take several months or more to complete and record. The final evaluation of the totality of the efficacy and safety data from REDUCE-IT may include some or all of the following, as well as other considerations: new information affecting the degree of treatment benefit on studied endpoints; study conduct and data robustness, quality, integrity and consistency; additional safety data considerations and risk/benefit considerations; consideration of the cumulative effect of Vascepa in studied patients; and consideration of REDUCE-IT results in the context of other clinical studies. That additional data may exceed, meet or not meet the expectations of regulators, the medical community and third-party payors.</w:t>
      </w:r>
    </w:p>
    <w:p>
      <w:pPr>
        <w:spacing w:after="0" w:line="178"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If Vascepa’s specific mechanism of action shown in the REDUCE-IT study or the potential effects of the mineral oil used in the placebo arm of REDUCE-IT remains uncertain, or any additional data from the REDUCE-IT study do not meet expectations,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220"/>
        <w:spacing w:after="0" w:line="286" w:lineRule="auto"/>
        <w:rPr>
          <w:sz w:val="20"/>
          <w:szCs w:val="20"/>
          <w:color w:val="auto"/>
        </w:rPr>
      </w:pPr>
      <w:r>
        <w:rPr>
          <w:rFonts w:ascii="Arial" w:cs="Arial" w:eastAsia="Arial" w:hAnsi="Arial"/>
          <w:sz w:val="17"/>
          <w:szCs w:val="17"/>
          <w:color w:val="auto"/>
        </w:rPr>
        <w:t>perception of REDUCE-IT results and Vascepa may suffer and could adversely affect our product development, regulatory review, market or medical community acceptance, level of payor reimbursement in the event of an expansion of the Vascepa label, or the public perception of the REDUCE-IT results and Vascepa, any of which could have a material adverse effect on our business and financial condition and our stock price may decline.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in the United States may not be successful in increasing sales of Vascepa.</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It is estimated that over 25 million adults in the United States have elevated triglyceride levels ≥200 mg/dL and that more than 50 million adults in the United States have elevated triglyceride levels ≥150 mg/dL. Approximately 2 to 3 million adults in the United States have very high triglyceride levels (≥500 mg/dL), the MARINE patient population. There are approximately 5 to 15 million people in the United States that meet the specific REDUCE-IT inclusion criteria. Since 1976, mean triglyceride levels have increase in concert with the growing epidemic of obesity, insulin resistance, and type 2 diabetes mellitus. In contrast, mean LDL-C levels have decreased.</w:t>
      </w:r>
    </w:p>
    <w:p>
      <w:pPr>
        <w:spacing w:after="0" w:line="8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Prior to REDUCE-IT topline results announcement in September 2018, our sales team consisted of approximately 170 sales professionals, including sales representatives and their managers. In early 2019, we increased the size of our sales force to approximately 440 sales professionals, including approximately 400 sales representatives, based on positive REDUCE-IT results. The Company is working to expand its direct sales force to approximately 800 sales professionals for the assumed launch of Vascepa in early 2020 for the cardiovascular risk reduction indication being sought through the sNDA.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September 30, 2019. This sales team promotes Vascepa to a limited group of physicians and other healthcare professionals in select geographies in the United States. Even after planned expansion, this sales team is not large enough to call upon all physicians. We intend to further expand the promotion of Vascepa following our assumed label expansion for Vascepa subject to FDA review and approval of our sNDA.</w:t>
      </w:r>
    </w:p>
    <w:p>
      <w:pPr>
        <w:spacing w:after="0" w:line="16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May 2014, we began co-promoting Vascepa in the United States with Kowa Pharmaceuticals America, Inc. under a co-promotion agreement we entered into in March 2014, which we amended in July 2017. Under the agreement, Kowa Pharmaceuticals America, Inc. co-promoted Vascepa in conjunction with its promotion of its primary product, a branded statin for patients with high cholesterol, along with our sales professionals based on a plan designed to focus on select sales territories that we believed had demonstrated the greatest potential for Vascepa sales growth, increasing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w:t>
      </w:r>
    </w:p>
    <w:p>
      <w:pPr>
        <w:spacing w:after="0" w:line="16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Furthermore, our agreement with Kowa Pharmaceuticals America, Inc. was designed such that Kowa’s co-promotion of Vascepa ceased at the end of 2018. The parties mutually agreed not to renew the agreement. If over time our newly expanded sales team are not at least equally capable, our sales may be negatively impacted.</w:t>
      </w:r>
    </w:p>
    <w:p>
      <w:pPr>
        <w:spacing w:after="0" w:line="1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to the sales force expansion in the United States, Amarin plans to work with its international partners to support regulatory efforts outside the United States based on REDUCE-IT results. We will again need to overcome challenges associated with rapidly hiring and training personnel and managing larger teams of people.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past and future off-label promotion of Vascepa could subject us to additional regulatory scrutiny and present unforeseen risks.</w:t>
      </w:r>
    </w:p>
    <w:p>
      <w:pPr>
        <w:spacing w:after="0" w:line="1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8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69"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6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the FDA’s review of our recently submitted sNDA containing the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7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280"/>
        <w:spacing w:after="0" w:line="264" w:lineRule="auto"/>
        <w:rPr>
          <w:sz w:val="20"/>
          <w:szCs w:val="20"/>
          <w:color w:val="auto"/>
        </w:rPr>
      </w:pPr>
      <w:r>
        <w:rPr>
          <w:rFonts w:ascii="Arial" w:cs="Arial" w:eastAsia="Arial" w:hAnsi="Arial"/>
          <w:sz w:val="18"/>
          <w:szCs w:val="18"/>
          <w:color w:val="auto"/>
        </w:rPr>
        <w:t>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in May 2014, Epanova</w:t>
      </w:r>
      <w:r>
        <w:rPr>
          <w:rFonts w:ascii="Arial" w:cs="Arial" w:eastAsia="Arial" w:hAnsi="Arial"/>
          <w:sz w:val="15"/>
          <w:szCs w:val="15"/>
          <w:color w:val="auto"/>
        </w:rPr>
        <w:t>®</w:t>
      </w:r>
      <w:r>
        <w:rPr>
          <w:rFonts w:ascii="Arial" w:cs="Arial" w:eastAsia="Arial" w:hAnsi="Arial"/>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is estimated to be completed in the second half of 2020, but it could be stopped earlier if, for example, it generates an overwhelming efficacy result. In addition, in March 2017, Kowa Research Institute (a subsidiary of the Japanese company Kowa Co., Ltd) initiated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8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American Heart Association (AHA) on November 10, 2018, failed to achieve its primary endpoint of lowering cardiovascular events. VITAL was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w:t>
      </w:r>
    </w:p>
    <w:p>
      <w:pPr>
        <w:spacing w:after="0" w:line="16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Likewise, in 2018,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In addition, VITAL showed that supplementation with either omega-3 fatty acid at a dose of 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gram per day or vitamin D3 at a dose of 2000 IU per day was not effective for primary prevention of CV or cancer events among healthy middle-aged men and women across 5 years of follow up.</w:t>
      </w:r>
    </w:p>
    <w:p>
      <w:pPr>
        <w:spacing w:after="0" w:line="170"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In a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demonstrated a positive outcome benefit. The negative results from such omega-3 mixture studies could create misleading impressions about the use of omega-3s generally, including Vascepa, despite REDUCE-IT positive results and the highly pure and stable EPA active ingredient in Vascepa and its higher dose regimen.</w:t>
      </w:r>
    </w:p>
    <w:p>
      <w:pPr>
        <w:spacing w:after="0" w:line="178"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3"/>
          <w:szCs w:val="13"/>
          <w:color w:val="auto"/>
        </w:rPr>
        <w:t>®</w:t>
      </w:r>
      <w:r>
        <w:rPr>
          <w:rFonts w:ascii="Arial" w:cs="Arial" w:eastAsia="Arial" w:hAnsi="Arial"/>
          <w:sz w:val="16"/>
          <w:szCs w:val="16"/>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1 &amp; 2) to assess the safety and efficacy of CaPre in patients with very high (≥500 mg/dL) triglycerides in the first quarter of 2018. Acasti expects topline results of TRILOGY 1 in December 2019 and of TRILOGY 2 in January 2020 with NDA submission to FDA expected mid-2020. We believe Micelle BioPharma Inc., or Micelle, is also developing potential treatments for hypertriglyceridemia based on omega-3 fatty acids. To our knowledge, Micelle, after acquiring SC401 from Sancilio &amp; Company, or Sancilio, is pursuing a regulatory pathway under section 505(b)</w:t>
      </w:r>
    </w:p>
    <w:p>
      <w:pPr>
        <w:spacing w:after="0" w:line="7" w:lineRule="exact"/>
        <w:rPr>
          <w:sz w:val="20"/>
          <w:szCs w:val="20"/>
          <w:color w:val="auto"/>
        </w:rPr>
      </w:pPr>
    </w:p>
    <w:p>
      <w:pPr>
        <w:ind w:right="420" w:firstLine="8"/>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90"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September 2019, Matinas announced that it will begin a comparative clinical bridging bioavailability study in the fourth calendar quarter of 2019, with expected completion in the first calendar quarter of 2020, and is planning an additional Phase 2 head-to-head pharmacokinetic and pharmacodynamic study against Vascepa in patients with elevated triglycerides (150-499 mg/dL) in early 2020, with topline data expected in the second half of 2020.</w:t>
      </w:r>
    </w:p>
    <w:p>
      <w:pPr>
        <w:spacing w:after="0" w:line="19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June 2018, Gemphire Therapeutics (renamed NeuroBo Pharmaceuticals, Inc. pending the completion of a merger in the second half of 2019)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Gemphire expects to submit a request to the FDA to lift the clinical hold in the fourth quarter of 2019. In June 2019, Gemphire announced top-line clinical results from a Phase II trial in Familial Partial Lipodystrophy (FPL)/NASH in which Gemcabene safely met the primary endpoint in a sub-set of patients. Phase III studies for homozygous familial hypercholesterolemia (HoFH), heterozygous familial hypercholesterolemia (HeFH) and non-familial hypercholesterolemia in ASCVD patients are planned.</w:t>
      </w:r>
    </w:p>
    <w:p>
      <w:pPr>
        <w:spacing w:after="0" w:line="179"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Afimmune Ltd. has an oral, small molecule drug candidate, epeleuton (DS-102), in development for a number of conditions of the liver and lung, including sever hypertriglyceridemia, Phase 2 clinical trials are currently ongoing for non-alcoholic fatty liver disease (NAFLD) and chronic obstructive pulmonary disease (COPD) in the United States.</w:t>
      </w:r>
    </w:p>
    <w:p>
      <w:pPr>
        <w:spacing w:after="0" w:line="18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on data demonstrating lowering of triglyceride levels. In our view, this position from the FDA is unlikely to change based on the REDUCE-IT study particularly in light of the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achieve a cardiovascular risk reduction indication without the need in advance to conduct a long and expensive cardiovascular outcomes study.</w:t>
      </w:r>
    </w:p>
    <w:p>
      <w:pPr>
        <w:spacing w:after="0" w:line="345" w:lineRule="exact"/>
        <w:rPr>
          <w:sz w:val="20"/>
          <w:szCs w:val="20"/>
          <w:color w:val="auto"/>
        </w:rPr>
      </w:pPr>
    </w:p>
    <w:p>
      <w:pPr>
        <w:ind w:left="260" w:right="140"/>
        <w:spacing w:after="0" w:line="264"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We are now engaged in related patent litigation based on our MARINE-based indication, expect additional patent litigation assuming FDA approval of a REDUCE-IT-based indication, and could face other challenges to our exclusivity.</w:t>
      </w:r>
    </w:p>
    <w:p>
      <w:pPr>
        <w:spacing w:after="0" w:line="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79"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1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40" w:right="420" w:hanging="519"/>
        <w:spacing w:after="0" w:line="277" w:lineRule="auto"/>
        <w:tabs>
          <w:tab w:leader="none" w:pos="102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 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 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and costly, and may result in generic competition if such patents are not upheld or if the generic competitor is found not to infringe such patents.</w:t>
      </w:r>
    </w:p>
    <w:p>
      <w:pPr>
        <w:spacing w:after="0" w:line="23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 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 year regulatory exclusivity determination, agreed to a full stay of proceeding in that patent litigation.</w:t>
      </w:r>
    </w:p>
    <w:p>
      <w:pPr>
        <w:spacing w:after="0" w:line="181"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 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8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Roxane Laboratories, Inc. et al.</w:t>
      </w:r>
      <w:r>
        <w:rPr>
          <w:rFonts w:ascii="Arial" w:cs="Arial" w:eastAsia="Arial" w:hAnsi="Arial"/>
          <w:sz w:val="16"/>
          <w:szCs w:val="16"/>
          <w:color w:val="auto"/>
        </w:rPr>
        <w:t>, Civ. A. No. 2:16-cv-02525 (D. Nev.). According to a stipulation filed with the Nevada court,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75"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certification notice, and Amarin would then have the ability to file a lawsuit against Apotex pursuant to the Hatch-Waxman Amendments.</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 year, post NDA-approval period during which the Hatch-Waxman Amendments require a paragraph IV certification of patent invalidity or non-infringement under the Hatch-Waxman, five year, NCE regulatory scheme. Accordingly, in October 2017, we filed a patent infringement lawsuit against Teva in the U.S. District Court for the District of Nevada. The case is captioned </w:t>
      </w:r>
      <w:r>
        <w:rPr>
          <w:rFonts w:ascii="Arial" w:cs="Arial" w:eastAsia="Arial" w:hAnsi="Arial"/>
          <w:sz w:val="17"/>
          <w:szCs w:val="17"/>
          <w:i w:val="1"/>
          <w:iCs w:val="1"/>
          <w:color w:val="auto"/>
        </w:rPr>
        <w:t>Amarin Pharma, Inc.</w:t>
      </w:r>
      <w:r>
        <w:rPr>
          <w:rFonts w:ascii="Arial" w:cs="Arial" w:eastAsia="Arial" w:hAnsi="Arial"/>
          <w:sz w:val="17"/>
          <w:szCs w:val="17"/>
          <w:color w:val="auto"/>
        </w:rPr>
        <w:t xml:space="preserve"> et al. </w:t>
      </w:r>
      <w:r>
        <w:rPr>
          <w:rFonts w:ascii="Arial" w:cs="Arial" w:eastAsia="Arial" w:hAnsi="Arial"/>
          <w:sz w:val="17"/>
          <w:szCs w:val="17"/>
          <w:i w:val="1"/>
          <w:iCs w:val="1"/>
          <w:color w:val="auto"/>
        </w:rPr>
        <w:t>v. Teva Pharmaceuticals USA, Inc.</w:t>
      </w:r>
      <w:r>
        <w:rPr>
          <w:rFonts w:ascii="Arial" w:cs="Arial" w:eastAsia="Arial" w:hAnsi="Arial"/>
          <w:sz w:val="17"/>
          <w:szCs w:val="17"/>
          <w:color w:val="auto"/>
        </w:rPr>
        <w:t xml:space="preserve"> et al.</w:t>
      </w:r>
      <w:r>
        <w:rPr>
          <w:rFonts w:ascii="Arial" w:cs="Arial" w:eastAsia="Arial" w:hAnsi="Arial"/>
          <w:sz w:val="17"/>
          <w:szCs w:val="17"/>
          <w:i w:val="1"/>
          <w:iCs w:val="1"/>
          <w:color w:val="auto"/>
        </w:rPr>
        <w:t>,</w:t>
      </w:r>
      <w:r>
        <w:rPr>
          <w:rFonts w:ascii="Arial" w:cs="Arial" w:eastAsia="Arial" w:hAnsi="Arial"/>
          <w:sz w:val="17"/>
          <w:szCs w:val="17"/>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7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7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 year, post NDA-approval period during which the Hatch-Waxman Amendments require a paragraph IV certification of patent invalidity or non-infringement under the Hatch-Waxman, five year, NCE regulatory scheme. Accordingly, in August 2018, we filed a patent infringement lawsuit against DRL in the U.S. District Court for the District of Nevada. The case is captioned </w:t>
      </w:r>
      <w:r>
        <w:rPr>
          <w:rFonts w:ascii="Arial" w:cs="Arial" w:eastAsia="Arial" w:hAnsi="Arial"/>
          <w:sz w:val="18"/>
          <w:szCs w:val="18"/>
          <w:i w:val="1"/>
          <w:iCs w:val="1"/>
          <w:color w:val="auto"/>
        </w:rPr>
        <w:t>Amarin Pharma, Inc. et al. v Dr. Reddy’s</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Laboratories, Inc. et al</w:t>
      </w:r>
      <w:r>
        <w:rPr>
          <w:rFonts w:ascii="Arial" w:cs="Arial" w:eastAsia="Arial" w:hAnsi="Arial"/>
          <w:sz w:val="18"/>
          <w:szCs w:val="18"/>
          <w:color w:val="auto"/>
        </w:rPr>
        <w:t>., Civ. A. No. 2:18-cv-01596 (D. Nev.). In this lawsuit, we are seeking, among other remedies, an order enjoining DRL from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9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Assuming FDA approval of a new indication based on the REDUCE-IT clinical trial, we expect to face similar patent litigation related to our patents covering proposed indications made possible by such study. A three 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 year exclusivity in connection with any future regulatory approvals of Vascepa, such as an approval sought based on REDUCE-IT study results. Such three 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 year exclusivity period. Such three year exclusivity grant does not prevent a company from challenging the validity of REDUCE-IT patents. This three 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7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or PTAB, of the U.S. Patent and Trademark Office. Such a proceeding could be introduced against us within the statutory one 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an ANDA filer meets the approval requirements for a generic version of Vascepa to the satisfaction of the FDA under its ANDA, FDA may grant tentative approval to the ANDA during a Hatch-Waxman 30-month stay period. A tentative approval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both"/>
        <w:ind w:right="200"/>
        <w:spacing w:after="0" w:line="264" w:lineRule="auto"/>
        <w:rPr>
          <w:sz w:val="20"/>
          <w:szCs w:val="20"/>
          <w:color w:val="auto"/>
        </w:rPr>
      </w:pPr>
      <w:r>
        <w:rPr>
          <w:rFonts w:ascii="Arial" w:cs="Arial" w:eastAsia="Arial" w:hAnsi="Arial"/>
          <w:sz w:val="18"/>
          <w:szCs w:val="18"/>
          <w:color w:val="auto"/>
        </w:rPr>
        <w:t>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 However, based on court proceedings, we don’t expect an at-risk launch from either generic filer before the court issues a decision on the merits in this case, which is expected by the end of March 2020.</w:t>
      </w:r>
    </w:p>
    <w:p>
      <w:pPr>
        <w:spacing w:after="0" w:line="17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7"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74" w:lineRule="exact"/>
        <w:rPr>
          <w:sz w:val="20"/>
          <w:szCs w:val="20"/>
          <w:color w:val="auto"/>
        </w:rPr>
      </w:pPr>
    </w:p>
    <w:p>
      <w:pPr>
        <w:ind w:left="300" w:right="38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78"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5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70"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and The Coromega Company, Inc. In April 2019,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7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right="480"/>
        <w:spacing w:after="0" w:line="277" w:lineRule="auto"/>
        <w:rPr>
          <w:sz w:val="20"/>
          <w:szCs w:val="20"/>
          <w:color w:val="auto"/>
        </w:rPr>
      </w:pPr>
      <w:r>
        <w:rPr>
          <w:rFonts w:ascii="Arial" w:cs="Arial" w:eastAsia="Arial" w:hAnsi="Arial"/>
          <w:sz w:val="18"/>
          <w:szCs w:val="18"/>
          <w:color w:val="auto"/>
        </w:rPr>
        <w:t>decision, which petition is still pending. We have also engaged with FDA on the topic of synthetically produced omega-3 products through the citizen’s petition process and otherwise.</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80"/>
        <w:spacing w:after="0" w:line="272" w:lineRule="auto"/>
        <w:rPr>
          <w:sz w:val="20"/>
          <w:szCs w:val="20"/>
          <w:color w:val="auto"/>
        </w:rPr>
      </w:pPr>
      <w:r>
        <w:rPr>
          <w:rFonts w:ascii="Arial" w:cs="Arial" w:eastAsia="Arial" w:hAnsi="Arial"/>
          <w:sz w:val="17"/>
          <w:szCs w:val="17"/>
          <w:color w:val="auto"/>
        </w:rPr>
        <w:t>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78"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81"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healthcare system in ways that could affect our ability to sell our products profitably. For example,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2027. These cuts reduce reimbursement payments related to our products, which could potentially negatively impact our revenue. Also for example, the ACA substantially changed the way healthcare is financed by both governmental and private insurers. Among other cost-containment measures, ACA establishes:</w:t>
      </w:r>
    </w:p>
    <w:p>
      <w:pPr>
        <w:spacing w:after="0" w:line="5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healthcare coverage that includes reimbursement for prescription drugs.</w:t>
      </w:r>
    </w:p>
    <w:p>
      <w:pPr>
        <w:spacing w:after="0" w:line="17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right="60"/>
        <w:spacing w:after="0" w:line="268" w:lineRule="auto"/>
        <w:rPr>
          <w:sz w:val="20"/>
          <w:szCs w:val="20"/>
          <w:color w:val="auto"/>
        </w:rPr>
      </w:pPr>
      <w:r>
        <w:rPr>
          <w:rFonts w:ascii="Arial" w:cs="Arial" w:eastAsia="Arial" w:hAnsi="Arial"/>
          <w:sz w:val="17"/>
          <w:szCs w:val="17"/>
          <w:color w:val="auto"/>
        </w:rPr>
        <w:t>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That Trump administration proposal subsequently faced a set-back in federal court. The Trump administration is currently assessing additional proposals that are designed to affect drug pricing, such as tying U.S. drug prices to prices outside the United States.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8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260" w:right="18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right="40"/>
        <w:spacing w:after="0" w:line="257" w:lineRule="auto"/>
        <w:rPr>
          <w:sz w:val="20"/>
          <w:szCs w:val="20"/>
          <w:color w:val="auto"/>
        </w:rPr>
      </w:pPr>
      <w:r>
        <w:rPr>
          <w:rFonts w:ascii="Arial" w:cs="Arial" w:eastAsia="Arial" w:hAnsi="Arial"/>
          <w:sz w:val="18"/>
          <w:szCs w:val="18"/>
          <w:color w:val="auto"/>
        </w:rPr>
        <w:t>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HRSA also is implementing a ceiling price reporting requirement related to the 340B program during the first quarter of 2019, pursuant to which we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9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7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180" w:firstLine="518"/>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300"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b w:val="1"/>
          <w:bCs w:val="1"/>
          <w:i w:val="1"/>
          <w:iCs w:val="1"/>
          <w:color w:val="auto"/>
        </w:rPr>
        <w:t>Changes in reimbursement procedures by government and other third-party payors may limit our ability to market and sell our approved drugs. These changes could have a material adverse effect on our business and financial condition.</w:t>
      </w:r>
    </w:p>
    <w:p>
      <w:pPr>
        <w:spacing w:after="0" w:line="62"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4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8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14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Some of the provisions of the ACA have yet to be fully implemented, and certain provisions have been subject to judicial and Congressional challenges. In addition, there have been efforts by the Trump administration to repeal or replace certain aspects of the ACA and to alter the implementation of the ACA and related laws. Since January 2017, the Trump administration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Arial" w:cs="Arial" w:eastAsia="Arial" w:hAnsi="Arial"/>
          <w:sz w:val="16"/>
          <w:szCs w:val="16"/>
          <w:i w:val="1"/>
          <w:iCs w:val="1"/>
          <w:color w:val="auto"/>
        </w:rPr>
        <w:t>en banc</w:t>
      </w:r>
      <w:r>
        <w:rPr>
          <w:rFonts w:ascii="Arial" w:cs="Arial" w:eastAsia="Arial" w:hAnsi="Arial"/>
          <w:sz w:val="16"/>
          <w:szCs w:val="16"/>
          <w:color w:val="auto"/>
        </w:rPr>
        <w:t>. Insurers have appealed this ruling to the Supreme Court.</w:t>
      </w:r>
    </w:p>
    <w:p>
      <w:pPr>
        <w:spacing w:after="0" w:line="16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Moreover,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by raising the manufacturer discount under the Medicare Part D coverage gap discount program to 70%.</w:t>
      </w:r>
    </w:p>
    <w:p>
      <w:pPr>
        <w:spacing w:after="0" w:line="16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July 2018, the Centers for Medicare and Medicaid Services, or CMS, published a final rule permitting certain further collections and payments to and from certain ACA qualified health plans and health insurance issuers under the ACA risk adjustment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40"/>
        <w:spacing w:after="0" w:line="271" w:lineRule="auto"/>
        <w:rPr>
          <w:sz w:val="20"/>
          <w:szCs w:val="20"/>
          <w:color w:val="auto"/>
        </w:rPr>
      </w:pPr>
      <w:r>
        <w:rPr>
          <w:rFonts w:ascii="Arial" w:cs="Arial" w:eastAsia="Arial" w:hAnsi="Arial"/>
          <w:sz w:val="17"/>
          <w:szCs w:val="17"/>
          <w:color w:val="auto"/>
        </w:rPr>
        <w:t>program in response to the outcome of federal district court litigation regarding the method CMS uses to determine this risk adjustment. In addition, CMS has published a final rule that gives states greater flexibility, starting in 2020, in setting benchmarks for insurers in the individual and small group marketplaces, which may have the effect of relaxing the essential health benefits required under the ACA for plans sold through such marketplaces.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This ruling is under appeal and stayed pending appeal. While the Trump Administration and CMS have both stated that the ruling will have no effect while this appeal is pending, it is unclear how this decision, subsequent appeals, and other efforts to invalidate the ACA or portions thereof will impact the ACA, its implementation, and our business.</w:t>
      </w:r>
    </w:p>
    <w:p>
      <w:pPr>
        <w:spacing w:after="0" w:line="17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67"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8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96" w:lineRule="exact"/>
        <w:rPr>
          <w:sz w:val="20"/>
          <w:szCs w:val="20"/>
          <w:color w:val="auto"/>
        </w:rPr>
      </w:pPr>
    </w:p>
    <w:p>
      <w:pPr>
        <w:ind w:left="260" w:right="24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left="260"/>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4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86"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w:t>
      </w:r>
    </w:p>
    <w:p>
      <w:pPr>
        <w:spacing w:after="0" w:line="22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the DMC recommended to continue the REDUCE-IT study as planned. Each of these DMC recommendations has been shared with FDA.</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Further, based on our current understanding of FDA’s perspective on our REDUCE-IT sNDA, an interaction between mineral oil and statins leading to decreased absorption of statins cannot be excluded when the two are co-administered and that, in the agency’s view, indirect evidence suggests the presence of a potential inhibitory effect on statin absorption by mineral oil. However, we believe FDA’s perspective is that an exploratory analysis indicates that the effect of LDL cholesterol values on the time to the primary endpoint is numerically small and unlikely to change the overall conclusion of treatment benefit. This matter illustrates that concerns such as this may arise in the future that could affect our product development, regulatory review or the public perception of our products and our future prospects including REDUCE-IT results.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left="260" w:right="2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process of establishing a commercial infrastructure is difficult, expensive and time-consuming. Prior to the REDUCE-IT topline results announcement in September 2018, our sales team consisted of approximately 170 sales professionals, including sales representatives and their managers. In early 2019, we increased the size of our sales force to approximately 440 sales professionals, including approximately 400 sales representatives in the United States. The Company is working to expand its direct sales force to approximately 800 sales professionals for the assumed launch of Vascepa in early 2020 for the cardiovascular risk reduction indication being sought through the sNDA. Hiring, training and deploying approximately 400 new sales representatives is a multi-stage process which commenced in July 2019 and is expected to be completed in early 2020. Most of the expanded sales management team needed to support this sales force expansion was hired, or internally promoted, and trained prior to September 30, 2019. This sales team promotes Vascepa to a limited group of physicians and other healthcare professionals in select geographies in the United States. Even after planned expansion, this sales team is not large enough to call upon all physicians.</w:t>
      </w:r>
    </w:p>
    <w:p>
      <w:pPr>
        <w:spacing w:after="0" w:line="182"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In addition to sales force expansion in the United States, Amarin continues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supply of product for the commercial market and clinical trials is dependent upon relationships with third-party manufacturers and suppliers.</w:t>
      </w:r>
    </w:p>
    <w:p>
      <w:pPr>
        <w:spacing w:after="0" w:line="140"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Any manufacturing problem, natural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7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8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firstLine="518"/>
        <w:spacing w:after="0" w:line="264"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89"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96"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and guidelines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1" w:lineRule="exact"/>
        <w:rPr>
          <w:sz w:val="20"/>
          <w:szCs w:val="20"/>
          <w:color w:val="auto"/>
        </w:rPr>
      </w:pPr>
    </w:p>
    <w:p>
      <w:pPr>
        <w:ind w:right="240" w:firstLine="518"/>
        <w:spacing w:after="0" w:line="293" w:lineRule="auto"/>
        <w:rPr>
          <w:sz w:val="20"/>
          <w:szCs w:val="20"/>
          <w:color w:val="auto"/>
        </w:rPr>
      </w:pPr>
      <w:r>
        <w:rPr>
          <w:rFonts w:ascii="Arial" w:cs="Arial" w:eastAsia="Arial" w:hAnsi="Arial"/>
          <w:sz w:val="16"/>
          <w:szCs w:val="16"/>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240"/>
        <w:spacing w:after="0" w:line="277" w:lineRule="auto"/>
        <w:rPr>
          <w:sz w:val="20"/>
          <w:szCs w:val="20"/>
          <w:color w:val="auto"/>
        </w:rPr>
      </w:pPr>
      <w:r>
        <w:rPr>
          <w:rFonts w:ascii="Arial" w:cs="Arial" w:eastAsia="Arial" w:hAnsi="Arial"/>
          <w:sz w:val="18"/>
          <w:szCs w:val="18"/>
          <w:color w:val="auto"/>
        </w:rPr>
        <w:t>away, if at all. If Eddingpharm is not able to effectively develop and commercialize Vascepa in the China Territory, we may not be able to generate revenue from the DCS Agreement resulting from the sale of Vascepa in the China Territory.</w:t>
      </w:r>
    </w:p>
    <w:p>
      <w:pPr>
        <w:spacing w:after="0" w:line="170"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w:t>
      </w:r>
    </w:p>
    <w:p>
      <w:pPr>
        <w:spacing w:after="0" w:line="166"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related activities. If HLS Therapeutics is not able to effectively register and commercialize Vascepa in Canada, we may not be able to generate revenue from the agreement as a result of the sale of Vascepa in Canada.</w:t>
      </w:r>
    </w:p>
    <w:p>
      <w:pPr>
        <w:spacing w:after="0" w:line="173"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66"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88" w:lineRule="exact"/>
        <w:rPr>
          <w:sz w:val="20"/>
          <w:szCs w:val="20"/>
          <w:color w:val="auto"/>
        </w:rPr>
      </w:pPr>
    </w:p>
    <w:p>
      <w:pPr>
        <w:ind w:left="260" w:right="100"/>
        <w:spacing w:after="0" w:line="264"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0" w:lineRule="exact"/>
        <w:rPr>
          <w:sz w:val="20"/>
          <w:szCs w:val="20"/>
          <w:color w:val="auto"/>
        </w:rPr>
      </w:pPr>
    </w:p>
    <w:p>
      <w:pPr>
        <w:ind w:left="1040" w:right="40" w:hanging="519"/>
        <w:spacing w:after="0" w:line="271"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both"/>
        <w:ind w:left="1040" w:right="200"/>
        <w:spacing w:after="0" w:line="259" w:lineRule="auto"/>
        <w:rPr>
          <w:sz w:val="20"/>
          <w:szCs w:val="20"/>
          <w:color w:val="auto"/>
        </w:rPr>
      </w:pPr>
      <w:r>
        <w:rPr>
          <w:rFonts w:ascii="Arial" w:cs="Arial" w:eastAsia="Arial" w:hAnsi="Arial"/>
          <w:sz w:val="18"/>
          <w:szCs w:val="18"/>
          <w:color w:val="auto"/>
        </w:rPr>
        <w:t>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79" w:lineRule="exact"/>
        <w:rPr>
          <w:sz w:val="20"/>
          <w:szCs w:val="20"/>
          <w:color w:val="auto"/>
        </w:rPr>
      </w:pPr>
    </w:p>
    <w:p>
      <w:pPr>
        <w:ind w:left="1040" w:right="20" w:hanging="519"/>
        <w:spacing w:after="0" w:line="287"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60" w:lineRule="exact"/>
        <w:rPr>
          <w:rFonts w:ascii="Arial" w:cs="Arial" w:eastAsia="Arial" w:hAnsi="Arial"/>
          <w:sz w:val="16"/>
          <w:szCs w:val="16"/>
          <w:color w:val="auto"/>
        </w:rPr>
      </w:pPr>
    </w:p>
    <w:p>
      <w:pPr>
        <w:ind w:left="1040" w:right="300" w:hanging="519"/>
        <w:spacing w:after="0" w:line="25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78" w:lineRule="exact"/>
        <w:rPr>
          <w:rFonts w:ascii="Arial" w:cs="Arial" w:eastAsia="Arial" w:hAnsi="Arial"/>
          <w:sz w:val="18"/>
          <w:szCs w:val="18"/>
          <w:color w:val="auto"/>
        </w:rPr>
      </w:pPr>
    </w:p>
    <w:p>
      <w:pPr>
        <w:ind w:left="1040" w:hanging="519"/>
        <w:spacing w:after="0" w:line="293"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6" w:lineRule="exact"/>
        <w:rPr>
          <w:rFonts w:ascii="Arial" w:cs="Arial" w:eastAsia="Arial" w:hAnsi="Arial"/>
          <w:sz w:val="16"/>
          <w:szCs w:val="16"/>
          <w:color w:val="auto"/>
        </w:rPr>
      </w:pPr>
    </w:p>
    <w:p>
      <w:pPr>
        <w:ind w:left="1040" w:right="40" w:hanging="519"/>
        <w:spacing w:after="0" w:line="293"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56" w:lineRule="exact"/>
        <w:rPr>
          <w:rFonts w:ascii="Arial" w:cs="Arial" w:eastAsia="Arial" w:hAnsi="Arial"/>
          <w:sz w:val="16"/>
          <w:szCs w:val="16"/>
          <w:color w:val="auto"/>
        </w:rPr>
      </w:pPr>
    </w:p>
    <w:p>
      <w:pPr>
        <w:ind w:left="1040" w:right="3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40" w:right="40" w:hanging="519"/>
        <w:spacing w:after="0" w:line="270"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ind w:right="60"/>
        <w:spacing w:after="0" w:line="264" w:lineRule="auto"/>
        <w:rPr>
          <w:sz w:val="20"/>
          <w:szCs w:val="20"/>
          <w:color w:val="auto"/>
        </w:rPr>
      </w:pPr>
      <w:r>
        <w:rPr>
          <w:rFonts w:ascii="Arial" w:cs="Arial" w:eastAsia="Arial" w:hAnsi="Arial"/>
          <w:sz w:val="18"/>
          <w:szCs w:val="18"/>
          <w:color w:val="auto"/>
        </w:rPr>
        <w:t>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279"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86 patent applications in the United States that have been either issued or allowed and more than 30 additional patent applications are pending in the United States. Such 86 allowed and issued applications include the following:</w:t>
      </w:r>
    </w:p>
    <w:p>
      <w:pPr>
        <w:spacing w:after="0" w:line="39" w:lineRule="exact"/>
        <w:rPr>
          <w:sz w:val="20"/>
          <w:szCs w:val="20"/>
          <w:color w:val="auto"/>
        </w:rPr>
      </w:pPr>
    </w:p>
    <w:p>
      <w:pPr>
        <w:ind w:left="1040" w:right="8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left="1040" w:right="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46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13 U.S. patents covering or related to the use of Vascepa in the REDUCE-IT population with terms expiring in 2033 or later;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additional US patent directed to a pharmaceutical composition comprised of free fatty acids with a term that expires in 2030;</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REDUCE-IT population expiring 2033;</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re-esterified EPA triglyceride to treat the REDUCE-IT population expiring 2033;</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 additional patents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 additional patents related to the use of Vascepa to treat obesity with a term that expires in 2034;</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3 additional patents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 additional patents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ind w:right="120"/>
        <w:spacing w:after="0" w:line="277" w:lineRule="auto"/>
        <w:rPr>
          <w:sz w:val="20"/>
          <w:szCs w:val="20"/>
          <w:color w:val="auto"/>
        </w:rPr>
      </w:pPr>
      <w:r>
        <w:rPr>
          <w:rFonts w:ascii="Arial" w:cs="Arial" w:eastAsia="Arial" w:hAnsi="Arial"/>
          <w:sz w:val="18"/>
          <w:szCs w:val="18"/>
          <w:color w:val="auto"/>
        </w:rPr>
        <w:t>prevent parties subject to such confidentiality agreements from breaching these agreements or third parties from independently developing or learning of our trade secrets.</w:t>
      </w:r>
    </w:p>
    <w:p>
      <w:pPr>
        <w:spacing w:after="0" w:line="170"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results from the REDUCE-IT clinical trial will be granted or, if they grant, that they will prevent competitors from competing with Vascepa. For example, we expect to engage in new ANDA patent litigation in the United States and elsewhere with respect to method of use patents related to the REDUCE-IT study after any newly granted indications based on that study.</w:t>
      </w:r>
    </w:p>
    <w:p>
      <w:pPr>
        <w:spacing w:after="0" w:line="17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left="260" w:right="60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January 2019, we issued financial and business guidance, including expected fiscal year 2019 total net revenue and expectations regarding inventory build, 2019 operating expenses and timing of an sNDA seeking Vascepa label expansion. In July 2019, we issued updates to our financial outlook for fiscal year 2019. All such guidance and updates are based on estimates and the judgment of management. Because of the inherent nature of estimates, there could be significant differences between our estimates and the actual amount of product demand. If, for any reason, we are unable to realize our currently projected 2019 revenue, we may not realize our publicly announced financial guidance. If we fail to realize or if we change or update any element of our publicly disclosed financial guidance as we have done in the past or other expectations about our business change, our stock price could decline in value.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81" w:lineRule="exact"/>
        <w:rPr>
          <w:sz w:val="20"/>
          <w:szCs w:val="20"/>
          <w:color w:val="auto"/>
        </w:rPr>
      </w:pPr>
    </w:p>
    <w:p>
      <w:pPr>
        <w:ind w:left="260" w:right="500"/>
        <w:spacing w:after="0" w:line="224" w:lineRule="exact"/>
        <w:rPr>
          <w:sz w:val="20"/>
          <w:szCs w:val="20"/>
          <w:color w:val="auto"/>
        </w:rPr>
      </w:pPr>
      <w:r>
        <w:rPr>
          <w:rFonts w:ascii="Arial" w:cs="Arial" w:eastAsia="Arial" w:hAnsi="Arial"/>
          <w:sz w:val="17"/>
          <w:szCs w:val="17"/>
          <w:b w:val="1"/>
          <w:bCs w:val="1"/>
          <w:i w:val="1"/>
          <w:iCs w:val="1"/>
          <w:color w:val="auto"/>
        </w:rPr>
        <w:t>Our internal computer systems,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9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93"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instance, in June 2019, a report published by security researchers claimed that a database, which we are informed did not include social security numbers or credit card information, belonging to one of our vendors containing information about individuals who use or have expressed interest in Vascepa was accessible to unauthorized users.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85"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ind w:right="40"/>
        <w:spacing w:after="0" w:line="272" w:lineRule="auto"/>
        <w:rPr>
          <w:sz w:val="20"/>
          <w:szCs w:val="20"/>
          <w:color w:val="auto"/>
        </w:rPr>
      </w:pPr>
      <w:r>
        <w:rPr>
          <w:rFonts w:ascii="Arial" w:cs="Arial" w:eastAsia="Arial" w:hAnsi="Arial"/>
          <w:sz w:val="17"/>
          <w:szCs w:val="17"/>
          <w:color w:val="auto"/>
        </w:rPr>
        <w:t>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that our tax jurisdiction will remain in Ireland.</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Currently, where a company is treated as tax resident under the domestic laws of both the UK and Ireland then the provisions of article 4(3) of the Double Tax Agreement (“DTA”)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and by virtue of our efforts to carry out a trade in Ireland. Trading income of an Irish company is generally taxable at the Irish corporation tax rate of 12.5%. Non-trading income of an Irish company (e.g., interest income, rental income or other passive income) is taxable at a rate of 25%.</w:t>
      </w:r>
    </w:p>
    <w:p>
      <w:pPr>
        <w:spacing w:after="0" w:line="5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rules regarding determination of tax residence outlined above will change effective January 1, 2020, when a modified Ireland-UK DTA comes into effect pursuant to the OECD’s Multilateral Instrument (“MLI”), which has recently entered into force in Ireland. Under the modified Ireland-UK DTA, from January 1, 2020, we will be tax resident in Ireland only and not tax resident in the UK if we continue to be centrally managed and controlled in Ireland and if it is mutually agreed between the Irish and UK tax authorities under the MLI “tie-breaker rule” that we are tax resident in Ireland only. Both the Irish and UK tax authorities have issued guidance on how companies impacted by this rule change under the MLI should submit to such tax authorities to obtain confirmation of their mutual agreement of a single jurisdiction of tax residence. We have made a submission to the Irish tax authority (the Irish Revenue Commissioners) requesting that they provide confirmation of the mutual agreement of the two tax authorities that we continue to be tax resident in Ireland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firstLine="518"/>
        <w:spacing w:after="0" w:line="289" w:lineRule="auto"/>
        <w:rPr>
          <w:sz w:val="20"/>
          <w:szCs w:val="20"/>
          <w:color w:val="auto"/>
        </w:rPr>
      </w:pPr>
      <w:r>
        <w:rPr>
          <w:rFonts w:ascii="Arial" w:cs="Arial" w:eastAsia="Arial" w:hAnsi="Arial"/>
          <w:sz w:val="16"/>
          <w:szCs w:val="16"/>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or not carrying out a trade in Ireland. Our and our subsidiaries’ income tax returns are periodically examined by various tax authorities, including the Internal Revenue Service (IRS) and states. We recently completed the audits by the IRS for the years 2013 to 2014, with no material changes to the filed income tax returns. Although the outcome of tax audits is always uncertain and could result in significant cash tax payments, we do not believe the outcome of any future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effect on us of comprehensive U.S. tax reform legislation whether adverse or favorable, is uncertain.</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25%, 36%, and 29%, respectively, of gross product sales for the nine months ended September 30, 2019, and represented 42%, 23%, and 28%, respectively, of the gross accounts receivable balance as of September 30, 2019. Customers A, B, and C accounted for 26%, 31%, and 31%, respectively, of gross product sales for the nine months ended September 30, 2018, and represented 37%, 33%, and 17%, respectively, of the gross accounts receivable balance as of September 30, 2018.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2018, 2017, and 2016, we reported losses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$116.4 million, $67.9 million, and $86.4 million, respectively, and we had an accumulated deficit as of December 31, 2018 of $1.4 billion.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2019 and 2018, we reported losses of approximately $29.7 million and $82.8 million, respectively, and we had an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deficit as of September 30, 2019 of $1.4 billion. Substantially all of our operating losses resulted from costs incurred in connection with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programs, from general and administrative costs associated with our operations, and costs related to the commercialization of Vascepa.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as a result of our significant expenses relating to research and development and to commercialization, we expect to continue to incur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for an indefinite period. Because of the numerous risks and uncertainties associated with developing and commercializing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we are unable to predict the magnitude of these future losses. Our historic losses, combined with expected future losses, have had and will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have an adverse effect on our cash resources, shareholders’ deficit and working capital.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75"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5" w:lineRule="exact"/>
        <w:rPr>
          <w:rFonts w:ascii="Arial" w:cs="Arial" w:eastAsia="Arial" w:hAnsi="Arial"/>
          <w:sz w:val="16"/>
          <w:szCs w:val="16"/>
          <w:color w:val="auto"/>
        </w:rPr>
      </w:pPr>
    </w:p>
    <w:p>
      <w:pPr>
        <w:ind w:left="1040" w:right="3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62"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71" w:name="page72"/>
    <w:bookmarkEnd w:id="71"/>
    <w:p>
      <w:pPr>
        <w:ind w:left="260" w:right="50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$673.2 million as of September 30, 2019 will be sufficient to fund our projected operations for at least twelve months and through the assigned PDUFA goal date of our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jc w:val="both"/>
        <w:ind w:left="1040" w:right="20" w:hanging="519"/>
        <w:spacing w:after="0" w:line="279"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the cost and timing of securing commercial supply of Vascepa and the timing of entering into any new strategic collaboration with others relating to the commercialization of Vascepa, if at all, and the terms of any such collaboration;</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based on REDUCE-IT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79"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79"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73" w:lineRule="exact"/>
        <w:rPr>
          <w:sz w:val="20"/>
          <w:szCs w:val="20"/>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As of November 1, 2019, we had 358,906,887 common shares outstanding including 358,703,359 shares held as ADSs and 203,528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3" w:name="page74"/>
    <w:bookmarkEnd w:id="73"/>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and during the three months ended September 30, 2018, 38,867,180 preferred shares were converted, resulting in the issuance of 3,886,718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82"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66"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believe it is prudent to assume that we were classified as a PFIC in the past. However, we do not believe that we have been classified as a PFIC beginning in 2013 when we commercially launched Vascepa in the United States and began to derive revenues from sales of Vascepa. Our status as a PFIC is subject to change in future years.</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ind w:right="20" w:firstLine="518"/>
        <w:spacing w:after="0" w:line="255" w:lineRule="auto"/>
        <w:rPr>
          <w:sz w:val="20"/>
          <w:szCs w:val="20"/>
          <w:color w:val="auto"/>
        </w:rPr>
      </w:pPr>
      <w:r>
        <w:rPr>
          <w:rFonts w:ascii="Arial" w:cs="Arial" w:eastAsia="Arial" w:hAnsi="Arial"/>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9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indebtedness and the related annual debt service requirements, if any, may adversely impact our business, operations and financial condition in the future. For example, they could:</w:t>
      </w:r>
    </w:p>
    <w:p>
      <w:pPr>
        <w:spacing w:after="0" w:line="62"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10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280" w:hanging="519"/>
        <w:spacing w:after="0" w:line="312"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38" w:lineRule="exact"/>
        <w:rPr>
          <w:rFonts w:ascii="Arial" w:cs="Arial" w:eastAsia="Arial" w:hAnsi="Arial"/>
          <w:sz w:val="16"/>
          <w:szCs w:val="16"/>
          <w:color w:val="auto"/>
        </w:rPr>
      </w:pPr>
    </w:p>
    <w:p>
      <w:pPr>
        <w:ind w:left="1040" w:right="180" w:hanging="519"/>
        <w:spacing w:after="0" w:line="25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left="1040" w:right="60" w:hanging="519"/>
        <w:spacing w:after="0" w:line="291"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60" w:hanging="519"/>
        <w:spacing w:after="0" w:line="302"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right="40" w:hanging="519"/>
        <w:spacing w:after="0" w:line="276"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40"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3" w:lineRule="exact"/>
        <w:rPr>
          <w:sz w:val="20"/>
          <w:szCs w:val="20"/>
          <w:color w:val="auto"/>
        </w:rPr>
      </w:pPr>
    </w:p>
    <w:p>
      <w:pPr>
        <w:ind w:left="1040" w:right="80" w:hanging="519"/>
        <w:spacing w:after="0" w:line="312"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38"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78" w:lineRule="exact"/>
        <w:rPr>
          <w:rFonts w:ascii="Arial" w:cs="Arial" w:eastAsia="Arial" w:hAnsi="Arial"/>
          <w:sz w:val="18"/>
          <w:szCs w:val="18"/>
          <w:color w:val="auto"/>
        </w:rPr>
      </w:pPr>
    </w:p>
    <w:p>
      <w:pPr>
        <w:ind w:left="1040" w:right="20" w:hanging="519"/>
        <w:spacing w:after="0" w:line="25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80"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62"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left="1040" w:right="20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117"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73"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3" w:lineRule="exact"/>
        <w:rPr>
          <w:rFonts w:ascii="Arial" w:cs="Arial" w:eastAsia="Arial" w:hAnsi="Arial"/>
          <w:sz w:val="18"/>
          <w:szCs w:val="18"/>
          <w:color w:val="auto"/>
        </w:rPr>
      </w:pPr>
    </w:p>
    <w:p>
      <w:pPr>
        <w:ind w:left="1040" w:right="40" w:hanging="519"/>
        <w:spacing w:after="0" w:line="286" w:lineRule="auto"/>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were purchased during the third quarter of 2019.</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0" w:type="dxa"/>
            <w:vAlign w:val="bottom"/>
            <w:gridSpan w:val="8"/>
          </w:tcPr>
          <w:p>
            <w:pPr>
              <w:ind w:left="10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423"/>
        </w:trPr>
        <w:tc>
          <w:tcPr>
            <w:tcW w:w="100" w:type="dxa"/>
            <w:vAlign w:val="bottom"/>
          </w:tcPr>
          <w:p>
            <w:pPr>
              <w:spacing w:after="0"/>
              <w:rPr>
                <w:sz w:val="24"/>
                <w:szCs w:val="2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3160" w:type="dxa"/>
            <w:vAlign w:val="bottom"/>
          </w:tcPr>
          <w:p>
            <w:pPr>
              <w:spacing w:after="0"/>
              <w:rPr>
                <w:sz w:val="24"/>
                <w:szCs w:val="24"/>
                <w:color w:val="auto"/>
              </w:rPr>
            </w:pPr>
          </w:p>
        </w:tc>
        <w:tc>
          <w:tcPr>
            <w:tcW w:w="7220" w:type="dxa"/>
            <w:vAlign w:val="bottom"/>
            <w:gridSpan w:val="5"/>
            <w:vMerge w:val="restart"/>
          </w:tcPr>
          <w:p>
            <w:pPr>
              <w:ind w:left="1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3160" w:type="dxa"/>
            <w:vAlign w:val="bottom"/>
          </w:tcPr>
          <w:p>
            <w:pPr>
              <w:spacing w:after="0"/>
              <w:rPr>
                <w:sz w:val="14"/>
                <w:szCs w:val="14"/>
                <w:color w:val="auto"/>
              </w:rPr>
            </w:pPr>
          </w:p>
        </w:tc>
        <w:tc>
          <w:tcPr>
            <w:tcW w:w="7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ind w:left="100"/>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tcBorders>
              <w:top w:val="single" w:sz="8" w:color="auto"/>
            </w:tcBorders>
            <w:gridSpan w:val="6"/>
          </w:tcPr>
          <w:p>
            <w:pPr>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Certification of President and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6"/>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Certification of Senior Vice President and Chief Financial Officer (Principal Financial Officer and Principal Accounting Officer) pursuant to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Section 302 of Sarbanes-Oxley Act of 2002</w:t>
              </w:r>
            </w:hyperlink>
          </w:p>
        </w:tc>
        <w:tc>
          <w:tcPr>
            <w:tcW w:w="6960" w:type="dxa"/>
            <w:vAlign w:val="bottom"/>
            <w:tcBorders>
              <w:top w:val="single" w:sz="8" w:color="0000EE"/>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80" w:type="dxa"/>
            <w:vAlign w:val="bottom"/>
            <w:gridSpan w:val="6"/>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Certification of President and Chief Executive Officer (Principal Executive Officer) and Senior Vice President and Chief Financial Officer</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(Principal Financial Officer and Principal Accounting Officer) pursuant to Section 906 of Sarbanes-Oxley Act of 2002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5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18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hanging="1032"/>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121"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5, 2019</w:t>
            </w: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5, 2019</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18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2019,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5, 2019</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5, 2019</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lowerRoman"/>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decimal"/>
      <w:start w:val="5"/>
    </w:lvl>
  </w:abstractNum>
  <w:abstractNum w:abstractNumId="9">
    <w:nsid w:val="5577F8E1"/>
    <w:multiLevelType w:val="hybridMultilevel"/>
    <w:lvl w:ilvl="0">
      <w:lvlJc w:val="left"/>
      <w:lvlText w:val="(%1)"/>
      <w:numFmt w:val="decimal"/>
      <w:start w:val="6"/>
    </w:lvl>
  </w:abstractNum>
  <w:abstractNum w:abstractNumId="10">
    <w:nsid w:val="440BADFC"/>
    <w:multiLevelType w:val="hybridMultilevel"/>
    <w:lvl w:ilvl="0">
      <w:lvlJc w:val="left"/>
      <w:lvlText w:val="(%1)"/>
      <w:numFmt w:val="decimal"/>
      <w:start w:val="7"/>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decimal"/>
      <w:start w:val="8"/>
    </w:lvl>
  </w:abstractNum>
  <w:abstractNum w:abstractNumId="13">
    <w:nsid w:val="77465F01"/>
    <w:multiLevelType w:val="hybridMultilevel"/>
    <w:lvl w:ilvl="0">
      <w:lvlJc w:val="left"/>
      <w:lvlText w:val="(%1)"/>
      <w:numFmt w:val="decimal"/>
      <w:start w:val="9"/>
    </w:lvl>
  </w:abstractNum>
  <w:abstractNum w:abstractNumId="14">
    <w:nsid w:val="7724C67E"/>
    <w:multiLevelType w:val="hybridMultilevel"/>
    <w:lvl w:ilvl="0">
      <w:lvlJc w:val="left"/>
      <w:lvlText w:val="(%1)"/>
      <w:numFmt w:val="lowerRoman"/>
      <w:start w:val="4"/>
    </w:lvl>
  </w:abstractNum>
  <w:abstractNum w:abstractNumId="15">
    <w:nsid w:val="5C482A97"/>
    <w:multiLevelType w:val="hybridMultilevel"/>
    <w:lvl w:ilvl="0">
      <w:lvlJc w:val="left"/>
      <w:lvlText w:val="(%1)"/>
      <w:numFmt w:val="decimal"/>
      <w:start w:val="10"/>
    </w:lvl>
  </w:abstractNum>
  <w:abstractNum w:abstractNumId="16">
    <w:nsid w:val="2463B9EA"/>
    <w:multiLevelType w:val="hybridMultilevel"/>
    <w:lvl w:ilvl="0">
      <w:lvlJc w:val="left"/>
      <w:lvlText w:val="(%1)"/>
      <w:numFmt w:val="decimal"/>
      <w:start w:val="1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3"/>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4"/>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2"/>
    </w:lvl>
  </w:abstractNum>
  <w:abstractNum w:abstractNumId="36">
    <w:nsid w:val="32FFF902"/>
    <w:multiLevelType w:val="hybridMultilevel"/>
    <w:lvl w:ilvl="0">
      <w:lvlJc w:val="left"/>
      <w:lvlText w:val="(%1)"/>
      <w:numFmt w:val="upperLetter"/>
      <w:start w:val="9"/>
    </w:lvl>
  </w:abstractNum>
  <w:abstractNum w:abstractNumId="37">
    <w:nsid w:val="684A481A"/>
    <w:multiLevelType w:val="hybridMultilevel"/>
    <w:lvl w:ilvl="0">
      <w:lvlJc w:val="left"/>
      <w:lvlText w:val="(%1)"/>
      <w:numFmt w:val="upperLetter"/>
      <w:start w:val="35"/>
    </w:lvl>
  </w:abstractNum>
  <w:abstractNum w:abstractNumId="38">
    <w:nsid w:val="579478FE"/>
    <w:multiLevelType w:val="hybridMultilevel"/>
    <w:lvl w:ilvl="0">
      <w:lvlJc w:val="left"/>
      <w:lvlText w:val="(%1)"/>
      <w:numFmt w:val="upperLetter"/>
      <w:start w:val="6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04"/>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2019-12-28T03:06:49Z</dcterms:created>
  <dcterms:modified xsi:type="dcterms:W3CDTF">2019-12-28T03:06:49Z</dcterms:modified>
</cp:coreProperties>
</file>