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5" w:lineRule="exact"/>
        <w:rPr>
          <w:sz w:val="24"/>
          <w:szCs w:val="24"/>
          <w:color w:val="auto"/>
        </w:rPr>
      </w:pPr>
    </w:p>
    <w:p>
      <w:pPr>
        <w:ind w:left="3820" w:right="1620" w:hanging="3812"/>
        <w:spacing w:after="0" w:line="278" w:lineRule="auto"/>
        <w:tabs>
          <w:tab w:leader="none" w:pos="448"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131"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Amarin Corporation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tbl>
      <w:tblPr>
        <w:tblLayout w:type="fixed"/>
        <w:tblInd w:w="1240" w:type="dxa"/>
        <w:tblCellMar>
          <w:top w:w="0" w:type="dxa"/>
          <w:left w:w="0" w:type="dxa"/>
          <w:bottom w:w="0" w:type="dxa"/>
          <w:right w:w="0" w:type="dxa"/>
        </w:tblCellMar>
      </w:tblPr>
      <w:tr>
        <w:trPr>
          <w:trHeight w:val="227"/>
        </w:trPr>
        <w:tc>
          <w:tcPr>
            <w:tcW w:w="480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312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62"/>
        </w:trPr>
        <w:tc>
          <w:tcPr>
            <w:tcW w:w="4800" w:type="dxa"/>
            <w:vAlign w:val="bottom"/>
          </w:tcPr>
          <w:p>
            <w:pPr>
              <w:jc w:val="center"/>
              <w:ind w:right="165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800" w:type="dxa"/>
            <w:vAlign w:val="bottom"/>
          </w:tcPr>
          <w:p>
            <w:pPr>
              <w:jc w:val="center"/>
              <w:ind w:right="167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4800" w:type="dxa"/>
            <w:vAlign w:val="bottom"/>
          </w:tcPr>
          <w:p>
            <w:pPr>
              <w:jc w:val="center"/>
              <w:ind w:right="1719"/>
              <w:spacing w:after="0"/>
              <w:rPr>
                <w:sz w:val="20"/>
                <w:szCs w:val="20"/>
                <w:color w:val="auto"/>
              </w:rPr>
            </w:pPr>
            <w:r>
              <w:rPr>
                <w:rFonts w:ascii="Times New Roman" w:cs="Times New Roman" w:eastAsia="Times New Roman" w:hAnsi="Times New Roman"/>
                <w:sz w:val="18"/>
                <w:szCs w:val="18"/>
                <w:b w:val="1"/>
                <w:bCs w:val="1"/>
                <w:color w:val="auto"/>
                <w:w w:val="99"/>
              </w:rPr>
              <w:t>77 Sir John Rogerson’s Quay, Block C,</w:t>
            </w:r>
          </w:p>
        </w:tc>
        <w:tc>
          <w:tcPr>
            <w:tcW w:w="312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w w:val="99"/>
              </w:rPr>
              <w:t>Dublin 2, Ireland</w:t>
            </w:r>
          </w:p>
        </w:tc>
      </w:tr>
      <w:tr>
        <w:trPr>
          <w:trHeight w:val="227"/>
        </w:trPr>
        <w:tc>
          <w:tcPr>
            <w:tcW w:w="4800" w:type="dxa"/>
            <w:vAlign w:val="bottom"/>
          </w:tcPr>
          <w:p>
            <w:pPr>
              <w:jc w:val="center"/>
              <w:ind w:right="1679"/>
              <w:spacing w:after="0"/>
              <w:rPr>
                <w:sz w:val="20"/>
                <w:szCs w:val="20"/>
                <w:color w:val="auto"/>
              </w:rPr>
            </w:pPr>
            <w:r>
              <w:rPr>
                <w:rFonts w:ascii="Times New Roman" w:cs="Times New Roman" w:eastAsia="Times New Roman" w:hAnsi="Times New Roman"/>
                <w:sz w:val="18"/>
                <w:szCs w:val="18"/>
                <w:b w:val="1"/>
                <w:bCs w:val="1"/>
                <w:color w:val="auto"/>
              </w:rPr>
              <w:t>Grand Canal Docklands</w:t>
            </w:r>
          </w:p>
        </w:tc>
        <w:tc>
          <w:tcPr>
            <w:tcW w:w="3120" w:type="dxa"/>
            <w:vAlign w:val="bottom"/>
          </w:tcPr>
          <w:p>
            <w:pPr>
              <w:spacing w:after="0"/>
              <w:rPr>
                <w:sz w:val="19"/>
                <w:szCs w:val="19"/>
                <w:color w:val="auto"/>
              </w:rPr>
            </w:pPr>
          </w:p>
        </w:tc>
      </w:tr>
      <w:tr>
        <w:trPr>
          <w:trHeight w:val="190"/>
        </w:trPr>
        <w:tc>
          <w:tcPr>
            <w:tcW w:w="4800" w:type="dxa"/>
            <w:vAlign w:val="bottom"/>
          </w:tcPr>
          <w:p>
            <w:pPr>
              <w:jc w:val="center"/>
              <w:ind w:right="16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7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110490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99"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59"/>
        </w:trPr>
        <w:tc>
          <w:tcPr>
            <w:tcW w:w="4540" w:type="dxa"/>
            <w:vAlign w:val="bottom"/>
            <w:tcBorders>
              <w:left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6"/>
                <w:szCs w:val="16"/>
                <w:color w:val="auto"/>
              </w:rPr>
              <w:t>American Depositary Shares (ADS(s)), each ADS</w:t>
            </w:r>
          </w:p>
        </w:tc>
        <w:tc>
          <w:tcPr>
            <w:tcW w:w="2240" w:type="dxa"/>
            <w:vAlign w:val="bottom"/>
            <w:tcBorders>
              <w:right w:val="single" w:sz="8" w:color="auto"/>
            </w:tcBorders>
          </w:tcPr>
          <w:p>
            <w:pPr>
              <w:spacing w:after="0"/>
              <w:rPr>
                <w:sz w:val="13"/>
                <w:szCs w:val="13"/>
                <w:color w:val="auto"/>
              </w:rPr>
            </w:pPr>
          </w:p>
        </w:tc>
        <w:tc>
          <w:tcPr>
            <w:tcW w:w="4460" w:type="dxa"/>
            <w:vAlign w:val="bottom"/>
            <w:tcBorders>
              <w:right w:val="single" w:sz="8" w:color="auto"/>
            </w:tcBorders>
          </w:tcPr>
          <w:p>
            <w:pPr>
              <w:spacing w:after="0"/>
              <w:rPr>
                <w:sz w:val="13"/>
                <w:szCs w:val="13"/>
                <w:color w:val="auto"/>
              </w:rPr>
            </w:pPr>
          </w:p>
        </w:tc>
      </w:tr>
      <w:tr>
        <w:trPr>
          <w:trHeight w:val="162"/>
        </w:trPr>
        <w:tc>
          <w:tcPr>
            <w:tcW w:w="4540" w:type="dxa"/>
            <w:vAlign w:val="bottom"/>
            <w:tcBorders>
              <w:left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color w:val="auto"/>
              </w:rPr>
              <w:t>representing the right to receive one (1) Ordinary Share of</w:t>
            </w:r>
          </w:p>
        </w:tc>
        <w:tc>
          <w:tcPr>
            <w:tcW w:w="2240" w:type="dxa"/>
            <w:vAlign w:val="bottom"/>
            <w:tcBorders>
              <w:right w:val="single" w:sz="8" w:color="auto"/>
            </w:tcBorders>
          </w:tcPr>
          <w:p>
            <w:pPr>
              <w:spacing w:after="0"/>
              <w:rPr>
                <w:sz w:val="14"/>
                <w:szCs w:val="14"/>
                <w:color w:val="auto"/>
              </w:rPr>
            </w:pPr>
          </w:p>
        </w:tc>
        <w:tc>
          <w:tcPr>
            <w:tcW w:w="4460" w:type="dxa"/>
            <w:vAlign w:val="bottom"/>
            <w:tcBorders>
              <w:right w:val="single" w:sz="8" w:color="auto"/>
            </w:tcBorders>
          </w:tcPr>
          <w:p>
            <w:pPr>
              <w:spacing w:after="0"/>
              <w:rPr>
                <w:sz w:val="14"/>
                <w:szCs w:val="14"/>
                <w:color w:val="auto"/>
              </w:rPr>
            </w:pPr>
          </w:p>
        </w:tc>
      </w:tr>
      <w:tr>
        <w:trPr>
          <w:trHeight w:val="226"/>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Amarin Corporation plc</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AMRN</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Stock Market LLC</w:t>
            </w:r>
          </w:p>
        </w:tc>
      </w:tr>
    </w:tbl>
    <w:p>
      <w:pPr>
        <w:spacing w:after="0" w:line="90"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8" w:lineRule="exact"/>
        <w:rPr>
          <w:sz w:val="24"/>
          <w:szCs w:val="24"/>
          <w:color w:val="auto"/>
        </w:rPr>
      </w:pPr>
    </w:p>
    <w:p>
      <w:pPr>
        <w:ind w:right="120"/>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7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64"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32"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397,008,153 common shares were outstanding as of April 29, 2022, including 396,811,326 shares held as American Depositary Shares (ADSs), each representing one Ordinary Share, 50 pence par value per share and 196,827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80" w:type="dxa"/>
            <w:vAlign w:val="bottom"/>
            <w:gridSpan w:val="12"/>
          </w:tcPr>
          <w:p>
            <w:pPr>
              <w:jc w:val="center"/>
              <w:ind w:right="322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020" w:type="dxa"/>
            <w:vAlign w:val="bottom"/>
          </w:tcPr>
          <w:p>
            <w:pPr>
              <w:spacing w:after="0"/>
              <w:rPr>
                <w:sz w:val="24"/>
                <w:szCs w:val="24"/>
                <w:color w:val="auto"/>
              </w:rPr>
            </w:pPr>
          </w:p>
        </w:tc>
      </w:tr>
      <w:tr>
        <w:trPr>
          <w:trHeight w:val="353"/>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2460" w:type="dxa"/>
            <w:vAlign w:val="bottom"/>
            <w:tcBorders>
              <w:top w:val="single" w:sz="8" w:color="0000FF"/>
            </w:tcBorders>
            <w:gridSpan w:val="6"/>
          </w:tcPr>
          <w:p>
            <w:pPr>
              <w:spacing w:after="0"/>
              <w:rPr>
                <w:sz w:val="24"/>
                <w:szCs w:val="24"/>
                <w:color w:val="auto"/>
              </w:rPr>
            </w:pPr>
          </w:p>
        </w:tc>
        <w:tc>
          <w:tcPr>
            <w:tcW w:w="3220" w:type="dxa"/>
            <w:vAlign w:val="bottom"/>
            <w:gridSpan w:val="6"/>
          </w:tcPr>
          <w:p>
            <w:pPr>
              <w:spacing w:after="0"/>
              <w:rPr>
                <w:sz w:val="24"/>
                <w:szCs w:val="24"/>
                <w:color w:val="auto"/>
              </w:rPr>
            </w:pPr>
          </w:p>
        </w:tc>
        <w:tc>
          <w:tcPr>
            <w:tcW w:w="102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80" w:type="dxa"/>
            <w:vAlign w:val="bottom"/>
            <w:gridSpan w:val="20"/>
          </w:tcPr>
          <w:p>
            <w:pPr>
              <w:spacing w:after="0" w:line="194" w:lineRule="exact"/>
              <w:rPr>
                <w:sz w:val="20"/>
                <w:szCs w:val="20"/>
                <w:color w:val="auto"/>
              </w:rPr>
            </w:pPr>
            <w:r>
              <w:rPr>
                <w:rFonts w:ascii="Times New Roman" w:cs="Times New Roman" w:eastAsia="Times New Roman" w:hAnsi="Times New Roman"/>
                <w:sz w:val="18"/>
                <w:szCs w:val="18"/>
                <w:color w:val="0000FF"/>
              </w:rPr>
              <w:t>Condensed Consolidated Balance Sheets as of March 31, 2022 and December 31, 2021</w:t>
            </w: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2022 and 2021</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80" w:type="dxa"/>
            <w:vAlign w:val="bottom"/>
            <w:gridSpan w:val="3"/>
            <w:shd w:val="clear" w:color="auto" w:fill="0000FF"/>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 of Changes in Stockholders’ Equity for the three months ended March 31, 2022 and</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69"/>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10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2022 and 2021</w:t>
            </w:r>
          </w:p>
        </w:tc>
        <w:tc>
          <w:tcPr>
            <w:tcW w:w="130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13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3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5"/>
          </w:tcPr>
          <w:p>
            <w:pPr>
              <w:spacing w:after="0"/>
              <w:rPr>
                <w:sz w:val="17"/>
                <w:szCs w:val="17"/>
                <w:color w:val="auto"/>
              </w:rPr>
            </w:pPr>
          </w:p>
        </w:tc>
        <w:tc>
          <w:tcPr>
            <w:tcW w:w="244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13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8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331"/>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0" w:type="dxa"/>
            <w:vAlign w:val="bottom"/>
            <w:gridSpan w:val="11"/>
          </w:tcPr>
          <w:p>
            <w:pPr>
              <w:jc w:val="center"/>
              <w:ind w:right="332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1020" w:type="dxa"/>
            <w:vAlign w:val="bottom"/>
          </w:tcPr>
          <w:p>
            <w:pPr>
              <w:spacing w:after="0"/>
              <w:rPr>
                <w:sz w:val="24"/>
                <w:szCs w:val="24"/>
                <w:color w:val="auto"/>
              </w:rPr>
            </w:pPr>
          </w:p>
        </w:tc>
      </w:tr>
      <w:tr>
        <w:trPr>
          <w:trHeight w:val="331"/>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32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280" w:type="dxa"/>
            <w:vAlign w:val="bottom"/>
            <w:tcBorders>
              <w:top w:val="single" w:sz="8" w:color="0000FF"/>
            </w:tcBorders>
            <w:gridSpan w:val="4"/>
          </w:tcPr>
          <w:p>
            <w:pPr>
              <w:spacing w:after="0"/>
              <w:rPr>
                <w:sz w:val="24"/>
                <w:szCs w:val="24"/>
                <w:color w:val="auto"/>
              </w:rPr>
            </w:pPr>
          </w:p>
        </w:tc>
        <w:tc>
          <w:tcPr>
            <w:tcW w:w="332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196"/>
        </w:trPr>
        <w:tc>
          <w:tcPr>
            <w:tcW w:w="13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756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196"/>
        </w:trPr>
        <w:tc>
          <w:tcPr>
            <w:tcW w:w="13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r>
      <w:tr>
        <w:trPr>
          <w:trHeight w:val="250"/>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196"/>
        </w:trPr>
        <w:tc>
          <w:tcPr>
            <w:tcW w:w="134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58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331"/>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655"/>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Times New Roman" w:cs="Times New Roman" w:eastAsia="Times New Roman" w:hAnsi="Times New Roman"/>
                <w:sz w:val="18"/>
                <w:szCs w:val="18"/>
                <w:color w:val="auto"/>
                <w:w w:val="88"/>
              </w:rPr>
              <w:t>2</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20" w:type="dxa"/>
            <w:vAlign w:val="bottom"/>
          </w:tcPr>
          <w:p>
            <w:pPr>
              <w:spacing w:after="0"/>
              <w:rPr>
                <w:sz w:val="16"/>
                <w:szCs w:val="16"/>
                <w:color w:val="auto"/>
              </w:rPr>
            </w:pPr>
          </w:p>
        </w:tc>
        <w:tc>
          <w:tcPr>
            <w:tcW w:w="17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219,151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219,454</w:t>
            </w: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8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143,406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234,674</w:t>
            </w: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8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267,818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234,676</w:t>
            </w: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28,092</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22,352</w:t>
            </w:r>
          </w:p>
        </w:tc>
        <w:tc>
          <w:tcPr>
            <w:tcW w:w="80" w:type="dxa"/>
            <w:vAlign w:val="bottom"/>
          </w:tcPr>
          <w:p>
            <w:pPr>
              <w:spacing w:after="0"/>
              <w:rPr>
                <w:sz w:val="18"/>
                <w:szCs w:val="18"/>
                <w:color w:val="auto"/>
              </w:rPr>
            </w:pPr>
          </w:p>
        </w:tc>
      </w:tr>
      <w:tr>
        <w:trPr>
          <w:trHeight w:val="209"/>
        </w:trPr>
        <w:tc>
          <w:tcPr>
            <w:tcW w:w="75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772,619</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878,727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8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26,701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inventory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141,052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121,254</w:t>
            </w:r>
          </w:p>
        </w:tc>
        <w:tc>
          <w:tcPr>
            <w:tcW w:w="8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8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Intangible asset, net</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973,709</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1,068,065</w:t>
            </w:r>
          </w:p>
        </w:tc>
        <w:tc>
          <w:tcPr>
            <w:tcW w:w="80" w:type="dxa"/>
            <w:vAlign w:val="bottom"/>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5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90,753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114,922</w:t>
            </w: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207,622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253,111</w:t>
            </w:r>
          </w:p>
        </w:tc>
        <w:tc>
          <w:tcPr>
            <w:tcW w:w="80" w:type="dxa"/>
            <w:vAlign w:val="bottom"/>
          </w:tcPr>
          <w:p>
            <w:pPr>
              <w:spacing w:after="0"/>
              <w:rPr>
                <w:sz w:val="18"/>
                <w:szCs w:val="18"/>
                <w:color w:val="auto"/>
              </w:rPr>
            </w:pPr>
          </w:p>
        </w:tc>
      </w:tr>
      <w:tr>
        <w:trPr>
          <w:trHeight w:val="216"/>
        </w:trPr>
        <w:tc>
          <w:tcPr>
            <w:tcW w:w="7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Current deferred revenue</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75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300,573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370,682</w:t>
            </w:r>
          </w:p>
        </w:tc>
        <w:tc>
          <w:tcPr>
            <w:tcW w:w="80" w:type="dxa"/>
            <w:vAlign w:val="bottom"/>
          </w:tcPr>
          <w:p>
            <w:pPr>
              <w:spacing w:after="0"/>
              <w:rPr>
                <w:sz w:val="18"/>
                <w:szCs w:val="18"/>
                <w:color w:val="auto"/>
              </w:rPr>
            </w:pPr>
          </w:p>
        </w:tc>
      </w:tr>
      <w:tr>
        <w:trPr>
          <w:trHeight w:val="210"/>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w:t>
            </w:r>
          </w:p>
        </w:tc>
        <w:tc>
          <w:tcPr>
            <w:tcW w:w="80" w:type="dxa"/>
            <w:vAlign w:val="bottom"/>
          </w:tcPr>
          <w:p>
            <w:pPr>
              <w:spacing w:after="0"/>
              <w:rPr>
                <w:sz w:val="18"/>
                <w:szCs w:val="18"/>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80" w:type="dxa"/>
            <w:vAlign w:val="bottom"/>
            <w:shd w:val="clear" w:color="auto" w:fill="CFF0FC"/>
          </w:tcPr>
          <w:p>
            <w:pPr>
              <w:spacing w:after="0"/>
              <w:rPr>
                <w:sz w:val="18"/>
                <w:szCs w:val="18"/>
                <w:color w:val="auto"/>
              </w:rPr>
            </w:pPr>
          </w:p>
        </w:tc>
      </w:tr>
      <w:tr>
        <w:trPr>
          <w:trHeight w:val="216"/>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7,648</w:t>
            </w:r>
          </w:p>
        </w:tc>
        <w:tc>
          <w:tcPr>
            <w:tcW w:w="80" w:type="dxa"/>
            <w:vAlign w:val="bottom"/>
          </w:tcPr>
          <w:p>
            <w:pPr>
              <w:spacing w:after="0"/>
              <w:rPr>
                <w:sz w:val="18"/>
                <w:szCs w:val="18"/>
                <w:color w:val="auto"/>
              </w:rPr>
            </w:pPr>
          </w:p>
        </w:tc>
      </w:tr>
      <w:tr>
        <w:trPr>
          <w:trHeight w:val="210"/>
        </w:trPr>
        <w:tc>
          <w:tcPr>
            <w:tcW w:w="750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332,600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400,966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71"/>
        </w:trPr>
        <w:tc>
          <w:tcPr>
            <w:tcW w:w="750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Common stock, £0.50 par, unlimited authorized; 404,588,758 shares issued, 396,940,908 shares</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7500" w:type="dxa"/>
            <w:vAlign w:val="bottom"/>
          </w:tcPr>
          <w:p>
            <w:pPr>
              <w:ind w:left="380"/>
              <w:spacing w:after="0" w:line="189" w:lineRule="exact"/>
              <w:rPr>
                <w:sz w:val="20"/>
                <w:szCs w:val="20"/>
                <w:color w:val="auto"/>
              </w:rPr>
            </w:pPr>
            <w:r>
              <w:rPr>
                <w:rFonts w:ascii="Times New Roman" w:cs="Times New Roman" w:eastAsia="Times New Roman" w:hAnsi="Times New Roman"/>
                <w:sz w:val="18"/>
                <w:szCs w:val="18"/>
                <w:color w:val="auto"/>
              </w:rPr>
              <w:t>outstanding as of March 31, 2022; 404,084,775 shares issued, 396,598,008 shares outstanding</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of December 31, 2021</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294,364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294,027</w:t>
            </w:r>
          </w:p>
        </w:tc>
        <w:tc>
          <w:tcPr>
            <w:tcW w:w="80" w:type="dxa"/>
            <w:vAlign w:val="bottom"/>
          </w:tcPr>
          <w:p>
            <w:pPr>
              <w:spacing w:after="0"/>
              <w:rPr>
                <w:sz w:val="20"/>
                <w:szCs w:val="20"/>
                <w:color w:val="auto"/>
              </w:rPr>
            </w:pP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1,861,017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1,855,246</w:t>
            </w:r>
          </w:p>
        </w:tc>
        <w:tc>
          <w:tcPr>
            <w:tcW w:w="80" w:type="dxa"/>
            <w:vAlign w:val="bottom"/>
            <w:shd w:val="clear" w:color="auto" w:fill="CFF0FC"/>
          </w:tcPr>
          <w:p>
            <w:pPr>
              <w:spacing w:after="0"/>
              <w:rPr>
                <w:sz w:val="18"/>
                <w:szCs w:val="18"/>
                <w:color w:val="auto"/>
              </w:rPr>
            </w:pPr>
          </w:p>
        </w:tc>
      </w:tr>
      <w:tr>
        <w:trPr>
          <w:trHeight w:val="171"/>
        </w:trPr>
        <w:tc>
          <w:tcPr>
            <w:tcW w:w="7500" w:type="dxa"/>
            <w:vAlign w:val="bottom"/>
          </w:tcPr>
          <w:p>
            <w:pPr>
              <w:ind w:left="380"/>
              <w:spacing w:after="0" w:line="170" w:lineRule="exact"/>
              <w:rPr>
                <w:sz w:val="20"/>
                <w:szCs w:val="20"/>
                <w:color w:val="auto"/>
              </w:rPr>
            </w:pPr>
            <w:r>
              <w:rPr>
                <w:rFonts w:ascii="Times New Roman" w:cs="Times New Roman" w:eastAsia="Times New Roman" w:hAnsi="Times New Roman"/>
                <w:sz w:val="18"/>
                <w:szCs w:val="18"/>
                <w:color w:val="auto"/>
              </w:rPr>
              <w:t>Treasury stock; 7,647,850 shares as of March 31, 2022; 7,486,767 shares as of December 31,</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4"/>
        </w:trPr>
        <w:tc>
          <w:tcPr>
            <w:tcW w:w="7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(61,261 )</w:t>
            </w:r>
          </w:p>
        </w:tc>
        <w:tc>
          <w:tcPr>
            <w:tcW w:w="220" w:type="dxa"/>
            <w:vAlign w:val="bottom"/>
          </w:tcPr>
          <w:p>
            <w:pPr>
              <w:spacing w:after="0"/>
              <w:rPr>
                <w:sz w:val="20"/>
                <w:szCs w:val="20"/>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(60,726 )</w:t>
            </w:r>
          </w:p>
        </w:tc>
      </w:tr>
      <w:tr>
        <w:trPr>
          <w:trHeight w:val="216"/>
        </w:trPr>
        <w:tc>
          <w:tcPr>
            <w:tcW w:w="75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(1,453,011 )</w:t>
            </w:r>
          </w:p>
        </w:tc>
        <w:tc>
          <w:tcPr>
            <w:tcW w:w="2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(1,421,448 )</w:t>
            </w:r>
          </w:p>
        </w:tc>
      </w:tr>
      <w:tr>
        <w:trPr>
          <w:trHeight w:val="210"/>
        </w:trPr>
        <w:tc>
          <w:tcPr>
            <w:tcW w:w="7500" w:type="dxa"/>
            <w:vAlign w:val="bottom"/>
            <w:tcBorders>
              <w:top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641,109</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667,099</w:t>
            </w:r>
          </w:p>
        </w:tc>
        <w:tc>
          <w:tcPr>
            <w:tcW w:w="80" w:type="dxa"/>
            <w:vAlign w:val="bottom"/>
            <w:tcBorders>
              <w:top w:val="single" w:sz="8" w:color="CFF0FC"/>
            </w:tcBorders>
          </w:tcPr>
          <w:p>
            <w:pPr>
              <w:spacing w:after="0"/>
              <w:rPr>
                <w:sz w:val="18"/>
                <w:szCs w:val="18"/>
                <w:color w:val="auto"/>
              </w:rPr>
            </w:pPr>
          </w:p>
        </w:tc>
      </w:tr>
      <w:tr>
        <w:trPr>
          <w:trHeight w:val="249"/>
        </w:trPr>
        <w:tc>
          <w:tcPr>
            <w:tcW w:w="75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973,709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1,068,065</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-4045585</wp:posOffset>
            </wp:positionV>
            <wp:extent cx="51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-4045585</wp:posOffset>
            </wp:positionV>
            <wp:extent cx="51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-3213735</wp:posOffset>
            </wp:positionV>
            <wp:extent cx="514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-3213735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-2357120</wp:posOffset>
            </wp:positionV>
            <wp:extent cx="51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-2357120</wp:posOffset>
            </wp:positionV>
            <wp:extent cx="51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-1508125</wp:posOffset>
            </wp:positionV>
            <wp:extent cx="51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-1508125</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-316865</wp:posOffset>
            </wp:positionV>
            <wp:extent cx="514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-316865</wp:posOffset>
            </wp:positionV>
            <wp:extent cx="51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-25400</wp:posOffset>
            </wp:positionV>
            <wp:extent cx="51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ind w:left="426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67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4"/>
                <w:szCs w:val="14"/>
                <w:color w:val="auto"/>
              </w:rPr>
            </w:pPr>
          </w:p>
        </w:tc>
      </w:tr>
      <w:tr>
        <w:trPr>
          <w:trHeight w:val="20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net</w:t>
            </w:r>
          </w:p>
        </w:tc>
        <w:tc>
          <w:tcPr>
            <w:tcW w:w="116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93,986</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141,383</w:t>
            </w:r>
          </w:p>
        </w:tc>
        <w:tc>
          <w:tcPr>
            <w:tcW w:w="8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Licensing and royalty revenue</w:t>
            </w:r>
          </w:p>
        </w:tc>
        <w:tc>
          <w:tcPr>
            <w:tcW w:w="1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18"/>
                <w:szCs w:val="18"/>
                <w:color w:val="auto"/>
              </w:rPr>
            </w:pPr>
          </w:p>
        </w:tc>
      </w:tr>
      <w:tr>
        <w:trPr>
          <w:trHeight w:val="209"/>
        </w:trPr>
        <w:tc>
          <w:tcPr>
            <w:tcW w:w="67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revenue, net</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94,630</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142,170</w:t>
            </w:r>
          </w:p>
        </w:tc>
        <w:tc>
          <w:tcPr>
            <w:tcW w:w="8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Less: Cost of goods sold</w:t>
            </w:r>
          </w:p>
        </w:tc>
        <w:tc>
          <w:tcPr>
            <w:tcW w:w="1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22,239</w:t>
            </w:r>
          </w:p>
        </w:tc>
        <w:tc>
          <w:tcPr>
            <w:tcW w:w="2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28,326</w:t>
            </w:r>
          </w:p>
        </w:tc>
        <w:tc>
          <w:tcPr>
            <w:tcW w:w="80" w:type="dxa"/>
            <w:vAlign w:val="bottom"/>
          </w:tcPr>
          <w:p>
            <w:pPr>
              <w:spacing w:after="0"/>
              <w:rPr>
                <w:sz w:val="18"/>
                <w:szCs w:val="18"/>
                <w:color w:val="auto"/>
              </w:rPr>
            </w:pPr>
          </w:p>
        </w:tc>
      </w:tr>
      <w:tr>
        <w:trPr>
          <w:trHeight w:val="210"/>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72,391</w:t>
            </w:r>
          </w:p>
        </w:tc>
        <w:tc>
          <w:tcPr>
            <w:tcW w:w="2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105,798</w:t>
            </w:r>
          </w:p>
        </w:tc>
        <w:tc>
          <w:tcPr>
            <w:tcW w:w="80" w:type="dxa"/>
            <w:vAlign w:val="bottom"/>
            <w:shd w:val="clear" w:color="auto" w:fill="CFF0FC"/>
          </w:tcPr>
          <w:p>
            <w:pPr>
              <w:spacing w:after="0"/>
              <w:rPr>
                <w:sz w:val="18"/>
                <w:szCs w:val="18"/>
                <w:color w:val="auto"/>
              </w:rPr>
            </w:pPr>
          </w:p>
        </w:tc>
      </w:tr>
      <w:tr>
        <w:trPr>
          <w:trHeight w:val="216"/>
        </w:trPr>
        <w:tc>
          <w:tcPr>
            <w:tcW w:w="674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280" w:type="dxa"/>
            <w:vAlign w:val="bottom"/>
            <w:tcBorders>
              <w:bottom w:val="single" w:sz="8" w:color="CFF0FC"/>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80" w:type="dxa"/>
            <w:vAlign w:val="bottom"/>
            <w:tcBorders>
              <w:bottom w:val="single" w:sz="8" w:color="CFF0FC"/>
            </w:tcBorders>
          </w:tcPr>
          <w:p>
            <w:pPr>
              <w:spacing w:after="0"/>
              <w:rPr>
                <w:sz w:val="18"/>
                <w:szCs w:val="18"/>
                <w:color w:val="auto"/>
              </w:rPr>
            </w:pPr>
          </w:p>
        </w:tc>
      </w:tr>
      <w:tr>
        <w:trPr>
          <w:trHeight w:val="210"/>
        </w:trPr>
        <w:tc>
          <w:tcPr>
            <w:tcW w:w="6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100,698</w:t>
            </w:r>
          </w:p>
        </w:tc>
        <w:tc>
          <w:tcPr>
            <w:tcW w:w="2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115,175</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(28,307 )</w:t>
            </w:r>
          </w:p>
        </w:tc>
        <w:tc>
          <w:tcPr>
            <w:tcW w:w="8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(1,331 )</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FF0FC"/>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(246 )</w:t>
            </w:r>
          </w:p>
        </w:tc>
        <w:tc>
          <w:tcPr>
            <w:tcW w:w="8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1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taxes</w:t>
            </w:r>
          </w:p>
        </w:tc>
        <w:tc>
          <w:tcPr>
            <w:tcW w:w="1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(28,350</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provision</w:t>
            </w:r>
          </w:p>
        </w:tc>
        <w:tc>
          <w:tcPr>
            <w:tcW w:w="116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(3,213 )</w:t>
            </w:r>
          </w:p>
        </w:tc>
        <w:tc>
          <w:tcPr>
            <w:tcW w:w="8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(624 )</w:t>
            </w:r>
          </w:p>
        </w:tc>
      </w:tr>
      <w:tr>
        <w:trPr>
          <w:trHeight w:val="249"/>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top w:val="single" w:sz="8" w:color="auto"/>
              <w:bottom w:val="single" w:sz="8" w:color="auto"/>
            </w:tcBorders>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(31,563</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6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shd w:val="clear" w:color="auto" w:fill="CFF0FC"/>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(0.08 )</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(0.08 )</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397,805</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394,638</w:t>
            </w:r>
          </w:p>
        </w:tc>
        <w:tc>
          <w:tcPr>
            <w:tcW w:w="80" w:type="dxa"/>
            <w:vAlign w:val="bottom"/>
          </w:tcPr>
          <w:p>
            <w:pPr>
              <w:spacing w:after="0"/>
              <w:rPr>
                <w:sz w:val="18"/>
                <w:szCs w:val="18"/>
                <w:color w:val="auto"/>
              </w:rPr>
            </w:pPr>
          </w:p>
        </w:tc>
      </w:tr>
      <w:tr>
        <w:trPr>
          <w:trHeight w:val="216"/>
        </w:trPr>
        <w:tc>
          <w:tcPr>
            <w:tcW w:w="6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397,805</w:t>
            </w: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394,638</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-2262505</wp:posOffset>
            </wp:positionV>
            <wp:extent cx="514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-2262505</wp:posOffset>
            </wp:positionV>
            <wp:extent cx="514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5547995</wp:posOffset>
            </wp:positionH>
            <wp:positionV relativeFrom="paragraph">
              <wp:posOffset>-1855470</wp:posOffset>
            </wp:positionV>
            <wp:extent cx="76835" cy="1797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6988175</wp:posOffset>
            </wp:positionH>
            <wp:positionV relativeFrom="paragraph">
              <wp:posOffset>-1855470</wp:posOffset>
            </wp:positionV>
            <wp:extent cx="76835" cy="1797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-848360</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5560695</wp:posOffset>
            </wp:positionH>
            <wp:positionV relativeFrom="paragraph">
              <wp:posOffset>-830580</wp:posOffset>
            </wp:positionV>
            <wp:extent cx="514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-848360</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-830580</wp:posOffset>
            </wp:positionV>
            <wp:extent cx="514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52070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320" w:right="399" w:bottom="1440" w:gutter="0" w:footer="0" w:header="0"/>
        </w:sectPr>
      </w:pPr>
    </w:p>
    <w:bookmarkStart w:id="4" w:name="page5"/>
    <w:bookmarkEnd w:id="4"/>
    <w:p>
      <w:pPr>
        <w:ind w:left="434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2"/>
                <w:szCs w:val="12"/>
                <w:color w:val="auto"/>
              </w:rPr>
            </w:pPr>
          </w:p>
        </w:tc>
        <w:tc>
          <w:tcPr>
            <w:tcW w:w="1260" w:type="dxa"/>
            <w:vAlign w:val="bottom"/>
            <w:gridSpan w:val="2"/>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2"/>
                <w:szCs w:val="12"/>
                <w:color w:val="auto"/>
              </w:rPr>
            </w:pPr>
          </w:p>
        </w:tc>
        <w:tc>
          <w:tcPr>
            <w:tcW w:w="84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2"/>
                <w:szCs w:val="12"/>
                <w:color w:val="auto"/>
              </w:rPr>
            </w:pPr>
          </w:p>
        </w:tc>
        <w:tc>
          <w:tcPr>
            <w:tcW w:w="9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106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60" w:type="dxa"/>
            <w:vAlign w:val="bottom"/>
            <w:vMerge w:val="restart"/>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1260" w:type="dxa"/>
            <w:vAlign w:val="bottom"/>
            <w:gridSpan w:val="2"/>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4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106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404,084,775</w:t>
            </w:r>
          </w:p>
        </w:tc>
        <w:tc>
          <w:tcPr>
            <w:tcW w:w="16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(7,486,767</w:t>
            </w:r>
          </w:p>
        </w:tc>
        <w:tc>
          <w:tcPr>
            <w:tcW w:w="1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294,027</w:t>
            </w:r>
          </w:p>
        </w:tc>
        <w:tc>
          <w:tcPr>
            <w:tcW w:w="160" w:type="dxa"/>
            <w:vAlign w:val="bottom"/>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1,855,246</w:t>
            </w:r>
          </w:p>
        </w:tc>
        <w:tc>
          <w:tcPr>
            <w:tcW w:w="1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(60,726</w:t>
            </w:r>
          </w:p>
        </w:tc>
        <w:tc>
          <w:tcPr>
            <w:tcW w:w="1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(1,421,448</w:t>
            </w:r>
          </w:p>
        </w:tc>
        <w:tc>
          <w:tcPr>
            <w:tcW w:w="1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667,099</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10,602</w:t>
            </w:r>
          </w:p>
        </w:tc>
        <w:tc>
          <w:tcPr>
            <w:tcW w:w="16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493,381</w:t>
            </w:r>
          </w:p>
        </w:tc>
        <w:tc>
          <w:tcPr>
            <w:tcW w:w="142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(161,083 )</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(331 )</w:t>
            </w: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(535 )</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(535 )</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6,078</w:t>
            </w:r>
          </w:p>
        </w:tc>
        <w:tc>
          <w:tcPr>
            <w:tcW w:w="0" w:type="dxa"/>
            <w:vAlign w:val="bottom"/>
          </w:tcPr>
          <w:p>
            <w:pPr>
              <w:spacing w:after="0"/>
              <w:rPr>
                <w:sz w:val="1"/>
                <w:szCs w:val="1"/>
                <w:color w:val="auto"/>
              </w:rPr>
            </w:pPr>
          </w:p>
        </w:tc>
      </w:tr>
      <w:tr>
        <w:trPr>
          <w:trHeight w:val="176"/>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(31,563 )</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(31,563 )</w:t>
            </w:r>
          </w:p>
        </w:tc>
        <w:tc>
          <w:tcPr>
            <w:tcW w:w="0" w:type="dxa"/>
            <w:vAlign w:val="bottom"/>
          </w:tcPr>
          <w:p>
            <w:pPr>
              <w:spacing w:after="0"/>
              <w:rPr>
                <w:sz w:val="1"/>
                <w:szCs w:val="1"/>
                <w:color w:val="auto"/>
              </w:rPr>
            </w:pPr>
          </w:p>
        </w:tc>
      </w:tr>
      <w:tr>
        <w:trPr>
          <w:trHeight w:val="20"/>
        </w:trPr>
        <w:tc>
          <w:tcPr>
            <w:tcW w:w="29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404,588,758</w:t>
            </w:r>
          </w:p>
        </w:tc>
        <w:tc>
          <w:tcPr>
            <w:tcW w:w="16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(7,647,850 )</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294,364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1,861,017</w:t>
            </w:r>
          </w:p>
        </w:tc>
        <w:tc>
          <w:tcPr>
            <w:tcW w:w="18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(61,261 )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(1,453,011 )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641,109</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2"/>
                <w:szCs w:val="12"/>
                <w:color w:val="auto"/>
              </w:rPr>
            </w:pPr>
          </w:p>
        </w:tc>
        <w:tc>
          <w:tcPr>
            <w:tcW w:w="1260" w:type="dxa"/>
            <w:vAlign w:val="bottom"/>
            <w:gridSpan w:val="2"/>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60" w:type="dxa"/>
            <w:vAlign w:val="bottom"/>
          </w:tcPr>
          <w:p>
            <w:pPr>
              <w:spacing w:after="0"/>
              <w:rPr>
                <w:sz w:val="12"/>
                <w:szCs w:val="12"/>
                <w:color w:val="auto"/>
              </w:rPr>
            </w:pPr>
          </w:p>
        </w:tc>
        <w:tc>
          <w:tcPr>
            <w:tcW w:w="84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12"/>
                <w:szCs w:val="12"/>
                <w:color w:val="auto"/>
              </w:rPr>
            </w:pPr>
          </w:p>
        </w:tc>
        <w:tc>
          <w:tcPr>
            <w:tcW w:w="9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Pr>
          <w:p>
            <w:pPr>
              <w:spacing w:after="0"/>
              <w:rPr>
                <w:sz w:val="12"/>
                <w:szCs w:val="12"/>
                <w:color w:val="auto"/>
              </w:rPr>
            </w:pPr>
          </w:p>
        </w:tc>
        <w:tc>
          <w:tcPr>
            <w:tcW w:w="1060" w:type="dxa"/>
            <w:vAlign w:val="bottom"/>
            <w:gridSpan w:val="2"/>
          </w:tcPr>
          <w:p>
            <w:pPr>
              <w:jc w:val="center"/>
              <w:ind w:right="188"/>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20" w:type="dxa"/>
            <w:vAlign w:val="bottom"/>
          </w:tcPr>
          <w:p>
            <w:pPr>
              <w:spacing w:after="0"/>
              <w:rPr>
                <w:sz w:val="12"/>
                <w:szCs w:val="12"/>
                <w:color w:val="auto"/>
              </w:rPr>
            </w:pPr>
          </w:p>
        </w:tc>
        <w:tc>
          <w:tcPr>
            <w:tcW w:w="860" w:type="dxa"/>
            <w:vAlign w:val="bottom"/>
            <w:vMerge w:val="restart"/>
          </w:tcPr>
          <w:p>
            <w:pPr>
              <w:jc w:val="right"/>
              <w:ind w:right="3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1260" w:type="dxa"/>
            <w:vAlign w:val="bottom"/>
            <w:gridSpan w:val="2"/>
          </w:tcPr>
          <w:p>
            <w:pPr>
              <w:jc w:val="center"/>
              <w:ind w:right="88"/>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4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60" w:type="dxa"/>
            <w:vAlign w:val="bottom"/>
          </w:tcPr>
          <w:p>
            <w:pPr>
              <w:spacing w:after="0"/>
              <w:rPr>
                <w:sz w:val="15"/>
                <w:szCs w:val="15"/>
                <w:color w:val="auto"/>
              </w:rPr>
            </w:pPr>
          </w:p>
        </w:tc>
        <w:tc>
          <w:tcPr>
            <w:tcW w:w="940" w:type="dxa"/>
            <w:vAlign w:val="bottom"/>
            <w:gridSpan w:val="2"/>
          </w:tcPr>
          <w:p>
            <w:pPr>
              <w:jc w:val="center"/>
              <w:ind w:right="228"/>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Pr>
          <w:p>
            <w:pPr>
              <w:spacing w:after="0"/>
              <w:rPr>
                <w:sz w:val="15"/>
                <w:szCs w:val="15"/>
                <w:color w:val="auto"/>
              </w:rPr>
            </w:pPr>
          </w:p>
        </w:tc>
        <w:tc>
          <w:tcPr>
            <w:tcW w:w="1060" w:type="dxa"/>
            <w:vAlign w:val="bottom"/>
            <w:gridSpan w:val="2"/>
          </w:tcPr>
          <w:p>
            <w:pPr>
              <w:jc w:val="center"/>
              <w:ind w:right="208"/>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398,425,000</w:t>
            </w:r>
          </w:p>
        </w:tc>
        <w:tc>
          <w:tcPr>
            <w:tcW w:w="160" w:type="dxa"/>
            <w:vAlign w:val="bottom"/>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(5,886,919</w:t>
            </w:r>
          </w:p>
        </w:tc>
        <w:tc>
          <w:tcPr>
            <w:tcW w:w="1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290,115</w:t>
            </w:r>
          </w:p>
        </w:tc>
        <w:tc>
          <w:tcPr>
            <w:tcW w:w="16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1,817,649</w:t>
            </w:r>
          </w:p>
        </w:tc>
        <w:tc>
          <w:tcPr>
            <w:tcW w:w="18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(51,082</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(1,429,177</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627,505</w:t>
            </w: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783,320</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2,447,405</w:t>
            </w:r>
          </w:p>
        </w:tc>
        <w:tc>
          <w:tcPr>
            <w:tcW w:w="142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color w:val="auto"/>
              </w:rPr>
              <w:t>(1,003,965 )</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(1,709 )</w:t>
            </w:r>
          </w:p>
        </w:tc>
        <w:tc>
          <w:tcPr>
            <w:tcW w:w="160" w:type="dxa"/>
            <w:vAlign w:val="bottom"/>
          </w:tcPr>
          <w:p>
            <w:pPr>
              <w:spacing w:after="0"/>
              <w:rPr>
                <w:sz w:val="15"/>
                <w:szCs w:val="15"/>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(7,252 )</w:t>
            </w:r>
          </w:p>
        </w:tc>
        <w:tc>
          <w:tcPr>
            <w:tcW w:w="120" w:type="dxa"/>
            <w:vAlign w:val="bottom"/>
          </w:tcPr>
          <w:p>
            <w:pPr>
              <w:spacing w:after="0"/>
              <w:rPr>
                <w:sz w:val="15"/>
                <w:szCs w:val="15"/>
                <w:color w:val="auto"/>
              </w:rPr>
            </w:pPr>
          </w:p>
        </w:tc>
        <w:tc>
          <w:tcPr>
            <w:tcW w:w="10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(7,252 )</w:t>
            </w:r>
          </w:p>
        </w:tc>
        <w:tc>
          <w:tcPr>
            <w:tcW w:w="0" w:type="dxa"/>
            <w:vAlign w:val="bottom"/>
          </w:tcPr>
          <w:p>
            <w:pPr>
              <w:spacing w:after="0"/>
              <w:rPr>
                <w:sz w:val="1"/>
                <w:szCs w:val="1"/>
                <w:color w:val="auto"/>
              </w:rPr>
            </w:pPr>
          </w:p>
        </w:tc>
      </w:tr>
      <w:tr>
        <w:trPr>
          <w:trHeight w:val="175"/>
        </w:trPr>
        <w:tc>
          <w:tcPr>
            <w:tcW w:w="2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13,925</w:t>
            </w:r>
          </w:p>
        </w:tc>
        <w:tc>
          <w:tcPr>
            <w:tcW w:w="0" w:type="dxa"/>
            <w:vAlign w:val="bottom"/>
          </w:tcPr>
          <w:p>
            <w:pPr>
              <w:spacing w:after="0"/>
              <w:rPr>
                <w:sz w:val="1"/>
                <w:szCs w:val="1"/>
                <w:color w:val="auto"/>
              </w:rPr>
            </w:pPr>
          </w:p>
        </w:tc>
      </w:tr>
      <w:tr>
        <w:trPr>
          <w:trHeight w:val="176"/>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for the period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(1,626 )</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(1,626 )</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401,655,725</w:t>
            </w:r>
          </w:p>
        </w:tc>
        <w:tc>
          <w:tcPr>
            <w:tcW w:w="1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(6,890,884</w:t>
            </w:r>
          </w:p>
        </w:tc>
        <w:tc>
          <w:tcPr>
            <w:tcW w:w="1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292,360</w:t>
            </w:r>
          </w:p>
        </w:tc>
        <w:tc>
          <w:tcPr>
            <w:tcW w:w="1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1,831,388</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(58,334</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(1,430,803</w:t>
            </w:r>
          </w:p>
        </w:tc>
        <w:tc>
          <w:tcPr>
            <w:tcW w:w="1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634,611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-1276350</wp:posOffset>
            </wp:positionV>
            <wp:extent cx="342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-1276350</wp:posOffset>
            </wp:positionV>
            <wp:extent cx="431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-1276350</wp:posOffset>
            </wp:positionV>
            <wp:extent cx="34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-1276350</wp:posOffset>
            </wp:positionV>
            <wp:extent cx="431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-1276350</wp:posOffset>
            </wp:positionV>
            <wp:extent cx="342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-1276350</wp:posOffset>
            </wp:positionV>
            <wp:extent cx="342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-1276350</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34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342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431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431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-24765</wp:posOffset>
            </wp:positionV>
            <wp:extent cx="342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-7620</wp:posOffset>
            </wp:positionV>
            <wp:extent cx="342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-24765</wp:posOffset>
            </wp:positionV>
            <wp:extent cx="431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431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342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342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342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34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3760"/>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2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686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(31,563 )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(1,626 )</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loss to net cash used in operating activities:</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investments</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(52,940 )</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(42,028 )</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(5,740 )</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assets</w:t>
            </w:r>
          </w:p>
        </w:tc>
        <w:tc>
          <w:tcPr>
            <w:tcW w:w="360" w:type="dxa"/>
            <w:vAlign w:val="bottom"/>
          </w:tcPr>
          <w:p>
            <w:pPr>
              <w:spacing w:after="0"/>
              <w:rPr>
                <w:sz w:val="18"/>
                <w:szCs w:val="18"/>
                <w:color w:val="auto"/>
              </w:rPr>
            </w:pPr>
          </w:p>
        </w:tc>
        <w:tc>
          <w:tcPr>
            <w:tcW w:w="13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receivable</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(372 )</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(69,658 )</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(596 )</w:t>
            </w:r>
          </w:p>
        </w:tc>
        <w:tc>
          <w:tcPr>
            <w:tcW w:w="0" w:type="dxa"/>
            <w:vAlign w:val="bottom"/>
          </w:tcPr>
          <w:p>
            <w:pPr>
              <w:spacing w:after="0"/>
              <w:rPr>
                <w:sz w:val="1"/>
                <w:szCs w:val="1"/>
                <w:color w:val="auto"/>
              </w:rPr>
            </w:pPr>
          </w:p>
        </w:tc>
      </w:tr>
      <w:tr>
        <w:trPr>
          <w:trHeight w:val="210"/>
        </w:trPr>
        <w:tc>
          <w:tcPr>
            <w:tcW w:w="68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(98,847</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Maturities of securities</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113,220</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securities</w:t>
            </w:r>
          </w:p>
        </w:tc>
        <w:tc>
          <w:tcPr>
            <w:tcW w:w="36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(14,171 )</w:t>
            </w:r>
          </w:p>
        </w:tc>
        <w:tc>
          <w:tcPr>
            <w:tcW w:w="34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 of furniture, fixtures and equipment</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CFF0FC"/>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99,049</w:t>
            </w:r>
          </w:p>
        </w:tc>
        <w:tc>
          <w:tcPr>
            <w:tcW w:w="24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net of transaction costs</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Taxes paid related to stock-based awards</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(535 )</w:t>
            </w:r>
          </w:p>
        </w:tc>
        <w:tc>
          <w:tcPr>
            <w:tcW w:w="3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(7,252 )</w:t>
            </w:r>
          </w:p>
        </w:tc>
        <w:tc>
          <w:tcPr>
            <w:tcW w:w="0" w:type="dxa"/>
            <w:vAlign w:val="bottom"/>
          </w:tcPr>
          <w:p>
            <w:pPr>
              <w:spacing w:after="0"/>
              <w:rPr>
                <w:sz w:val="1"/>
                <w:szCs w:val="1"/>
                <w:color w:val="auto"/>
              </w:rPr>
            </w:pPr>
          </w:p>
        </w:tc>
      </w:tr>
      <w:tr>
        <w:trPr>
          <w:trHeight w:val="20"/>
        </w:trPr>
        <w:tc>
          <w:tcPr>
            <w:tcW w:w="68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60" w:type="dxa"/>
            <w:vAlign w:val="bottom"/>
          </w:tcPr>
          <w:p>
            <w:pPr>
              <w:spacing w:after="0"/>
              <w:rPr>
                <w:sz w:val="18"/>
                <w:szCs w:val="18"/>
                <w:color w:val="auto"/>
              </w:rPr>
            </w:pPr>
          </w:p>
        </w:tc>
        <w:tc>
          <w:tcPr>
            <w:tcW w:w="1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(505 )</w:t>
            </w: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(5,193 )</w:t>
            </w:r>
          </w:p>
        </w:tc>
        <w:tc>
          <w:tcPr>
            <w:tcW w:w="0" w:type="dxa"/>
            <w:vAlign w:val="bottom"/>
          </w:tcPr>
          <w:p>
            <w:pPr>
              <w:spacing w:after="0"/>
              <w:rPr>
                <w:sz w:val="1"/>
                <w:szCs w:val="1"/>
                <w:color w:val="auto"/>
              </w:rPr>
            </w:pPr>
          </w:p>
        </w:tc>
      </w:tr>
      <w:tr>
        <w:trPr>
          <w:trHeight w:val="164"/>
        </w:trPr>
        <w:tc>
          <w:tcPr>
            <w:tcW w:w="686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NET (DECREASE) INCREASE IN CASH AND CASH EQUIVALENTS AND</w:t>
            </w:r>
          </w:p>
        </w:tc>
        <w:tc>
          <w:tcPr>
            <w:tcW w:w="36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(303 )</w:t>
            </w: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104,032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CASH AND CASH EQUIVALENTS AND RESTRICTED CASH, BEGINNING OF</w:t>
            </w: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223,372</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190,879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223,069</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294,911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transactions:</w:t>
            </w: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Initial recognition of operating lease right-of-use asset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68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Laxdale Milestone</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-2828290</wp:posOffset>
            </wp:positionV>
            <wp:extent cx="6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-2828290</wp:posOffset>
            </wp:positionV>
            <wp:extent cx="6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-2270760</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-2270760</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-1704975</wp:posOffset>
            </wp:positionV>
            <wp:extent cx="603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-1704975</wp:posOffset>
            </wp:positionV>
            <wp:extent cx="603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-899160</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-882015</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-899160</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-882015</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20" w:right="8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AMARIN CORPORATION PLC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Quarterly Report on Form 10-Q, ordinary shares may also be referred to as “common shares” or “common stock.”</w:t>
      </w:r>
    </w:p>
    <w:p>
      <w:pPr>
        <w:spacing w:after="0" w:line="3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(1)</w:t>
        <w:tab/>
        <w:t>Nature of Business and Basis of Presentation</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Business</w:t>
      </w:r>
    </w:p>
    <w:p>
      <w:pPr>
        <w:spacing w:after="0" w:line="10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Amarin Corporation plc, or Amarin, or the Company, is a pharmaceutical company focused on the commercialization and development of therapeutics to improve cardiovascular, or CV, health and reduce CV risk. Most of the Company’s historical revenue and sales, marketing and administrative activities and costs have been associated with commercial operations in the United States, or U.S. As of September 1, 2021, product was made available in Germany and as of October 1, 2021 was included in the country's electronic prescribing system. The Company continues pre-launch commercial activities throughout the rest of Europe. The Company’s operations outside of the U.S. and Europe are in early stages of development with reliance on third-party commercial partners in select geographies, including China where regulatory approval for the Company’s lead product is being actively sought.</w:t>
      </w:r>
    </w:p>
    <w:p>
      <w:pPr>
        <w:spacing w:after="0" w:line="72"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8"/>
          <w:szCs w:val="18"/>
          <w:color w:val="auto"/>
        </w:rPr>
        <w:t>The Company’s lead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U.S. Food and Drug Administration, or U.S. FDA, in July 2012 for use as an adjunct to diet to reduce triglyceride, or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In January 2013, the Company launched 1-gram size VASCEPA in the U.S. and in October 2016, introduced a smaller 0.5-gram capsule size. On December 13, 2019, the U.S. FDA approved another indication and label expansion for VASCEPA based on the results of the Company’s long-term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approved by the U.S. FDA as an adjunct to maximally tolerated statin therapy for reducing persistent cardiovascular risk in select high risk patients.</w:t>
      </w:r>
    </w:p>
    <w:p>
      <w:pPr>
        <w:spacing w:after="0" w:line="7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 the Company's patents covering the first U.S. FDA-approved use of its drug, for use to reduce severely high triglyceride levels, which is known as the MARINE indication. The Company sought appeals of the Nevada Court judgment up to the United States Supreme Court, but the Company was unsuccessful. Most recently, on June 18, 2021, the Company was notified that its petition for writ of certiorari to the United States Supreme Court was denied.</w:t>
      </w:r>
    </w:p>
    <w:p>
      <w:pPr>
        <w:spacing w:after="0" w:line="7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On May 22, 2020, Hikma received U.S. FDA approval to market its generic version of VASCEPA for the MARINE indication of VASCEPA. In November 2020, Hikma launched their generic version of VASCEPA on a limited scale. On November 30, 2020 the Company filed a patent infringement lawsuit against Hikma for making, selling, offering to sell and importing generic icosapent ethyl capsules in and into the United States in a manner that the Company alleges has induced the infringement of patents covering the use of VASCEPA to reduce specified cardiovascular risk. In January 2021, the Company expanded the scope of the VASCEPA CV risk reduction patent infringement lawsuit against Hikma to include a health care insurance provider in the United States, Health Net, LLC or Health Net. On January 4, 2022, the district court hearing the case granted Hikma's motion to dismiss. The Company intends to appeal the decision of the district court when permitted and also intends to continue to vigorously pursue the ongoing litigation with Health Net, but cannot predict the outcome or impact on its business.</w:t>
      </w:r>
    </w:p>
    <w:p>
      <w:pPr>
        <w:spacing w:after="0" w:line="7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On August 10, 2020, Dr. Reddy’s received U.S. FDA approval to market its generic version for the MARINE indication of VASCEPA. In June 2021, Dr. Reddy’s launched its generic version of VASCEPA with labeling that is substantially similar to labeling of the Hikma generic product. On September 11, 2020, Teva Pharmaceuticals USA, Inc’s., or Teva’s, abbreviated new drug application, or ANDA, was approved by the U.S. FDA and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 which is known as the REDUCE-IT indication.</w:t>
      </w:r>
    </w:p>
    <w:p>
      <w:pPr>
        <w:spacing w:after="0" w:line="7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March 26, 2021, the European Commission, or EC, approved the marketing authorization application for VAZKEPA, hereinafter along with the U.S. brand name VASCEPA, collectively referred to as VASCEPA, in the EU to reduce the risk of cardiovascular events in high-risk, statin-treated adult patients who have elevated triglycerides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150 mg/dL) and either established cardiovascular disease or diabetes and at least one additional cardiovascular risk event. On September 13, 2021, the Company launched VAZKEPA in Germany, representing the Company's first European launch. On April 22, 2021, the Company announced that the Medicines and Healthcare Products Regulatory Agency, or MHRA, approved VAZKEPA in England, Scotland and Wales to reduce cardiovascular risk through MHRA’s new ‘reliance’ route following the end of the BREXIT transition period. Collectively CHMP, EMA, EC and MHRA are referred to herein as the European Regulatory Authorities.</w:t>
      </w:r>
    </w:p>
    <w:p>
      <w:pPr>
        <w:spacing w:after="0" w:line="73"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In November 2020, the Company announced topline results from the Phase 3 clinical trial of VASCEPA conducted by the Company’s partner in China. On February 9, 2021, the Company announced that regulatory review processes for approval of VASCEPA in Mainland China and Hong Kong have commenced. The Chinese National Medical Products Administration, or NMPA, has accepted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6" w:right="359" w:bottom="1440" w:gutter="0" w:footer="0" w:header="0"/>
        </w:sectPr>
      </w:pPr>
    </w:p>
    <w:bookmarkStart w:id="7" w:name="page8"/>
    <w:bookmarkEnd w:id="7"/>
    <w:p>
      <w:pPr>
        <w:ind w:right="200"/>
        <w:spacing w:after="0" w:line="258" w:lineRule="auto"/>
        <w:rPr>
          <w:sz w:val="20"/>
          <w:szCs w:val="20"/>
          <w:color w:val="auto"/>
        </w:rPr>
      </w:pPr>
      <w:r>
        <w:rPr>
          <w:rFonts w:ascii="Times New Roman" w:cs="Times New Roman" w:eastAsia="Times New Roman" w:hAnsi="Times New Roman"/>
          <w:sz w:val="18"/>
          <w:szCs w:val="18"/>
          <w:color w:val="auto"/>
        </w:rPr>
        <w:t>for review the new drug application for VASCEPA based on the results from the Phase 3 clinical trial and the results from the Company’s prior studies of VASCEPA. On February 23, 2022, The Hong Kong Department of Health concluded their evaluation and approved the use of VASCEPA under the REDUCE-IT indication.</w:t>
      </w:r>
    </w:p>
    <w:p>
      <w:pPr>
        <w:spacing w:after="0" w:line="6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The Company currently has strategic collaborations to develop and commercialize VASCEPA in select territories outside the United States. Amarin is responsible for supplying VASCEPA to all markets in which the product is sold, including the United States and Germany, as well as, in Canada, Lebanon and the United Arab Emirates where the drug is promoted and sold via collaboration with third-party companies that compensate Amarin for such supply. Amarin is not responsible for providing any generic company with drug product. The Company operates in one business segment.</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of Presentation</w:t>
      </w:r>
    </w:p>
    <w:p>
      <w:pPr>
        <w:spacing w:after="0" w:line="10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have been prepared by the Company in accordance with accounting principles generally accepted in the United States, or GAAP,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2021, or the Form 10-K, filed with the SEC. The balance sheet amounts in this report were derived from the Company’s audited consolidated financial statements included in the Form 10-K.</w:t>
      </w:r>
    </w:p>
    <w:p>
      <w:pPr>
        <w:spacing w:after="0" w:line="73"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months ended March 31, 2022 are not necessarily indicative of the results for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92"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ongoing global pandemic, COVID-19.</w:t>
      </w:r>
    </w:p>
    <w:p>
      <w:pPr>
        <w:spacing w:after="0" w:line="69" w:lineRule="exact"/>
        <w:rPr>
          <w:sz w:val="20"/>
          <w:szCs w:val="20"/>
          <w:color w:val="auto"/>
        </w:rPr>
      </w:pPr>
    </w:p>
    <w:p>
      <w:pPr>
        <w:ind w:right="440"/>
        <w:spacing w:after="0" w:line="250" w:lineRule="auto"/>
        <w:rPr>
          <w:sz w:val="20"/>
          <w:szCs w:val="20"/>
          <w:color w:val="auto"/>
        </w:rPr>
      </w:pPr>
      <w:r>
        <w:rPr>
          <w:rFonts w:ascii="Times New Roman" w:cs="Times New Roman" w:eastAsia="Times New Roman" w:hAnsi="Times New Roman"/>
          <w:sz w:val="18"/>
          <w:szCs w:val="18"/>
          <w:color w:val="auto"/>
        </w:rPr>
        <w:t>At March 31, 2022, the Company had Total assets of $973.7 million, of which $389.3 million consisted of cash and liquid short-term and long-term investments. More specifically, the Company had Current assets of $772.6 million, including Cash and cash equivalents of $219.2 million, Short-term investments of $143.4 million, Accounts receivable, net, of $110.2 million and Inventory of $267.8 million. In addition, as of March 31, 2022, the Company had Long-term investments of $26.7 million and Long-term inventory of $141.1 million. As of March 31, 2022, the Company had no debt outstanding.</w:t>
      </w:r>
    </w:p>
    <w:p>
      <w:pPr>
        <w:spacing w:after="0" w:line="28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 Recognition</w:t>
      </w:r>
    </w:p>
    <w:p>
      <w:pPr>
        <w:spacing w:after="0" w:line="11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 xml:space="preserve">In accordance with Accounting Standards Codification, or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Topic 606, the Company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8—Revenue Recognition.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 and Restricted Cash</w:t>
      </w:r>
    </w:p>
    <w:p>
      <w:pPr>
        <w:spacing w:after="0" w:line="12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Cash and cash equivalents consist of cash, deposits with banks and short-term highly liquid money market instruments with original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impact of accounts receivable reserves on the gross trade accounts receivable balances as of March 31, 2022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1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trade accounts receivable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217,821</w:t>
            </w: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262,948</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Trade allowances</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(93,044 )</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(86,636 )</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Chargebacks</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(13,598 )</w:t>
            </w:r>
          </w:p>
        </w:tc>
        <w:tc>
          <w:tcPr>
            <w:tcW w:w="4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(11,714 )</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(945 )</w:t>
            </w:r>
          </w:p>
        </w:tc>
        <w:tc>
          <w:tcPr>
            <w:tcW w:w="4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(945 )</w:t>
            </w:r>
          </w:p>
        </w:tc>
      </w:tr>
      <w:tr>
        <w:trPr>
          <w:trHeight w:val="249"/>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110,234</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Inventory</w:t>
      </w:r>
    </w:p>
    <w:p>
      <w:pPr>
        <w:spacing w:after="0" w:line="10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The Company classify inventory as long-term inventory when consumption of the inventory is expected beyond the normal operating cycle.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10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6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 as applicable.</w:t>
      </w:r>
    </w:p>
    <w:p>
      <w:pPr>
        <w:spacing w:after="0" w:line="69"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61"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8"/>
          <w:szCs w:val="18"/>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9" w:name="page10"/>
    <w:bookmarkEnd w:id="9"/>
    <w:p>
      <w:pPr>
        <w:spacing w:after="0" w:line="250" w:lineRule="auto"/>
        <w:rPr>
          <w:sz w:val="20"/>
          <w:szCs w:val="20"/>
          <w:color w:val="auto"/>
        </w:rPr>
      </w:pPr>
      <w:r>
        <w:rPr>
          <w:rFonts w:ascii="Times New Roman" w:cs="Times New Roman" w:eastAsia="Times New Roman" w:hAnsi="Times New Roman"/>
          <w:sz w:val="18"/>
          <w:szCs w:val="18"/>
          <w:color w:val="auto"/>
        </w:rPr>
        <w:t>The Company’s and its subsidiaries’ income tax returns are periodically examined by various tax authorities, including the Internal Revenue Service, or IRS, and states. The Company is currently under audit by the IRS for the Company’s 2018 U.S. income tax return and by the New Jersey Department of Treasury for the years 2012 to 2015. Although the outcome of tax audits is always uncertain and could result in significant cash tax payments, the Company does not believe the outcome of these audits will have a material adverse effect on its consolidated financial position or results of operations.</w:t>
      </w: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Loss per Share</w:t>
      </w:r>
    </w:p>
    <w:p>
      <w:pPr>
        <w:spacing w:after="0" w:line="10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from the exercise of stock options and vesting of restricted stock units calculated using the treasury stock method and the issuance of contingently issuable shares related to the Company's Laxdale share repurchase agreement. In periods with reported net operating losses, all stock options, restricted stock units and contingently issuable shares outstanding are deemed anti-dilutive such that basic and diluted net loss per share are equal.</w:t>
      </w:r>
    </w:p>
    <w:p>
      <w:pPr>
        <w:spacing w:after="0" w:line="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calculation of net loss and the number of shares used to compute basic and diluted net loss per share for the three months ended March 31, 2022 and 2021 are as follows:</w:t>
      </w:r>
    </w:p>
    <w:p>
      <w:pPr>
        <w:spacing w:after="0" w:line="6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40" w:type="dxa"/>
            <w:vAlign w:val="bottom"/>
            <w:gridSpan w:val="5"/>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69"/>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Borders>
              <w:top w:val="single" w:sz="8" w:color="auto"/>
              <w:bottom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outstanding—basic and diluted</w:t>
            </w:r>
          </w:p>
        </w:tc>
        <w:tc>
          <w:tcPr>
            <w:tcW w:w="3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397,805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394,638</w:t>
            </w: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share—basic and diluted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(0.08 )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306"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the following potentially dilutive securities were not included in the computation of net loss per share because the effect would be anti-dilutive or because performance criteria were not yet met for awards contingent upon such measures:</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310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0" w:type="dxa"/>
            <w:vAlign w:val="bottom"/>
          </w:tcPr>
          <w:p>
            <w:pPr>
              <w:spacing w:after="0"/>
              <w:rPr>
                <w:sz w:val="16"/>
                <w:szCs w:val="16"/>
                <w:color w:val="auto"/>
              </w:rPr>
            </w:pPr>
          </w:p>
        </w:tc>
      </w:tr>
      <w:tr>
        <w:trPr>
          <w:trHeight w:val="169"/>
        </w:trPr>
        <w:tc>
          <w:tcPr>
            <w:tcW w:w="47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4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19,639</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6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6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Laxdale milestone shares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Credit Risk</w:t>
      </w:r>
    </w:p>
    <w:p>
      <w:pPr>
        <w:spacing w:after="0" w:line="9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55"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21%, 39%, and 31%, respectively, of gross product sales for the three months ended March 31, 2022, and represented 29%, 37%, and 28%, respectively, of the gross accounts receivable balance as of March 31, 2022. Customers A, B, and C accounted for 27%, 35%, and 31%, respectively, of gross product sales for the three months ended March 31, 2021 and represented 35%, 36%, and 24%, respectively, of the gross accounts receivable balance as of March 31, 2021. The Company has not experienced any significant write-offs of its accounts receivable.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 of Suppliers</w:t>
      </w:r>
    </w:p>
    <w:p>
      <w:pPr>
        <w:spacing w:after="0" w:line="10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6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w:t>
      </w: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0" w:name="page11"/>
    <w:bookmarkEnd w:id="10"/>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61"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The Company currently has manufacturing agreements with multiple independent API manufacturers and several independent API encapsulators and packagers for VASCEPA manufacturing. Each of these API manufacturers, encapsulators and packagers is U.S. FDA-approved and certain of these API manufacturers, encapsulators and packagers are also approved by the European Regulatory Authorities for manufacturing VAZKEPA in Europe. These suppliers are also used by the Company to source supply to meet the clinical trial and commercial demands of its partners in other countries. Each of these suppliers has qualified and validated its manufacturing processes. There can be no guarantee that these or other suppliers with which the Company may contract in the future to manufacture VASCEPA or VASCEPA API will remain qualified to do so to its specifications or that these and any future suppliers will have the manufacturing capacity to meet potential global demand for VASCEPA.</w:t>
      </w:r>
    </w:p>
    <w:p>
      <w:pPr>
        <w:spacing w:after="0" w:line="1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61" w:lineRule="exact"/>
        <w:rPr>
          <w:sz w:val="20"/>
          <w:szCs w:val="20"/>
          <w:color w:val="auto"/>
        </w:rPr>
      </w:pPr>
    </w:p>
    <w:p>
      <w:pPr>
        <w:ind w:right="880"/>
        <w:spacing w:after="0" w:line="266"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 that the Company has the ability to access at the measurement date.</w:t>
      </w:r>
    </w:p>
    <w:p>
      <w:pPr>
        <w:spacing w:after="0" w:line="6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3—Unobservable inputs that reflect the Company’s estimates of the assumptions that market participants would use in pricing the asset or liability.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develops these inputs based on the best information available, including its own data.</w:t>
      </w:r>
    </w:p>
    <w:p>
      <w:pPr>
        <w:spacing w:after="0" w:line="8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estimated fair value of the Company’s assets and liabilities as of March 31, 2022 and December 31, 2021 and indicate the fair value hierarchy of the valuation techniques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Pr>
          <w:p>
            <w:pPr>
              <w:spacing w:after="0"/>
              <w:rPr>
                <w:sz w:val="14"/>
                <w:szCs w:val="14"/>
                <w:color w:val="auto"/>
              </w:rPr>
            </w:pPr>
          </w:p>
        </w:tc>
      </w:tr>
      <w:tr>
        <w:trPr>
          <w:trHeight w:val="209"/>
        </w:trPr>
        <w:tc>
          <w:tcPr>
            <w:tcW w:w="58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129,031</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129,031</w:t>
            </w: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73,652</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73,652</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314,574</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136,250</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178,324</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60" w:type="dxa"/>
            <w:vAlign w:val="bottom"/>
          </w:tcPr>
          <w:p>
            <w:pPr>
              <w:spacing w:after="0"/>
              <w:rPr>
                <w:sz w:val="14"/>
                <w:szCs w:val="14"/>
                <w:color w:val="auto"/>
              </w:rPr>
            </w:pPr>
          </w:p>
        </w:tc>
      </w:tr>
      <w:tr>
        <w:trPr>
          <w:trHeight w:val="210"/>
        </w:trPr>
        <w:tc>
          <w:tcPr>
            <w:tcW w:w="58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95,063</w:t>
            </w: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 Shares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23,219</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Repo Securities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Backed Securities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Deposit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2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374,911</w:t>
            </w:r>
          </w:p>
        </w:tc>
        <w:tc>
          <w:tcPr>
            <w:tcW w:w="220" w:type="dxa"/>
            <w:vAlign w:val="bottom"/>
          </w:tcPr>
          <w:p>
            <w:pPr>
              <w:spacing w:after="0"/>
              <w:rPr>
                <w:sz w:val="18"/>
                <w:szCs w:val="18"/>
                <w:color w:val="auto"/>
              </w:rPr>
            </w:pPr>
          </w:p>
        </w:tc>
        <w:tc>
          <w:tcPr>
            <w:tcW w:w="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118,282</w:t>
            </w:r>
          </w:p>
        </w:tc>
        <w:tc>
          <w:tcPr>
            <w:tcW w:w="24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256,629</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1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-2287905</wp:posOffset>
            </wp:positionV>
            <wp:extent cx="431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-2287905</wp:posOffset>
            </wp:positionV>
            <wp:extent cx="431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-2287905</wp:posOffset>
            </wp:positionV>
            <wp:extent cx="342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-2287905</wp:posOffset>
            </wp:positionV>
            <wp:extent cx="342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-504825</wp:posOffset>
            </wp:positionV>
            <wp:extent cx="431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-504825</wp:posOffset>
            </wp:positionV>
            <wp:extent cx="431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-504825</wp:posOffset>
            </wp:positionV>
            <wp:extent cx="342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-504825</wp:posOffset>
            </wp:positionV>
            <wp:extent cx="342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jc w:val="both"/>
        <w:spacing w:after="0" w:line="250" w:lineRule="auto"/>
        <w:rPr>
          <w:sz w:val="20"/>
          <w:szCs w:val="20"/>
          <w:color w:val="auto"/>
        </w:rPr>
      </w:pPr>
      <w:r>
        <w:rPr>
          <w:rFonts w:ascii="Times New Roman" w:cs="Times New Roman" w:eastAsia="Times New Roman" w:hAnsi="Times New Roman"/>
          <w:sz w:val="18"/>
          <w:szCs w:val="18"/>
          <w:color w:val="auto"/>
        </w:rPr>
        <w:t>The carrying amount of the Company’s cash and cash equivalents approximates fair value because of their short-term nature. The cash and cash equivalents consist of cash, deposits with banks and short-term highly liquid money market instruments with remaining maturities at the date of the purchase of 90 days or less.</w:t>
      </w:r>
    </w:p>
    <w:p>
      <w:pPr>
        <w:spacing w:after="0" w:line="8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original maturities greater than 90 days and maturities less than 12 months are included in short-term investments on its condensed consolidated balance sheet. Those with remaining maturities in excess of 12 months are included in long-term investments on its condensed consolidated balance sheet.</w:t>
      </w:r>
    </w:p>
    <w:p>
      <w:pPr>
        <w:spacing w:after="0" w:line="69"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The unrealized gain or loss for the three months ended March 31, 2022 and 2021 was a loss of $0.9 million and a gain of $0.2 million, respectively. Interest on investments is reported in interest income.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accounts payable and accrued liabilities approximate fair value because of their short-term nature.</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 and Geographical Information</w:t>
      </w:r>
    </w:p>
    <w:p>
      <w:pPr>
        <w:spacing w:after="0" w:line="12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Restructuring</w:t>
      </w:r>
    </w:p>
    <w:p>
      <w:pPr>
        <w:spacing w:after="0" w:line="12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On September 22, 2021, the Company announced a Go-to-Market strategy for VASCEPA, or the Plan, which aims to expand healthcare professional engagement through a new omnichannel platform, enhance managed care access and optimize VASCEPA prescriptions for cardiovascular risk reduction. As part of the process, the Company completed a reduction of its field force to approximately 300 sales representatives. The Company recognized approximately $13.7 million in charges related to the reduction in force, substantially all of which are cash expenditures for one-time termination benefits and associated costs. No expenses were recognized within Restructuring expense in the condensed consolidated statement of operations during the three ended March 31, 2022 and 2021.</w:t>
      </w:r>
    </w:p>
    <w:p>
      <w:pPr>
        <w:spacing w:after="0" w:line="87"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following table shows the change in restructuring liability, associated with the Plan, which is included within accrued expenses and other current liabilities: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40" w:type="dxa"/>
            <w:vAlign w:val="bottom"/>
          </w:tcPr>
          <w:p>
            <w:pPr>
              <w:spacing w:after="0"/>
              <w:rPr>
                <w:sz w:val="16"/>
                <w:szCs w:val="16"/>
                <w:color w:val="auto"/>
              </w:rPr>
            </w:pPr>
          </w:p>
        </w:tc>
        <w:tc>
          <w:tcPr>
            <w:tcW w:w="3580" w:type="dxa"/>
            <w:vAlign w:val="bottom"/>
            <w:gridSpan w:val="2"/>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Restructuring Liability</w:t>
            </w: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tcPr>
          <w:p>
            <w:pPr>
              <w:spacing w:after="0"/>
              <w:rPr>
                <w:sz w:val="18"/>
                <w:szCs w:val="18"/>
                <w:color w:val="auto"/>
              </w:rPr>
            </w:pPr>
          </w:p>
        </w:tc>
        <w:tc>
          <w:tcPr>
            <w:tcW w:w="3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(948 )</w:t>
            </w: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3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Accounting Pronouncements</w:t>
      </w:r>
    </w:p>
    <w:p>
      <w:pPr>
        <w:spacing w:after="0" w:line="9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evaluated all recently issued accounting pronouncements through the date of the financial statements and found that no recently issued accounting pronouncements, when adopted, will have a material impact on the Company’s condensed consolidated financial position, results of operations, and cash flows, or do not apply to the Company’s operations.</w:t>
      </w:r>
    </w:p>
    <w:p>
      <w:pPr>
        <w:spacing w:after="0" w:line="2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Intangible Asset</w:t>
      </w:r>
    </w:p>
    <w:p>
      <w:pPr>
        <w:spacing w:after="0" w:line="10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Intangible asset consists of milestone payments to the former shareholders of Laxdale related to the 2004 acquisition of the rights to VASCEPA, which is the result of VASCEPA receiving marketing approval in the U.S. for the first indication in 2012, the expanded label in 2019 and marketing approval in Europe in 2021. Upon approval of the marketing authorization application for VAZKEPA in March 2021, a milestone for £7.5 million was achieved, which resulted in the Intangible asset increasing by $12.0 million. Refer to Note 5 – Commitments and Contingencies for further details. In accordance with ASC 350, the Company evaluates the remaining useful life of the intangible asset at each reporting period to determine if any events or circumstances warrant a revision to the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 w:name="page13"/>
    <w:bookmarkEnd w:id="12"/>
    <w:p>
      <w:pPr>
        <w:ind w:right="180"/>
        <w:spacing w:after="0" w:line="282" w:lineRule="auto"/>
        <w:rPr>
          <w:sz w:val="20"/>
          <w:szCs w:val="20"/>
          <w:color w:val="auto"/>
        </w:rPr>
      </w:pPr>
      <w:r>
        <w:rPr>
          <w:rFonts w:ascii="Times New Roman" w:cs="Times New Roman" w:eastAsia="Times New Roman" w:hAnsi="Times New Roman"/>
          <w:sz w:val="18"/>
          <w:szCs w:val="18"/>
          <w:color w:val="auto"/>
        </w:rPr>
        <w:t>remaining period of amortization. As of March 31, 2022, the intangible asset has an estimated weighted-average remaining life of 9.0 years. The carrying value as of March 31, 2022 and December 31, 2021 is as follows:</w:t>
      </w:r>
    </w:p>
    <w:p>
      <w:pPr>
        <w:spacing w:after="0" w:line="14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0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0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rights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24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32,081</w:t>
            </w:r>
          </w:p>
        </w:tc>
        <w:tc>
          <w:tcPr>
            <w:tcW w:w="100" w:type="dxa"/>
            <w:vAlign w:val="bottom"/>
            <w:shd w:val="clear" w:color="auto" w:fill="CFF0FC"/>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(9,170 )</w:t>
            </w:r>
          </w:p>
        </w:tc>
        <w:tc>
          <w:tcPr>
            <w:tcW w:w="4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(8,534 )</w:t>
            </w:r>
          </w:p>
        </w:tc>
      </w:tr>
      <w:tr>
        <w:trPr>
          <w:trHeight w:val="250"/>
        </w:trPr>
        <w:tc>
          <w:tcPr>
            <w:tcW w:w="5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22,911</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03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(4)</w:t>
        <w:tab/>
        <w:t>Inventory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capitalizes its purchases of saleable inventory of VASCEPA from suppliers that have been qualified by the U.S. FDA. Inventories as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December 31, 2021 consist of the following:</w:t>
      </w:r>
    </w:p>
    <w:p>
      <w:pPr>
        <w:spacing w:after="0" w:line="199"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80" w:type="dxa"/>
            <w:vAlign w:val="bottom"/>
          </w:tcPr>
          <w:p>
            <w:pPr>
              <w:spacing w:after="0"/>
              <w:rPr>
                <w:sz w:val="16"/>
                <w:szCs w:val="16"/>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123,318</w:t>
            </w: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107,695</w:t>
            </w:r>
          </w:p>
        </w:tc>
        <w:tc>
          <w:tcPr>
            <w:tcW w:w="8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56,217</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41,965</w:t>
            </w:r>
          </w:p>
        </w:tc>
        <w:tc>
          <w:tcPr>
            <w:tcW w:w="80" w:type="dxa"/>
            <w:vAlign w:val="bottom"/>
          </w:tcPr>
          <w:p>
            <w:pPr>
              <w:spacing w:after="0"/>
              <w:rPr>
                <w:sz w:val="18"/>
                <w:szCs w:val="18"/>
                <w:color w:val="auto"/>
              </w:rPr>
            </w:pPr>
          </w:p>
        </w:tc>
      </w:tr>
      <w:tr>
        <w:trPr>
          <w:trHeight w:val="21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229,335</w:t>
            </w: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206,270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408,870</w:t>
            </w:r>
          </w:p>
        </w:tc>
        <w:tc>
          <w:tcPr>
            <w:tcW w:w="580" w:type="dxa"/>
            <w:vAlign w:val="bottom"/>
            <w:gridSpan w:val="2"/>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355,930</w:t>
            </w:r>
          </w:p>
        </w:tc>
        <w:tc>
          <w:tcPr>
            <w:tcW w:w="8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-170815</wp:posOffset>
            </wp:positionV>
            <wp:extent cx="514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2022 and December 31, 2021, the Company had $141.1 million and $121.3 million of Long-term inventory, respectively, as consumption is expected beyond the Company's normal operating cycle.</w:t>
      </w:r>
    </w:p>
    <w:p>
      <w:pPr>
        <w:spacing w:after="0" w:line="2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Commitments and Contingencies</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U.S. ANDAs</w:t>
      </w:r>
    </w:p>
    <w:p>
      <w:pPr>
        <w:spacing w:after="0" w:line="10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On March 30, 2020, the Nevada Court, ruled in favor of two generics companies, Hikma and Dr. Reddy’s, in Amarin’s patent litigation related to its ANDAs that sought U.S. FDA approval for sale of generic versions of VASCEPA for the original indication of VASCEPA as an adjunct to diet to reduce TG levels in adult patients with severe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hypertriglyceridemia. On September 3, 2020, the U.S. Court of Appeals for the Federal Circuit, or the Federal Circuit, upheld the March ruling by the Nevada Court in favor of the two generics companies. On October 2, 2020, the Company filed a combined petition for panel rehearing or rehearing en banc. On November 4, 2020, the Company’s rehearing and en banc petitions were denied. On February 11, 2021, Amarin filed a petition for a writ of certiorari with the United States Supreme Court to ask the Court to hear the Company’s appeal in this litigation, which was denied on June 18, 2021.</w:t>
      </w:r>
    </w:p>
    <w:p>
      <w:pPr>
        <w:spacing w:after="0" w:line="7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May 22, 2020 and August 10, 2020, Hikma and Dr. Reddy’s, respectively, received U.S. FDA approval to market its generic versions of VASCEPA. During the ANDA litigation, the Company reached agreements with Teva and Apotex, under which they received royalty-free license agreements to promote a generic version of icosapent ethyl in the U.S. under certain circumstances, one of which circumstances was achieved when the Federal Circuit upheld the ruling by the Nevada Court and Hikma launched its generic version of icosapent ethyl. On September 11, 2020, and June 30, 2021, Teva and Apotex, respectively, received U.S. FDA approval to market their respective generic versions of icosapent ethyl. In November 2020, Hikma priced and launched its generic version of icosapent ethyl. In June 2021, Dr. Reddy’s announced the price of its generic version of icosapent ethyl and launched its generic version of icosapent ethyl. In January 2022, Apotex announced the price of its generic version of icosapent ethyl and launched its generic version of icosapent ethyl. The generic versions of icosapent ethyl as approved by the U.S. FDA for Hikma, Dr. Reddy’s, and Apotex pertains to the MARINE indication of VASCEPA, lowering of TG levels in patients with very high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 As of March 31, 2022, Teva had not announced pricing or launched a generic version of icosapent ethyl. Current generic competition, together with past and on-going litigation related to such generic versions of icosapent ethyl are applicable to the U.S. only. The Company did not seek, nor is VAZKEPA approved in Europe for lowering of TG levels in patients with very high TG (</w:t>
      </w:r>
      <w:r>
        <w:rPr>
          <w:rFonts w:ascii="Times New Roman" w:cs="Times New Roman" w:eastAsia="Times New Roman" w:hAnsi="Times New Roman"/>
          <w:sz w:val="18"/>
          <w:szCs w:val="18"/>
          <w:u w:val="single" w:color="auto"/>
          <w:color w:val="auto"/>
        </w:rPr>
        <w:t>&gt;</w:t>
      </w:r>
      <w:r>
        <w:rPr>
          <w:rFonts w:ascii="Times New Roman" w:cs="Times New Roman" w:eastAsia="Times New Roman" w:hAnsi="Times New Roman"/>
          <w:sz w:val="18"/>
          <w:szCs w:val="18"/>
          <w:color w:val="auto"/>
        </w:rPr>
        <w:t>500 mg/dL).</w:t>
      </w:r>
    </w:p>
    <w:p>
      <w:pPr>
        <w:spacing w:after="0" w:line="7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long-term financial commitment, including to manufacturing infrastructure such as dedicated facilities, to ensure sufficient capacity is available when needed. The Company has invested over a decade of resources and expenses to develop with individual members of its third-party, active pharmaceutical ingredient supply chain the technical knowhow, manufacturing processes and related regulatory approvals that have helped enable the Company’s suppliers to supply the Company’s need for clinical and commercial supply globally. Based on statements made by generic competitors, the active pharmaceutical ingredient of VASCEPA needed to manufacture their generic versions of VASCEPA is in limited supply to them. The Company believes all icosapent ethyl generic manufacturers are similarly situated. The Company believes the limited supply of generic icosapent ethyl may be due to such companies’ lack of adequate planning, investment, knowhow and expertise regarding this fragile active ingredient.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3" w:name="page14"/>
    <w:bookmarkEnd w:id="13"/>
    <w:p>
      <w:pPr>
        <w:ind w:right="80"/>
        <w:spacing w:after="0" w:line="250" w:lineRule="auto"/>
        <w:rPr>
          <w:sz w:val="20"/>
          <w:szCs w:val="20"/>
          <w:color w:val="auto"/>
        </w:rPr>
      </w:pPr>
      <w:r>
        <w:rPr>
          <w:rFonts w:ascii="Times New Roman" w:cs="Times New Roman" w:eastAsia="Times New Roman" w:hAnsi="Times New Roman"/>
          <w:sz w:val="18"/>
          <w:szCs w:val="18"/>
          <w:color w:val="auto"/>
        </w:rPr>
        <w:t>In November 2020, the Company filed a patent infringement lawsuit against Hikma in the United States District Court in Delaware. The complaint alleges that Hikma induced the infringement of VASCEPA-related CV risk reduction U.S. Patent Nos. 9,700,537 (Composition for preventing the occurrence of cardiovascular event in multiple risk patient), 8,642,077 (Stable pharmaceutical composition and methods of using same), and 10,568,861 (Methods of reducing the risk of a cardiovascular event in a subject at risk for cardiovascular disease) by making, selling, offering to sell and importing generic icosapent ethyl capsules in or into the United States.</w:t>
      </w:r>
    </w:p>
    <w:p>
      <w:pPr>
        <w:spacing w:after="0" w:line="69"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In January 2021, the Company expanded the scope of the VASCEPA CV risk reduction patent infringement lawsuit against Hikma to include a health care insurance provider in the United States, Health Net. Through insurance coverage and economic incentives the Company alleges that Health Net has actively induced pharmacies to dispense, and patients to use, Hikma generic icosapent ethyl capsules in infringement of the related patents. In the complaint, the Company is seeking remedies including a permanent injunction against the unlawful inducement by Hikma and Health Net of infringing uses of the Hikma generic product, i.e., uses to reduce cardiovascular risk as detailed in the patents, and monetary damages in an amount sufficient to compensate the Company for such infringement. On January 4, 2022, the district court hearing the case granted Hikma's motion to dismiss. The Company intends to appeal the decision of the district court when permitted and also intends to continue to vigorously pursue its ongoing litigation with Health Net, but cannot predict the outcome or the impact on its business. The Company will continue to consider its legal options against parties similarly situated to Health Net and Hikma and acting in concert with either by making or selling any drug product or component thereof covered by the subject patents, or inducing others to do the same. The Company intends to vigorously enforce its intellectual property rights relating to VASCEPA, but cannot predict the outcome of these lawsuits or any subsequently filed lawsuits.</w:t>
      </w:r>
    </w:p>
    <w:p>
      <w:pPr>
        <w:spacing w:after="0" w:line="80"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Dr. Reddy’s filed a complaint against the Company in the United States District Court for the District of New Jersey, Civil action No.21-cv-10309, alleging various antitrust violations stemming from alleged anticompetitive practices related to the supply of active pharmaceutical ingredient of VASCEPA. The complaint also includes a related state law tortious interference claim. Damages sought include recovery for alleged economic harm to Dr. Reddy’s, payors and consumers, treble damages and other costs and fees. Injunctive relief against the alleged violative activities is also being sought by Dr. Reddy’s. Amarin believes it has valid defenses and will vigorously defend against the claims.</w:t>
      </w:r>
    </w:p>
    <w:p>
      <w:pPr>
        <w:spacing w:after="0" w:line="7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March 2021, Amarin received a civil investigative demand, or CID, from the U.S. Federal Trade Commission and a subpoena from the New York Attorney General with respect to information on the same antitrust topic covered in the Dr. Reddy's litigation. Similarly, in June 2020, the Company received a CID from the U.S. Department of Justice, or the DOJ, informing Amarin that the DOJ is investigating whether aspects of its promotional speaker programs and copayment waiver program during the period from January 1, 2015 to the present violated the U.S. Anti-Kickback Statute and the U.S. Civil False Claims Act, in relation to the sale and marketing of VASCEPA by the Company and its previous co-marketing partner, Kowa Pharmaceuticals America, Inc. The Company believes such contact from the governments may have been prompted by a generic competitor. The inquiries require the Company to produce documents and answer written questions, or interrogatories, relevant to specified time periods. Amarin is cooperating with the government agencies and cannot predict when these investigations will be resolved, the outcome of the investigations or their potential impact on the Company’s business.</w:t>
      </w:r>
    </w:p>
    <w:p>
      <w:pPr>
        <w:spacing w:after="0" w:line="7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As has been a practice of class action legal counsel following governmental investigations and litigation by generics companies, Amarin is also named as a defendant in five antitrust class action lawsuits in the District Court for the District of New Jersey. Amarin is a defendant in a class action lawsuit filed by Uniformed Fire Officers Association Family Protection Plan Local 854 and the Uniformed Fire Officers Association for Retired Fire Officers Family Protection Plan, on behalf of indirect purchasers, in the District Court for the District of New Jersey, Civil Action No. 21-12061, alleging Amarin and its co-defendant suppliers violated state and federal antitrust laws by monopolizing and engaging in a conspiracy to restrain trade in the icosapent ethyl drug and API markets. Amarin is a defendant in a class action lawsuit filed by The International Union of Operating Engineers Locals 137, 137A, 137B, 137C, 137R, on behalf of indirect purchasers, in the District Court for the District of New Jersey, Civil Action No. 21-12416, alleging Amarin violated state and federal antitrust laws by monopolizing and engaging in a conspiracy to restrain trade in the icosapent ethyl drug and API markets. Amarin is a defendant in a class action lawsuit filed by KPH Healthcare Services, Inc., on behalf of direct purchasers, in the District Court for the District of New Jersey, Civil Action No. 21-12747, alleging Amarin and its co-defendant suppliers violated state and federal antitrust laws by monopolizing and engaging in a conspiracy to restrain trade in the icosapent ethyl drug and API markets. Amarin is a defendant in a class action lawsuit filed by Local 464A United Food and Commercial Workers Union Welfare Service Benefit Fund, on behalf of direct purchasers, in the District Court for the District of New Jersey, Civil Action No. 21-13009. Amarin is a defendant in a class action lawsuit filed by Teamsters Health &amp; Welfare Fund of Philadelphia and Vicinity, on behalf of indirect purchasers, in the District Court for the District of New Jersey, Civil Action No. 21-13406, alleging Amarin violated state and federal antitrust laws by monopolizing and engaging in a conspiracy to restrain trade in the icosapent ethyl drug and API markets.</w:t>
      </w:r>
    </w:p>
    <w:p>
      <w:pPr>
        <w:spacing w:after="0" w:line="95" w:lineRule="exact"/>
        <w:rPr>
          <w:sz w:val="20"/>
          <w:szCs w:val="20"/>
          <w:color w:val="auto"/>
        </w:rPr>
      </w:pPr>
    </w:p>
    <w:p>
      <w:pPr>
        <w:jc w:val="both"/>
        <w:ind w:right="240"/>
        <w:spacing w:after="0" w:line="250" w:lineRule="auto"/>
        <w:rPr>
          <w:sz w:val="20"/>
          <w:szCs w:val="20"/>
          <w:color w:val="auto"/>
        </w:rPr>
      </w:pPr>
      <w:r>
        <w:rPr>
          <w:rFonts w:ascii="Times New Roman" w:cs="Times New Roman" w:eastAsia="Times New Roman" w:hAnsi="Times New Roman"/>
          <w:sz w:val="18"/>
          <w:szCs w:val="18"/>
          <w:color w:val="auto"/>
        </w:rPr>
        <w:t>Such antitrust litigation and investigations can be lengthy, costly and could materially affect and disrupt the Company’s business. The Company cannot predict when these matters will be resolved, their outcome or their potential impact on the Company’s business. If a government determines that Amarin has violated antitrust law, the Company could be subject to significant civil fines and penalties.</w:t>
      </w:r>
    </w:p>
    <w:p>
      <w:pPr>
        <w:spacing w:after="0" w:line="82"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The Company intends to vigorously enforce its intellectual property rights relating to VASCEPA, but cannot predict the outcome of these lawsuits or any subsequently filed lawsuits.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 – Other</w:t>
      </w:r>
    </w:p>
    <w:p>
      <w:pPr>
        <w:spacing w:after="0" w:line="11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February 22, 2019, a purported investor in the Company’s publicly traded securities filed a putative class action lawsuit against Amarin Corporation plc, the chief executive officer and chief scientific officer in the U.S. District Court for the District of New Jersey, Debendra Sharma v. Amarin Corporation plc, John F. Thero and Steven Ketchum, No. 2:19-cv-06601 (D.N.J. Feb. 22, 2019). On March 12, 2019, another purported investor filed a substantially similar lawsuit captioned Richard Borghesi v. Amarin Corporation plc, John F. Thero and Steven Ketchum, No. 3:19-cv-08423 (D.N.J. March 12, 2019). On May 14, 2019 the court consolidated the cases under the caption In re Amarin Corporation PLC Securities Litigation, No. 3:19-cv-06601 and appointed two other purported shareholders, Dan Kotecki and the Gaetano Cecchini Living Trust, as Co-Lead Plaintiffs. Co-Lead Plaintiffs filed a consolidated amended complaint, or Amended Complaint, on July 22, 2019 that added as defendants the Company’s former chief medical officer and the Company’s former chief executive officer. The Amended Complaint alleged that from September 24, 2018 to November 9, 2018 the Company misled investors by releasing topline results for the REDUCE-IT study without disclosing data on biomarker increases in the placebo group as compared with baseline measurement. The Amended Complaint alleged that these data suggest that the mineral oil placebo used in the REDUCE-IT study may have interfered with statin absorption in the placebo group, which they alleged may have increased adverse outcomes in the placebo group. The Amended Complaint further alleged that these purported misrepresentations and omissions inflated the share price. Based on these allegations, the suit asserted claims under the Securities Exchange Act of 1934 and sought unspecified monetary damages and attorneys’ fees and costs.</w:t>
      </w:r>
    </w:p>
    <w:p>
      <w:pPr>
        <w:spacing w:after="0" w:line="8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 xml:space="preserve">On March 29, 2021, the court granted the Company’s motion to dismiss this litigation for failure to state a valid claim. The litigation was dismissed without prejudice, giving the plaintiffs the right to file an amended complaint. Plaintiffs in this action did not file an amended complaint within the permitted filing deadline. Plaintiffs filed a notice of appeal of the motion to dismiss ruling, which has been denominated </w:t>
      </w:r>
      <w:r>
        <w:rPr>
          <w:rFonts w:ascii="Times New Roman" w:cs="Times New Roman" w:eastAsia="Times New Roman" w:hAnsi="Times New Roman"/>
          <w:sz w:val="18"/>
          <w:szCs w:val="18"/>
          <w:i w:val="1"/>
          <w:iCs w:val="1"/>
          <w:color w:val="auto"/>
        </w:rPr>
        <w:t>In re: Amarin Corp. PLC</w:t>
      </w:r>
      <w:r>
        <w:rPr>
          <w:rFonts w:ascii="Times New Roman" w:cs="Times New Roman" w:eastAsia="Times New Roman" w:hAnsi="Times New Roman"/>
          <w:sz w:val="18"/>
          <w:szCs w:val="18"/>
          <w:color w:val="auto"/>
        </w:rPr>
        <w:t>, case number 21-2071 (3d Cir.). The Company intends to vigorously defend against any future complaint in this matter. The Company is unable to reasonably estimate the loss exposure, if any, associated with these claims. The Company has insurance coverage that is anticipated to cover any significant loss exposure that may arise from this action after payment by the Company of the associated deductible obligation.</w:t>
      </w:r>
    </w:p>
    <w:p>
      <w:pPr>
        <w:spacing w:after="0" w:line="87"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On October 21, 2021, a purported investor in the Company's publicly traded securities filed a putative class action lawsuit against Amarin Corporation plc, the former chief executive officer and the chief financial officer in the U.S. District Court for the District of New Jersey, Vincent Dang v. Amarin Corporation plc, John F. Thero and Michael W. Kalb, No. 1:21-cv-19212 (D.N.J. Oct. 21, 2021) and a subsequent case, Dorfman v. Amarin Corporation plc, et al., No. 3:21-cv-19911 (D.N.J. filed Nov. 10, 2021), was filed in November 2021. In December 2021, several Amarin shareholders moved to consolidate the cases, or the Securities Litigation, and appoint a lead plaintiff and lead counsel pursuant to the Private Securities Litigation Reform Act. The complaints in these actions are nearly identical and allege that the Company misled investors by allegedly downplaying the risk associated with the ANDA litigation described above and the risk that certain of the Company's patents would be invalidated. Based on these allegations, plaintiff alleges that he purchased securities at an inflated share price and brings claims under the Securities and Exchange Act of 1934 seeking unspecified monetary damages and attorneys' fees and costs. The Company believes it has valid defenses and will vigorously defend against the claims but cannot predict the outcome. The Company is unable to reasonably estimate the loss exposure, if any, associated with these claims.</w:t>
      </w:r>
    </w:p>
    <w:p>
      <w:pPr>
        <w:spacing w:after="0" w:line="78"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On April 7, 2022, a purported investor in the Company's publicly traded securities filed a derivative lawsuit naming the same officer defendants from the Securities Litigation, the Officer Defendants, and also the members of the Company's board of directors, and the Company as nominal defendant in the U.S. District Court for the District of New Jersey, Gary Schader v. Amarin Corporation plc, John F. Thero, Michael W. Kalb, Lars G. Ekman, Jan Van Heek, Karim Mikhail, Patrick J. O'Sullivan, Per Wold-Olsen, Kristine Peterson, David Stack, and Joseph S. Zakrzewski, No. 3:22-cv-02017 (D.N.J. Apr. 7, 2022). The complaint alleges, like the Securities Litigation, that the defendants allegedly downplayed the risk associated with the ANDA litigation and the risk that certain of the Company's patents would be invalidated. Based on the allegations, plaintiffs allege that the directors breached their fiduciary duties and that the Officer Defendants were unjustly enriched, and plaintiffs seek contribution from the Officer Defendants for any liability they incur in the Securities Litigation and for which they are indemnified by the Company. The Company cannot predict the outcome and is unable to reasonably estimate the loss exposure, if any, associated with these claims.</w:t>
      </w:r>
    </w:p>
    <w:p>
      <w:pPr>
        <w:spacing w:after="0" w:line="9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above, in the ordinary course of business, the Company is from time to time involved in lawsuits, claims, investigations, proceedings, and threats of litigation relating to intellectual property, commercial arrangements and other matters.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and Supply Purchase Obligations</w:t>
      </w:r>
    </w:p>
    <w:p>
      <w:pPr>
        <w:spacing w:after="0" w:line="11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entered into long-term supply agreements with multiple API suppliers and encapsulators. The Company is relying on these suppliers to meet current and potential future global demand for its lead product. Certain supply agreements require annual minimum volume commitments by the Company and certain volume shortfalls may require payments for such shortfalls.</w:t>
      </w:r>
    </w:p>
    <w:p>
      <w:pPr>
        <w:spacing w:after="0" w:line="82" w:lineRule="exact"/>
        <w:rPr>
          <w:sz w:val="20"/>
          <w:szCs w:val="20"/>
          <w:color w:val="auto"/>
        </w:rPr>
      </w:pPr>
    </w:p>
    <w:p>
      <w:pPr>
        <w:jc w:val="both"/>
        <w:ind w:right="340"/>
        <w:spacing w:after="0" w:line="247" w:lineRule="auto"/>
        <w:rPr>
          <w:sz w:val="20"/>
          <w:szCs w:val="20"/>
          <w:color w:val="auto"/>
        </w:rPr>
      </w:pPr>
      <w:r>
        <w:rPr>
          <w:rFonts w:ascii="Times New Roman" w:cs="Times New Roman" w:eastAsia="Times New Roman" w:hAnsi="Times New Roman"/>
          <w:sz w:val="18"/>
          <w:szCs w:val="18"/>
          <w:color w:val="auto"/>
        </w:rPr>
        <w:t>These agreements include requirements for the suppliers to meet certain product specifications and qualify their materials and facilities with applicable regulatory authorities, including the U.S. FDA. The Company has incurred certain costs associated with the qualification of product produced by these suppliers.</w:t>
      </w: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1" w:right="359" w:bottom="1440" w:gutter="0" w:footer="0" w:header="0"/>
        </w:sectPr>
      </w:pPr>
    </w:p>
    <w:bookmarkStart w:id="15" w:name="page16"/>
    <w:bookmarkEnd w:id="15"/>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supply agreements, there is a total of approximately $49.3 million that is potentially payable over the term of such agreements based on minimum purchase obligations. The Company continues to meet its contractual purchase obligations.</w:t>
      </w:r>
    </w:p>
    <w:p>
      <w:pPr>
        <w:spacing w:after="0" w:line="4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March 26, 2021, the EC approved the marketing authorization application for VAZKEPA. Under the 2004 share repurchase agreement with Laxdale, upon receipt of pricing approval in Europe for the first indication for VASCEPA (or first indication of any product containing intellectual property acquired from Laxdale in 2004), the Company must make an aggregate stock or cash payment to the former shareholders of Laxdale (at the sole option of each of the sellers) of £7.5 million. The Company recorded a liability of $12.0 million in Accrued expenses and other current liabilities on the condensed consolidated balance sheet as of March 31, 2022.</w:t>
      </w:r>
    </w:p>
    <w:p>
      <w:pPr>
        <w:spacing w:after="0" w:line="8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Also under the Laxdale agreement, upon receipt of a marketing approval in Europe for a further indication of VASCEPA (or further indication of any other product acquired from Laxdale in 2004), the Company must make an aggregate stock or cash payment (at the sole option of each of the sellers) of £5 million (approximately $6.6 million as of March 31, 2022) for the potential market approval.</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provision for any of these obligations, except as noted above, since the amounts are either not paid or payable as of March 31, 2022.</w:t>
      </w:r>
    </w:p>
    <w:p>
      <w:pPr>
        <w:spacing w:after="0" w:line="3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Equity</w:t>
      </w:r>
    </w:p>
    <w:p>
      <w:pPr>
        <w:spacing w:after="0" w:line="2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There was no common stock activity during the three months ended March 31, 2022 and 2021 except as described in </w:t>
      </w:r>
      <w:r>
        <w:rPr>
          <w:rFonts w:ascii="Times New Roman" w:cs="Times New Roman" w:eastAsia="Times New Roman" w:hAnsi="Times New Roman"/>
          <w:sz w:val="18"/>
          <w:szCs w:val="18"/>
          <w:i w:val="1"/>
          <w:iCs w:val="1"/>
          <w:color w:val="auto"/>
        </w:rPr>
        <w:t>Incentive Equity Awards</w:t>
      </w:r>
      <w:r>
        <w:rPr>
          <w:rFonts w:ascii="Times New Roman" w:cs="Times New Roman" w:eastAsia="Times New Roman" w:hAnsi="Times New Roman"/>
          <w:sz w:val="18"/>
          <w:szCs w:val="18"/>
          <w:color w:val="auto"/>
        </w:rPr>
        <w:t xml:space="preserve"> below.</w:t>
      </w:r>
    </w:p>
    <w:p>
      <w:pPr>
        <w:spacing w:after="0" w:line="2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Incentive Equity Awards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aggregate number of stock options and restricted stock units, or RSUs, outstanding under the Amarin Corporation plc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Stock Incentive Plan, or the 2020 Plan, as of March 31, 2022:</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6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3"/>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209"/>
        </w:trPr>
        <w:tc>
          <w:tcPr>
            <w:tcW w:w="58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19,639,003</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6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6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15,369,386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of outstanding shares on a fully diluted basis</w:t>
            </w:r>
          </w:p>
        </w:tc>
        <w:tc>
          <w:tcPr>
            <w:tcW w:w="6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3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324"/>
        </w:trPr>
        <w:tc>
          <w:tcPr>
            <w:tcW w:w="8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represents equity awards activity during the three months ended March 31, 2022 and 2021: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0" w:type="dxa"/>
            <w:vAlign w:val="bottom"/>
            <w:gridSpan w:val="7"/>
          </w:tcPr>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14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for stock option exercises</w:t>
            </w:r>
          </w:p>
        </w:tc>
        <w:tc>
          <w:tcPr>
            <w:tcW w:w="6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10,602</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783,320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and net proceeds from stock option exercises</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2,059,000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issued in settlement of vested RSUs</w:t>
            </w:r>
          </w:p>
        </w:tc>
        <w:tc>
          <w:tcPr>
            <w:tcW w:w="60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493,381</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940,977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retained for settlement of employee tax obligations ─ RSUs</w:t>
            </w:r>
          </w:p>
        </w:tc>
        <w:tc>
          <w:tcPr>
            <w:tcW w:w="6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161,083</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Common shares issued in settlement of vested Performance-Based RSUs </w:t>
            </w:r>
            <w:r>
              <w:rPr>
                <w:rFonts w:ascii="Times New Roman" w:cs="Times New Roman" w:eastAsia="Times New Roman" w:hAnsi="Times New Roman"/>
                <w:sz w:val="24"/>
                <w:szCs w:val="24"/>
                <w:color w:val="auto"/>
                <w:vertAlign w:val="superscript"/>
              </w:rPr>
              <w:t>(1)</w:t>
            </w:r>
          </w:p>
        </w:tc>
        <w:tc>
          <w:tcPr>
            <w:tcW w:w="6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1,506,428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84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Shares retained for settlement of employee tax obligations ─ Performance-</w:t>
            </w: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638,502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Based RSUs</w:t>
            </w: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8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60" w:right="14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RSUs vested in connection with the achievement of certain regulatory and sales performance conditions associated with the REDUCE-IT clinical trial and subsequent revenue growth. These performance-based RSUs have fully vested as of August 2021.</w:t>
      </w:r>
    </w:p>
    <w:p>
      <w:pPr>
        <w:spacing w:after="0" w:line="6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On February 4, 2022, the Company granted a total of 5,987,500 RSUs and 1,976,600 stock options to employees under the 2020 Plan. The RSUs vest annually over a three-year period and the stock options vest quarterly over a four-year period with a one-year cliff vesting. Also on February 4, 2022, the Company granted a total of 1,089,500 RSUs to certain employees under the 2020 Plan that vest upon the achievement of specified sales and operational performance conditions.</w:t>
      </w:r>
    </w:p>
    <w:p>
      <w:pPr>
        <w:spacing w:after="0" w:line="6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On January 10, 2022, the Company granted a total of 81,082 RSUs and 103,569 stock options to a newly appointed member of the Company’s Board of Directors under the 2020 Plan and in accordance with the Company's non-employee Director compensation policy. The RSUs vest in equal installments over a three-year period upon the anniversary of the grant date, and are subject to deferred settlement upon the Director’s separation of service with the Company. The stock options vest in full upon the one-year anniversary of the grant date. Upon termination of service to the Company or upon a change of control as defined in the 2020 Plan, the Director shall be entitled to a payment equal to the fair market value of one share of Amarin common stock per award vested or granted, respectively, which is required to be made in shares.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6" w:name="page17"/>
    <w:bookmarkEnd w:id="16"/>
    <w:p>
      <w:pPr>
        <w:spacing w:after="0" w:line="245" w:lineRule="auto"/>
        <w:rPr>
          <w:sz w:val="20"/>
          <w:szCs w:val="20"/>
          <w:color w:val="auto"/>
        </w:rPr>
      </w:pPr>
      <w:r>
        <w:rPr>
          <w:rFonts w:ascii="Times New Roman" w:cs="Times New Roman" w:eastAsia="Times New Roman" w:hAnsi="Times New Roman"/>
          <w:sz w:val="18"/>
          <w:szCs w:val="18"/>
          <w:color w:val="auto"/>
        </w:rPr>
        <w:t>On June 14, 2021, the Company granted a total of 218,000 RSUs and 278,271 stock options to members of the Company’s Board of Directors under the 2020 Plan and in accordance with the Company's non-employee Director compensation policy. The RSUs vest in equal installments over a three-year period upon the earlier of the anniversary of the grant date or the Company’s annual general meeting of shareholders in such anniversary year, and are subject to deferred settlement upon the Director’s separation of service with the Company. The stock options vest in full upon the earlier of the one-year anniversary of the grant date or the Company’s annual general meeting of shareholders in such anniversary year. Upon termination of service to the Company or upon a change of control as defined in the 2020 Plan, each Director shall be entitled to a payment equal to the fair market value of one share of Amarin common stock per award vested or granted, respectively, which is required to be made in shares.</w:t>
      </w:r>
    </w:p>
    <w:p>
      <w:pPr>
        <w:spacing w:after="0" w:line="87"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On January 4, 2021, the Company granted a total of 3,265,700 RSUs and 3,100,200 stock options to employees under the 2020 Plan. The RSUs vest annually over a three-year period and the stock options vest quarterly over a four-year period with a one-year cliff vesting. Also on January 4, 2021, the Company granted a total of 1,345,800 RSUs to certain employees under the 2020 Plan that vest upon the achievement of specified sales and operational performance conditions.</w:t>
      </w:r>
    </w:p>
    <w:p>
      <w:pPr>
        <w:spacing w:after="0" w:line="29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(7)</w:t>
        <w:tab/>
        <w:t>Co-Promotion Agreement</w:t>
      </w:r>
    </w:p>
    <w:p>
      <w:pPr>
        <w:spacing w:after="0" w:line="10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On March 31, 2014, the Company entered into a Co-Promotion Agreement, or the Agreement, with Kowa Pharmaceuticals America, Inc. related to the commercialization of VASCEPA capsules in the United States. The Company and Kowa Pharmaceuticals America, Inc. intentionally designed the Agreement to naturally end as of December 31, 2018 and mutually agreed not to renew the Agreement.</w:t>
      </w:r>
    </w:p>
    <w:p>
      <w:pPr>
        <w:spacing w:after="0" w:line="6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During 2018, which was the last year of the co-promotion of VASCEPA by Kowa Pharmaceuticals America, Inc., the Company incurred expense for co-promotion tail payments which are calculated as a percentage of the 2018 co-promotion fee, which was eighteen and a half percent (18.5%) of VASCEPA gross margin in 2018. The accrued tail payments are paid over three years with declining amounts each year. Kowa Pharmaceuticals America, Inc. was eligible to receive $17.8 million in co-promotion tail payments, the present value of which $16.6 million, was fully accrued as of December 31, 2018.</w:t>
      </w:r>
    </w:p>
    <w:p>
      <w:pPr>
        <w:spacing w:after="0" w:line="52"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the final co-promotion tail payment was made to Kowa Pharmaceuticals America, Inc. As of December 31, 2021, a net payable to Kowa Pharmaceuticals America, Inc. of $0.6 million was classified as current on the condensed consolidated balance sheet, representing the remaining accrued co-promotion tail payments.</w:t>
      </w:r>
    </w:p>
    <w:p>
      <w:pPr>
        <w:spacing w:after="0" w:line="2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Revenue Recognition</w:t>
      </w:r>
    </w:p>
    <w:p>
      <w:pPr>
        <w:spacing w:after="0" w:line="12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The Company sells VASCEPA principally to a limited number of major wholesalers, as well as selected regional wholesalers and specialty pharmacy providers in the United States and Europe, or collectively, its distributors or its customers, most of whom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7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Times New Roman" w:cs="Times New Roman" w:eastAsia="Times New Roman" w:hAnsi="Times New Roman"/>
          <w:sz w:val="18"/>
          <w:szCs w:val="18"/>
          <w:color w:val="00B050"/>
        </w:rPr>
        <w:t>.</w:t>
      </w:r>
      <w:r>
        <w:rPr>
          <w:rFonts w:ascii="Times New Roman" w:cs="Times New Roman" w:eastAsia="Times New Roman" w:hAnsi="Times New Roman"/>
          <w:sz w:val="18"/>
          <w:szCs w:val="18"/>
          <w:color w:val="auto"/>
        </w:rPr>
        <w:t xml:space="preserve"> The Company calculates gross product revenues generally based on the wholesale acquisition cost or list price that the Company charges its distributors for VASCEPA.</w:t>
      </w:r>
    </w:p>
    <w:p>
      <w:pPr>
        <w:spacing w:after="0" w:line="2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1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estimates, the Company adjusts these estimates, which would affect net product revenue and earnings in the period such variances become known.</w:t>
      </w:r>
    </w:p>
    <w:p>
      <w:pPr>
        <w:spacing w:after="0" w:line="115" w:lineRule="exact"/>
        <w:rPr>
          <w:sz w:val="20"/>
          <w:szCs w:val="20"/>
          <w:color w:val="auto"/>
        </w:rPr>
      </w:pPr>
    </w:p>
    <w:p>
      <w:pPr>
        <w:ind w:left="520" w:right="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Trade Allowances: </w:t>
      </w:r>
      <w:r>
        <w:rPr>
          <w:rFonts w:ascii="Times New Roman" w:cs="Times New Roman" w:eastAsia="Times New Roman" w:hAnsi="Times New Roman"/>
          <w:sz w:val="18"/>
          <w:szCs w:val="18"/>
          <w:color w:val="auto"/>
        </w:rPr>
        <w:t>The Company generally provides invoice discounts on VASCEPA sales to its distributors for prompt payment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services, such as fees for certain data that distributors provide to the Company. The payment terms for sales to distributors in the U.S. and Germany generally include a 2-3%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69" w:lineRule="exact"/>
        <w:rPr>
          <w:sz w:val="20"/>
          <w:szCs w:val="20"/>
          <w:color w:val="auto"/>
        </w:rPr>
      </w:pPr>
    </w:p>
    <w:p>
      <w:pPr>
        <w:ind w:left="520" w:right="40"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Rebates, Chargebacks and Discounts: </w:t>
      </w:r>
      <w:r>
        <w:rPr>
          <w:rFonts w:ascii="Times New Roman" w:cs="Times New Roman" w:eastAsia="Times New Roman" w:hAnsi="Times New Roman"/>
          <w:sz w:val="18"/>
          <w:szCs w:val="18"/>
          <w:color w:val="auto"/>
        </w:rPr>
        <w:t>The Company contracts with Medicaid, Medicare, other government agencies and various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 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9" w:lineRule="exact"/>
        <w:rPr>
          <w:sz w:val="20"/>
          <w:szCs w:val="20"/>
          <w:color w:val="auto"/>
        </w:rPr>
      </w:pPr>
    </w:p>
    <w:p>
      <w:pPr>
        <w:ind w:left="520" w:firstLine="50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Company’s distributors have the right to return unopened unprescribed VASCEPA during the 18-month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six months prior to the labeled expiration date and ending 12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92" w:lineRule="exact"/>
        <w:rPr>
          <w:sz w:val="20"/>
          <w:szCs w:val="20"/>
          <w:color w:val="auto"/>
        </w:rPr>
      </w:pPr>
    </w:p>
    <w:p>
      <w:pPr>
        <w:ind w:left="520" w:right="20" w:firstLine="509"/>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Other Incentives: </w:t>
      </w:r>
      <w:r>
        <w:rPr>
          <w:rFonts w:ascii="Times New Roman" w:cs="Times New Roman" w:eastAsia="Times New Roman" w:hAnsi="Times New Roman"/>
          <w:sz w:val="18"/>
          <w:szCs w:val="18"/>
          <w:color w:val="auto"/>
        </w:rPr>
        <w:t>Other incentives that the Company offers to indirect customers include co-pay mitigation rebates provided by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tables summarize activity in each of the net product revenue allowance and reserve categories described above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2021:</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Trade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80" w:type="dxa"/>
            <w:vAlign w:val="bottom"/>
          </w:tcPr>
          <w:p>
            <w:pPr>
              <w:spacing w:after="0"/>
              <w:rPr>
                <w:sz w:val="14"/>
                <w:szCs w:val="14"/>
                <w:color w:val="auto"/>
              </w:rPr>
            </w:pP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Pr>
          <w:p>
            <w:pPr>
              <w:spacing w:after="0"/>
              <w:rPr>
                <w:sz w:val="16"/>
                <w:szCs w:val="16"/>
                <w:color w:val="auto"/>
              </w:rPr>
            </w:pP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20" w:type="dxa"/>
            <w:vAlign w:val="bottom"/>
          </w:tcPr>
          <w:p>
            <w:pPr>
              <w:spacing w:after="0"/>
              <w:rPr>
                <w:sz w:val="16"/>
                <w:szCs w:val="16"/>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86,636</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184,726</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8,090</w:t>
            </w: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1,241</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280,693</w:t>
            </w:r>
          </w:p>
        </w:tc>
        <w:tc>
          <w:tcPr>
            <w:tcW w:w="80" w:type="dxa"/>
            <w:vAlign w:val="bottom"/>
            <w:shd w:val="clear" w:color="auto" w:fill="CFF0FC"/>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179,774</w:t>
            </w:r>
          </w:p>
        </w:tc>
        <w:tc>
          <w:tcPr>
            <w:tcW w:w="80" w:type="dxa"/>
            <w:vAlign w:val="bottom"/>
          </w:tcPr>
          <w:p>
            <w:pPr>
              <w:spacing w:after="0"/>
              <w:rPr>
                <w:sz w:val="18"/>
                <w:szCs w:val="18"/>
                <w:color w:val="auto"/>
              </w:rPr>
            </w:pPr>
          </w:p>
        </w:tc>
      </w:tr>
      <w:tr>
        <w:trPr>
          <w:trHeight w:val="216"/>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(301 )</w:t>
            </w:r>
          </w:p>
        </w:tc>
        <w:tc>
          <w:tcPr>
            <w:tcW w:w="1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(301 )</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(2,753 )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(67,700 )</w:t>
            </w: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(6,379 )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(76,832 )</w:t>
            </w:r>
          </w:p>
        </w:tc>
      </w:tr>
      <w:tr>
        <w:trPr>
          <w:trHeight w:val="216"/>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(13,536 )</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(123,099 )</w:t>
            </w:r>
          </w:p>
        </w:tc>
        <w:tc>
          <w:tcPr>
            <w:tcW w:w="1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(350 )</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(2,630 )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(139,615 )</w:t>
            </w:r>
          </w:p>
        </w:tc>
      </w:tr>
      <w:tr>
        <w:trPr>
          <w:trHeight w:val="209"/>
        </w:trPr>
        <w:tc>
          <w:tcPr>
            <w:tcW w:w="4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93,044</w:t>
            </w:r>
          </w:p>
        </w:tc>
        <w:tc>
          <w:tcPr>
            <w:tcW w:w="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141,829</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8,289</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557</w:t>
            </w:r>
          </w:p>
        </w:tc>
        <w:tc>
          <w:tcPr>
            <w:tcW w:w="1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243,719</w:t>
            </w:r>
          </w:p>
        </w:tc>
        <w:tc>
          <w:tcPr>
            <w:tcW w:w="80" w:type="dxa"/>
            <w:vAlign w:val="bottom"/>
            <w:tcBorders>
              <w:top w:val="single" w:sz="8" w:color="CFF0FC"/>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4"/>
        </w:trPr>
        <w:tc>
          <w:tcPr>
            <w:tcW w:w="4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0"/>
        </w:trPr>
        <w:tc>
          <w:tcPr>
            <w:tcW w:w="4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Trade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Chargebacks</w:t>
            </w:r>
          </w:p>
        </w:tc>
        <w:tc>
          <w:tcPr>
            <w:tcW w:w="180" w:type="dxa"/>
            <w:vAlign w:val="bottom"/>
          </w:tcPr>
          <w:p>
            <w:pPr>
              <w:spacing w:after="0"/>
              <w:rPr>
                <w:sz w:val="13"/>
                <w:szCs w:val="13"/>
                <w:color w:val="auto"/>
              </w:rPr>
            </w:pPr>
          </w:p>
        </w:tc>
        <w:tc>
          <w:tcPr>
            <w:tcW w:w="980" w:type="dxa"/>
            <w:vAlign w:val="bottom"/>
            <w:gridSpan w:val="3"/>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Product</w:t>
            </w:r>
          </w:p>
        </w:tc>
        <w:tc>
          <w:tcPr>
            <w:tcW w:w="120" w:type="dxa"/>
            <w:vAlign w:val="bottom"/>
          </w:tcPr>
          <w:p>
            <w:pPr>
              <w:spacing w:after="0"/>
              <w:rPr>
                <w:sz w:val="13"/>
                <w:szCs w:val="13"/>
                <w:color w:val="auto"/>
              </w:rPr>
            </w:pPr>
          </w:p>
        </w:tc>
        <w:tc>
          <w:tcPr>
            <w:tcW w:w="1020" w:type="dxa"/>
            <w:vAlign w:val="bottom"/>
            <w:gridSpan w:val="3"/>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Discounts</w:t>
            </w:r>
          </w:p>
        </w:tc>
        <w:tc>
          <w:tcPr>
            <w:tcW w:w="180" w:type="dxa"/>
            <w:vAlign w:val="bottom"/>
          </w:tcPr>
          <w:p>
            <w:pPr>
              <w:spacing w:after="0"/>
              <w:rPr>
                <w:sz w:val="16"/>
                <w:szCs w:val="16"/>
                <w:color w:val="auto"/>
              </w:rPr>
            </w:pP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20" w:type="dxa"/>
            <w:vAlign w:val="bottom"/>
          </w:tcPr>
          <w:p>
            <w:pPr>
              <w:spacing w:after="0"/>
              <w:rPr>
                <w:sz w:val="16"/>
                <w:szCs w:val="16"/>
                <w:color w:val="auto"/>
              </w:rPr>
            </w:pPr>
          </w:p>
        </w:tc>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Incentives</w:t>
            </w:r>
          </w:p>
        </w:tc>
        <w:tc>
          <w:tcPr>
            <w:tcW w:w="20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2020</w:t>
            </w:r>
          </w:p>
        </w:tc>
        <w:tc>
          <w:tcPr>
            <w:tcW w:w="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36,242</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141,201</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7,797</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5,587</w:t>
            </w:r>
          </w:p>
        </w:tc>
        <w:tc>
          <w:tcPr>
            <w:tcW w:w="16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190,827</w:t>
            </w:r>
          </w:p>
        </w:tc>
        <w:tc>
          <w:tcPr>
            <w:tcW w:w="80" w:type="dxa"/>
            <w:vAlign w:val="bottom"/>
            <w:shd w:val="clear" w:color="auto" w:fill="CFF0FC"/>
          </w:tcPr>
          <w:p>
            <w:pPr>
              <w:spacing w:after="0"/>
              <w:rPr>
                <w:sz w:val="18"/>
                <w:szCs w:val="18"/>
                <w:color w:val="auto"/>
              </w:rPr>
            </w:pP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related to current period sales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191,325</w:t>
            </w:r>
          </w:p>
        </w:tc>
        <w:tc>
          <w:tcPr>
            <w:tcW w:w="80" w:type="dxa"/>
            <w:vAlign w:val="bottom"/>
          </w:tcPr>
          <w:p>
            <w:pPr>
              <w:spacing w:after="0"/>
              <w:rPr>
                <w:sz w:val="18"/>
                <w:szCs w:val="18"/>
                <w:color w:val="auto"/>
              </w:rPr>
            </w:pPr>
          </w:p>
        </w:tc>
      </w:tr>
      <w:tr>
        <w:trPr>
          <w:trHeight w:val="216"/>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related to prior period sales</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(854 )</w:t>
            </w:r>
          </w:p>
        </w:tc>
        <w:tc>
          <w:tcPr>
            <w:tcW w:w="1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(854 )</w:t>
            </w:r>
          </w:p>
        </w:tc>
      </w:tr>
      <w:tr>
        <w:trPr>
          <w:trHeight w:val="216"/>
        </w:trPr>
        <w:tc>
          <w:tcPr>
            <w:tcW w:w="4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Credits/payments made for current period sales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(3,582 )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(16,136 )</w:t>
            </w: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(9,807 )</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(29,525 )</w:t>
            </w:r>
          </w:p>
        </w:tc>
      </w:tr>
      <w:tr>
        <w:trPr>
          <w:trHeight w:val="216"/>
        </w:trPr>
        <w:tc>
          <w:tcPr>
            <w:tcW w:w="4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Credits/payments made for prior period sales</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(7,086 )</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(108,020 )</w:t>
            </w:r>
          </w:p>
        </w:tc>
        <w:tc>
          <w:tcPr>
            <w:tcW w:w="18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(402 )</w:t>
            </w: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(5,618 )</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(121,126 )</w:t>
            </w:r>
          </w:p>
        </w:tc>
      </w:tr>
      <w:tr>
        <w:trPr>
          <w:trHeight w:val="209"/>
        </w:trPr>
        <w:tc>
          <w:tcPr>
            <w:tcW w:w="41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2021</w:t>
            </w:r>
          </w:p>
        </w:tc>
        <w:tc>
          <w:tcPr>
            <w:tcW w:w="4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54,708</w:t>
            </w:r>
          </w:p>
        </w:tc>
        <w:tc>
          <w:tcPr>
            <w:tcW w:w="18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164,432</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8,223</w:t>
            </w:r>
          </w:p>
        </w:tc>
        <w:tc>
          <w:tcPr>
            <w:tcW w:w="2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3,284</w:t>
            </w:r>
          </w:p>
        </w:tc>
        <w:tc>
          <w:tcPr>
            <w:tcW w:w="160" w:type="dxa"/>
            <w:vAlign w:val="bottom"/>
            <w:tcBorders>
              <w:top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230,647</w:t>
            </w:r>
          </w:p>
        </w:tc>
        <w:tc>
          <w:tcPr>
            <w:tcW w:w="80" w:type="dxa"/>
            <w:vAlign w:val="bottom"/>
            <w:tcBorders>
              <w:top w:val="single" w:sz="8" w:color="CFF0FC"/>
            </w:tcBorders>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-1482090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-1482090</wp:posOffset>
            </wp:positionV>
            <wp:extent cx="59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-1482090</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-1482090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-1482090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-170815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-170815</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-170815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72"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7"/>
          <w:szCs w:val="17"/>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above.</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Licensing Revenue</w:t>
      </w:r>
    </w:p>
    <w:p>
      <w:pPr>
        <w:spacing w:after="0" w:line="1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and royalty revenues.</w:t>
      </w:r>
    </w:p>
    <w:p>
      <w:pPr>
        <w:spacing w:after="0" w:line="7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69"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67"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Licenses of intellectual property: </w:t>
      </w:r>
      <w:r>
        <w:rPr>
          <w:rFonts w:ascii="Times New Roman" w:cs="Times New Roman" w:eastAsia="Times New Roman" w:hAnsi="Times New Roman"/>
          <w:sz w:val="18"/>
          <w:szCs w:val="18"/>
          <w:color w:val="auto"/>
        </w:rPr>
        <w:t>If the license to the Company’s intellectual property is determined to be distinct from the other performance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7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development, regulatory and commercial milestone payments,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19" w:name="page20"/>
    <w:bookmarkEnd w:id="19"/>
    <w:p>
      <w:pPr>
        <w:ind w:right="480"/>
        <w:spacing w:after="0" w:line="250" w:lineRule="auto"/>
        <w:rPr>
          <w:sz w:val="20"/>
          <w:szCs w:val="20"/>
          <w:color w:val="auto"/>
        </w:rPr>
      </w:pPr>
      <w:r>
        <w:rPr>
          <w:rFonts w:ascii="Times New Roman" w:cs="Times New Roman" w:eastAsia="Times New Roman" w:hAnsi="Times New Roman"/>
          <w:sz w:val="18"/>
          <w:szCs w:val="18"/>
          <w:color w:val="auto"/>
        </w:rPr>
        <w:t>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69" w:lineRule="exact"/>
        <w:rPr>
          <w:sz w:val="20"/>
          <w:szCs w:val="20"/>
          <w:color w:val="auto"/>
        </w:rPr>
      </w:pPr>
    </w:p>
    <w:p>
      <w:pPr>
        <w:jc w:val="both"/>
        <w:ind w:right="120"/>
        <w:spacing w:after="0" w:line="246" w:lineRule="auto"/>
        <w:rPr>
          <w:sz w:val="20"/>
          <w:szCs w:val="20"/>
          <w:color w:val="auto"/>
        </w:rPr>
      </w:pPr>
      <w:r>
        <w:rPr>
          <w:rFonts w:ascii="Times New Roman" w:cs="Times New Roman" w:eastAsia="Times New Roman" w:hAnsi="Times New Roman"/>
          <w:sz w:val="18"/>
          <w:szCs w:val="18"/>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Development, Commercialization and Supply Agreements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In-licenses</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Mochida Pharmaceutical Co., Ltd.</w:t>
      </w:r>
    </w:p>
    <w:p>
      <w:pPr>
        <w:spacing w:after="0" w:line="1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 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72"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6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January 2022 and 2021, the Company exercised certain rights under the agreement, resulting in payments of $1.0 million, respectively, to Mochida, which was recorded as Research and development expense in the condensed consolidated statement of operations.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i w:val="1"/>
          <w:iCs w:val="1"/>
          <w:u w:val="single" w:color="auto"/>
          <w:color w:val="auto"/>
        </w:rPr>
        <w:t>Out-licenses</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Eddingpharm (Asia) Macao Commercial Offshore Limited</w:t>
      </w:r>
    </w:p>
    <w:p>
      <w:pPr>
        <w:spacing w:after="0" w:line="1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 February 2015, the Company entered into a Development, Commercialization and Supply Agreement, or the DCS Agreement, with Eddingpharm (Asia) Macao Commercial Offshore Limited, or Edding, related to the development and commercialization of VASCEPA in Mainland China, Hong Kong, Macau and Taiwan, or the China Territory. Under the terms of the DCS Agreement, the Company granted to Edding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6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Under the DCS Agreement, Edding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 agreed to certain restrictions regarding the commercialization of competitive products globally and the Company agreed to certain restrictions regarding the commercialization of competitive products in the China Territory.</w:t>
      </w:r>
    </w:p>
    <w:p>
      <w:pPr>
        <w:spacing w:after="0" w:line="52"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 Company and Edding agreed to form a joint development committee to oversee regulatory and development activities for VASCEPA in the China Territory in accordance with a negotiated development plan and formed a separate joint commercialization committee in advance of expected approval in the China Territory to oversee VASCEPA planning and pre-launch commercialization activities in the China Territory. Development costs are paid by Edding to the extent such costs are incurred in connection with the negotiated development plan or otherwise incurred by Edding. Edding is responsible for preparing and filing regulatory applications in all countries of the China Territory at Edding’s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ind w:right="20"/>
        <w:spacing w:after="0" w:line="247" w:lineRule="auto"/>
        <w:rPr>
          <w:sz w:val="20"/>
          <w:szCs w:val="20"/>
          <w:color w:val="auto"/>
        </w:rPr>
      </w:pPr>
      <w:r>
        <w:rPr>
          <w:rFonts w:ascii="Times New Roman" w:cs="Times New Roman" w:eastAsia="Times New Roman" w:hAnsi="Times New Roman"/>
          <w:sz w:val="18"/>
          <w:szCs w:val="18"/>
          <w:color w:val="auto"/>
        </w:rPr>
        <w:t>The term of the DCS Agreement expires, on a product-by-product basis, upon the later of (i) the date on which such product is no longer covered by a valid claim under a licensed patent in the China Territory, or (ii) the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 has the right to terminate the DCS Agreement for convenience with 12 months’ prior notice. Neither party may assign or transfer the DCS Agreement without the prior consent of the other party, provided that the Company may assign the DCS Agreement in the event of a change of control transaction.</w:t>
      </w:r>
    </w:p>
    <w:p>
      <w:pPr>
        <w:spacing w:after="0" w:line="72"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Upon closing of the DCS Agreement, the Company received a non-refundable $15.0 million up-front payment. In March 2016, Edding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 commenced a pivotal clinical trial aimed to support the regulatory approval of the first indication of VASCEPA in a patient population with severe hypertriglyceridemia in Mainland China. In November 2020, the Company announced statistically significant topline results from the Phase 3 clinical trial of VASCEPA conducted by Edding, which is being used to seek regulatory approval in Mainland China. The Company received approval of VASCEPA under the REDUCE-IT indication in Hong Kong in February 2022.</w:t>
      </w:r>
    </w:p>
    <w:p>
      <w:pPr>
        <w:spacing w:after="0" w:line="7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 only once regardless of how many times the sales milestone event is achieved. Each such milestone payment is non-refundable and non-creditable against any other milestone payments.</w:t>
      </w:r>
    </w:p>
    <w:p>
      <w:pPr>
        <w:spacing w:after="0" w:line="7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Edding,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8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7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recognized $0.2 million and $0.3 million, respectively, as licensing revenue related to the up-front and milestone payments received in connection with the Edding agreement. From contract inception through March 31, 2022 and December 31, 2021, the Company recognized $7.3 million and $7.1 million, respectively, as licensing revenue under the DCS Agreement concurrent with the input measure of support hours provided by Amarin to Edding in achieving the combined development and regulatory performance obligation, which in the Company’s judgment is the best measure of progress towards satisfying this performance obligation. The remaining transaction price of $9.6 million and $9.8 million is recorded in deferred revenue as of March 31, 2022 and December 31, 2021, respectively, on the condensed consolidated balance sheets and will be recognized as revenue over the remaining period of 12 years.</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Biologix FZCo</w:t>
      </w:r>
    </w:p>
    <w:p>
      <w:pPr>
        <w:spacing w:after="0" w:line="1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Company received approval of VASCEPA under the MARINE and REDUCE-IT indications in the following countries: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20" w:type="dxa"/>
            <w:vAlign w:val="bottom"/>
          </w:tcPr>
          <w:p>
            <w:pPr>
              <w:spacing w:after="0"/>
              <w:rPr>
                <w:sz w:val="16"/>
                <w:szCs w:val="16"/>
                <w:color w:val="auto"/>
              </w:rPr>
            </w:pPr>
          </w:p>
        </w:tc>
        <w:tc>
          <w:tcPr>
            <w:tcW w:w="156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60" w:type="dxa"/>
            <w:vAlign w:val="bottom"/>
          </w:tcPr>
          <w:p>
            <w:pPr>
              <w:spacing w:after="0"/>
              <w:rPr>
                <w:sz w:val="16"/>
                <w:szCs w:val="16"/>
                <w:color w:val="auto"/>
              </w:rPr>
            </w:pPr>
          </w:p>
        </w:tc>
      </w:tr>
      <w:tr>
        <w:trPr>
          <w:trHeight w:val="20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w w:val="99"/>
              </w:rPr>
              <w:t>August 2021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c>
          <w:tcPr>
            <w:tcW w:w="60" w:type="dxa"/>
            <w:vAlign w:val="bottom"/>
            <w:shd w:val="clear" w:color="auto" w:fill="CFF0FC"/>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2018</w:t>
            </w:r>
          </w:p>
        </w:tc>
        <w:tc>
          <w:tcPr>
            <w:tcW w:w="320" w:type="dxa"/>
            <w:vAlign w:val="bottom"/>
          </w:tcPr>
          <w:p>
            <w:pPr>
              <w:spacing w:after="0"/>
              <w:rPr>
                <w:sz w:val="18"/>
                <w:szCs w:val="18"/>
                <w:color w:val="auto"/>
              </w:rPr>
            </w:pPr>
          </w:p>
        </w:tc>
        <w:tc>
          <w:tcPr>
            <w:tcW w:w="156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October 2021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60" w:type="dxa"/>
            <w:vAlign w:val="bottom"/>
          </w:tcPr>
          <w:p>
            <w:pPr>
              <w:spacing w:after="0"/>
              <w:rPr>
                <w:sz w:val="18"/>
                <w:szCs w:val="18"/>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2019</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rPr>
              <w:t>April 2021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8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8"/>
                <w:szCs w:val="18"/>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188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8"/>
                <w:szCs w:val="18"/>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r>
    </w:tbl>
    <w:p>
      <w:pPr>
        <w:spacing w:after="0" w:line="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recognized net product revenue of approximately nil for the three months ended March 31, 2022 and $0.5 million for the three months ended March 31, 2021 related to sales to Biologix.</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u w:val="single" w:color="auto"/>
          <w:color w:val="auto"/>
        </w:rPr>
        <w:t>HLS Therapeutics, Inc.</w:t>
      </w:r>
    </w:p>
    <w:p>
      <w:pPr>
        <w:spacing w:after="0" w:line="11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September 2017, the Company entered into an agreement with HLS Therapeutics Inc., or HLS, a company incorporated under the laws of Canada, to register, commercialize and distribute VASCEPA in Canada. Under the agreement, HLS will be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6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7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6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69"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recognized $0.1 million and $0.3 million, respectively, as licensing revenue related to up-front and milestone payments received in connection with the HLS agreement. From the contract’s inception through March 31, 2022 and December 31, 2021, the Company has recognized $7.6 million and $7.5 million, respectively, as licensing revenue is recognized under the agreement concurrent with the input measure of support hours provided by Amarin to HLS in achieving this performance obligation, which in the Company’s judgment is the best measure of progress towards satisfying the combined development and regulatory performance obligation. The remaining transaction price of $6.1 million and $6.2 million is recorded in deferred revenue as of March 31, 2022 and December 31, 2021, respectively, on the condensed consolidated balance sheets and will be recognized as revenue over the remaining period of 8 years.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2" w:name="page23"/>
    <w:bookmarkEnd w:id="22"/>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the balances of the Company’s contract assets and liabilities during the three months ended March 31, 2022 and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4"/>
                <w:szCs w:val="14"/>
                <w:color w:val="auto"/>
              </w:rPr>
            </w:pPr>
          </w:p>
        </w:tc>
      </w:tr>
      <w:tr>
        <w:trPr>
          <w:trHeight w:val="187"/>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6"/>
                <w:szCs w:val="16"/>
                <w:color w:val="auto"/>
              </w:rPr>
            </w:pPr>
          </w:p>
        </w:tc>
        <w:tc>
          <w:tcPr>
            <w:tcW w:w="128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340" w:type="dxa"/>
            <w:vAlign w:val="bottom"/>
          </w:tcPr>
          <w:p>
            <w:pPr>
              <w:spacing w:after="0"/>
              <w:rPr>
                <w:sz w:val="16"/>
                <w:szCs w:val="16"/>
                <w:color w:val="auto"/>
              </w:rPr>
            </w:pPr>
          </w:p>
        </w:tc>
        <w:tc>
          <w:tcPr>
            <w:tcW w:w="13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End of Period</w:t>
            </w:r>
          </w:p>
        </w:tc>
        <w:tc>
          <w:tcPr>
            <w:tcW w:w="100" w:type="dxa"/>
            <w:vAlign w:val="bottom"/>
          </w:tcPr>
          <w:p>
            <w:pPr>
              <w:spacing w:after="0"/>
              <w:rPr>
                <w:sz w:val="16"/>
                <w:szCs w:val="16"/>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tc>
        <w:tc>
          <w:tcPr>
            <w:tcW w:w="22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(372 )</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16,337</w:t>
            </w:r>
          </w:p>
        </w:tc>
        <w:tc>
          <w:tcPr>
            <w:tcW w:w="100" w:type="dxa"/>
            <w:vAlign w:val="bottom"/>
          </w:tcPr>
          <w:p>
            <w:pPr>
              <w:spacing w:after="0"/>
              <w:rPr>
                <w:sz w:val="18"/>
                <w:szCs w:val="18"/>
                <w:color w:val="auto"/>
              </w:rPr>
            </w:pPr>
          </w:p>
        </w:tc>
      </w:tr>
      <w:tr>
        <w:trPr>
          <w:trHeight w:val="229"/>
        </w:trPr>
        <w:tc>
          <w:tcPr>
            <w:tcW w:w="4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18,632</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(662 )</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0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recognized the following revenues as a result of changes in the contract asset and contract liability balances in the respective periods: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74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Revenue recognized in the period from:</w:t>
            </w:r>
          </w:p>
        </w:tc>
        <w:tc>
          <w:tcPr>
            <w:tcW w:w="12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7"/>
                <w:szCs w:val="17"/>
                <w:color w:val="auto"/>
              </w:rPr>
            </w:pPr>
          </w:p>
        </w:tc>
        <w:tc>
          <w:tcPr>
            <w:tcW w:w="15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included in contract liability at the beginning of the period</w:t>
            </w:r>
          </w:p>
        </w:tc>
        <w:tc>
          <w:tcPr>
            <w:tcW w:w="124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0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9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73" w:lineRule="exact"/>
        <w:rPr>
          <w:sz w:val="20"/>
          <w:szCs w:val="20"/>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auto"/>
        </w:rPr>
        <w:t>On February 5, 2019, the Company entered into a lease agreement for new office space in Bridgewater, New Jersey, or the New Jersey Lease. The New Jersey Lease commenced on August 15, 2019, or the New Jersey Commencement Date, for an 11-year period, with two five-year renewal options. Subject to the terms of the New Jersey Lease, Amarin will have a one-time option to terminate the agreement effective on the first day of the 97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month after the New Jersey Commencement Date upon advance written notice and a termination payment specified in the New Jersey Lease. Under the New Jersey Lease, the Company paid monthly rent of approximately $0.1 million for the first year following the New Jersey Commencement Date, and such rent increases by a nominal percentage every year following the first anniversary of the New Jersey Commencement Date. In addition, Amarin receives certain abatements subject to the limitations in the New Jersey Lease.</w:t>
      </w:r>
    </w:p>
    <w:p>
      <w:pPr>
        <w:spacing w:after="0" w:line="79"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18"/>
          <w:szCs w:val="18"/>
          <w:color w:val="auto"/>
        </w:rPr>
        <w:t>On November 17, 2021, the Company entered into a lease agreement for new office space in Zug Switzerland, or the Zug Lease. The Zug Lease commenced on February 1, 2022, or the Zug Commencement Date, for a 5-year period, with one five-year renewal option. Under the Zug Lease, the Company will pay annual rent of approximately $0.2 million for the first year following the Zug Commencement Date, and such rent increases by a nominal percentage every year following the first anniversary of the Zug Commencement Date. In addition to the real estate leases, the Company leases various vehicles with terms ranging from month to month up to 36 months.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3" w:name="page24"/>
    <w:bookmarkEnd w:id="23"/>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total operating lease liability is $11.3 million and $10.3 million, respectively, and the total operating lease right-of-use asset is $8.7 million and $7.7 million, respectively.</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expense for the three months ended March 31, 2022 and 2021 is approximately $0.6 million and $0.4 million, respectively.</w:t>
      </w:r>
    </w:p>
    <w:p>
      <w:pPr>
        <w:spacing w:after="0" w:line="10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March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Undiscounted</w:t>
            </w:r>
          </w:p>
        </w:tc>
      </w:tr>
      <w:tr>
        <w:trPr>
          <w:trHeight w:val="162"/>
        </w:trPr>
        <w:tc>
          <w:tcPr>
            <w:tcW w:w="40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lease</w:t>
            </w:r>
          </w:p>
        </w:tc>
      </w:tr>
      <w:tr>
        <w:trPr>
          <w:trHeight w:val="149"/>
        </w:trPr>
        <w:tc>
          <w:tcPr>
            <w:tcW w:w="40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r>
      <w:tr>
        <w:trPr>
          <w:trHeight w:val="187"/>
        </w:trPr>
        <w:tc>
          <w:tcPr>
            <w:tcW w:w="402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($000s)</w:t>
            </w:r>
          </w:p>
        </w:tc>
      </w:tr>
      <w:tr>
        <w:trPr>
          <w:trHeight w:val="210"/>
        </w:trPr>
        <w:tc>
          <w:tcPr>
            <w:tcW w:w="40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2022</w:t>
            </w:r>
          </w:p>
        </w:tc>
        <w:tc>
          <w:tcPr>
            <w:tcW w:w="4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8"/>
                <w:szCs w:val="18"/>
                <w:color w:val="auto"/>
              </w:rPr>
            </w:pPr>
          </w:p>
        </w:tc>
      </w:tr>
      <w:tr>
        <w:trPr>
          <w:trHeight w:val="216"/>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FF0FC"/>
          </w:tcPr>
          <w:p>
            <w:pPr>
              <w:spacing w:after="0"/>
              <w:rPr>
                <w:sz w:val="18"/>
                <w:szCs w:val="18"/>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Pr>
          <w:p>
            <w:pPr>
              <w:spacing w:after="0"/>
              <w:rPr>
                <w:sz w:val="18"/>
                <w:szCs w:val="18"/>
                <w:color w:val="auto"/>
              </w:rPr>
            </w:pPr>
          </w:p>
        </w:tc>
      </w:tr>
      <w:tr>
        <w:trPr>
          <w:trHeight w:val="210"/>
        </w:trPr>
        <w:tc>
          <w:tcPr>
            <w:tcW w:w="4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5200" w:type="dxa"/>
            <w:vAlign w:val="bottom"/>
            <w:tcBorders>
              <w:bottom w:val="single" w:sz="8" w:color="CFF0FC"/>
            </w:tcBorders>
            <w:gridSpan w:val="2"/>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Adjustments</w:t>
            </w:r>
          </w:p>
        </w:tc>
        <w:tc>
          <w:tcPr>
            <w:tcW w:w="5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(6,048 )</w:t>
            </w:r>
          </w:p>
        </w:tc>
      </w:tr>
      <w:tr>
        <w:trPr>
          <w:trHeight w:val="210"/>
        </w:trPr>
        <w:tc>
          <w:tcPr>
            <w:tcW w:w="4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liability</w:t>
            </w:r>
          </w:p>
        </w:tc>
        <w:tc>
          <w:tcPr>
            <w:tcW w:w="5200" w:type="dxa"/>
            <w:vAlign w:val="bottom"/>
            <w:gridSpan w:val="2"/>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FF0FC"/>
          </w:tcPr>
          <w:p>
            <w:pPr>
              <w:spacing w:after="0"/>
              <w:rPr>
                <w:sz w:val="18"/>
                <w:szCs w:val="18"/>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55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w:t>
            </w:r>
          </w:p>
        </w:tc>
        <w:tc>
          <w:tcPr>
            <w:tcW w:w="100" w:type="dxa"/>
            <w:vAlign w:val="bottom"/>
          </w:tcPr>
          <w:p>
            <w:pPr>
              <w:spacing w:after="0"/>
              <w:rPr>
                <w:sz w:val="20"/>
                <w:szCs w:val="20"/>
                <w:color w:val="auto"/>
              </w:rPr>
            </w:pPr>
          </w:p>
        </w:tc>
      </w:tr>
      <w:tr>
        <w:trPr>
          <w:trHeight w:val="414"/>
        </w:trPr>
        <w:tc>
          <w:tcPr>
            <w:tcW w:w="4020" w:type="dxa"/>
            <w:vAlign w:val="bottom"/>
          </w:tcPr>
          <w:p>
            <w:pPr>
              <w:spacing w:after="0"/>
              <w:rPr>
                <w:sz w:val="24"/>
                <w:szCs w:val="24"/>
                <w:color w:val="auto"/>
              </w:rPr>
            </w:pPr>
          </w:p>
        </w:tc>
        <w:tc>
          <w:tcPr>
            <w:tcW w:w="4980" w:type="dxa"/>
            <w:vAlign w:val="bottom"/>
          </w:tcPr>
          <w:p>
            <w:pPr>
              <w:jc w:val="right"/>
              <w:ind w:right="319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4020" w:type="dxa"/>
            <w:vAlign w:val="bottom"/>
            <w:tcBorders>
              <w:bottom w:val="single" w:sz="8" w:color="9A9A9A"/>
            </w:tcBorders>
          </w:tcPr>
          <w:p>
            <w:pPr>
              <w:spacing w:after="0"/>
              <w:rPr>
                <w:sz w:val="8"/>
                <w:szCs w:val="8"/>
                <w:color w:val="auto"/>
              </w:rPr>
            </w:pPr>
          </w:p>
        </w:tc>
        <w:tc>
          <w:tcPr>
            <w:tcW w:w="4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i w:val="1"/>
          <w:iCs w:val="1"/>
          <w:color w:val="auto"/>
        </w:rPr>
        <w:t>This Quarterly Report on Form 10-Q, or this Quarterly Report,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2021, or our Annual Report, and under Part II, Item IA, “Risk Factors” of this Quarterly Report.</w:t>
      </w:r>
    </w:p>
    <w:p>
      <w:pPr>
        <w:spacing w:after="0" w:line="7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77"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together with our unaudited condensed consolidated financial statements and notes thereto included elsewhere in this Quarterly Report, and the audited consolidated financial statements and accompanying notes, as well as Management’s Discussion and Analysis of Financial Condition and Results of Operations contained in our Annual Report.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120" w:firstLine="509"/>
        <w:spacing w:after="0" w:line="222" w:lineRule="auto"/>
        <w:rPr>
          <w:sz w:val="20"/>
          <w:szCs w:val="20"/>
          <w:color w:val="auto"/>
        </w:rPr>
      </w:pPr>
      <w:r>
        <w:rPr>
          <w:rFonts w:ascii="Times New Roman" w:cs="Times New Roman" w:eastAsia="Times New Roman" w:hAnsi="Times New Roman"/>
          <w:sz w:val="18"/>
          <w:szCs w:val="18"/>
          <w:color w:val="auto"/>
        </w:rPr>
        <w:t>We are a pharmaceutical company focused on the commercialization and development of therapeutics to improve cardiovascular, or CV, health and reduce CV risk. Our lead product,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was first approved by the United States Food and Drug Administration, or U.S. FDA, for use as an adjunct to diet to reduce triglyceride, or TG, levels in adult patients with severe (≥500 mg/dL) hypertriglyceridemia, or the MARINE indication. We launched VASCEPA in the United States, or U.S., in January 2013. On December 13, 2019 the U.S. FDA approved an indication and label expansion for VASCEPA based on the landmark results of our cardiovascular outcomes trial,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 – Intervention Trial. VASCEPA is the first and only drug approved by the U.S. FDA as an adjunct to maximally tolerated statin therapy for reducing persistent cardiovascular risk in select high risk-patients, or the REDUCE-IT indication. On March 26, 2021, the European Commission, or EC, granted approval of the marketing authorization application in the EU for VAZKEPA, hereinafter along with the U.S. brand name VASCEPA, collectively referred to as VASCEPA, which is the first and only EC approved therapy to reduce cardiovascular risk in high-risk statin-treated patients with elevated TG levels. On September 13, 2021, we launched VAZKEPA in Germany, representing our first European launch. On April 22, 2021, we announced that we received marketing authorization from the Medicines and Healthcare Products Regulatory Agency, or MHRA, for VAZKEPA in England, Wales and Scotland to reduce cardiovascular risk through MHRA’s new ‘reliance’ route following the end of the Brexit transition period. On March 25, 2022, we received our first national reimbursement in a European country with official confirmation that the Swedish Dental and Pharmaceutical Benefits Agency, or TLV, approved VAZKEPA for national reimbursement in Sweden.</w:t>
      </w:r>
    </w:p>
    <w:p>
      <w:pPr>
        <w:spacing w:after="0" w:line="81"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VASCEPA is currently available by prescription in the U.S., Germany, Canada, Lebanon and the United Arab Emirates. We are responsible for supplying VASCEPA to all markets in which the branded product is sold, either to and through our collaborations with third-party companies or by us. Subject to commercial launches in additional countries within Europe and Hong Kong and approval in China, we will be responsible for supplying products to those markets as well. We are not responsible for providing any generic company with drug product. Geographies outside the United States in which VASCEPA is sold and under regulatory review are not subject to the U.S. patent litigation and judgment described below. No similar litigation involving potential generic versions of VASCEPA is pending outside the United States.</w:t>
      </w:r>
    </w:p>
    <w:p>
      <w:pPr>
        <w:spacing w:after="0" w:line="2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94" w:lineRule="exact"/>
        <w:rPr>
          <w:sz w:val="20"/>
          <w:szCs w:val="20"/>
          <w:color w:val="auto"/>
        </w:rPr>
      </w:pPr>
    </w:p>
    <w:p>
      <w:pPr>
        <w:ind w:right="40" w:firstLine="509"/>
        <w:spacing w:after="0" w:line="238" w:lineRule="auto"/>
        <w:rPr>
          <w:sz w:val="20"/>
          <w:szCs w:val="20"/>
          <w:color w:val="auto"/>
        </w:rPr>
      </w:pPr>
      <w:r>
        <w:rPr>
          <w:rFonts w:ascii="Times New Roman" w:cs="Times New Roman" w:eastAsia="Times New Roman" w:hAnsi="Times New Roman"/>
          <w:sz w:val="18"/>
          <w:szCs w:val="18"/>
          <w:color w:val="auto"/>
        </w:rPr>
        <w:t>We commenced the commercial launch of VASCEPA in the United States in January 2013 based on the MARINE indication for VASCEPA. In October 2016, in addition to the original 1-gram capsule size, we introduced a smaller 0.5-gram capsule size. The U.S. FDA-approved dosing for VASCEPA continues to be 4 grams per day, and as expected, the majority of new and existing patients continue to be prescribed the 1-gram size VASCEPA capsule. VASCEPA is sold principally to a limited number of major wholesalers, as well as selected regional wholesalers and mail order pharmacy providers, or collectively, our distributors or our customers, most of whom in turn resell VASCEPA to retail pharmacies for subsequent resale to patients and healthcare providers. We employ various medical affairs and marketing personnel to support our commercialization of VASCEPA.</w:t>
      </w:r>
    </w:p>
    <w:p>
      <w:pPr>
        <w:spacing w:after="0" w:line="91"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of</w:t>
      </w: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25" w:name="page26"/>
    <w:bookmarkEnd w:id="25"/>
    <w:p>
      <w:pPr>
        <w:ind w:right="40"/>
        <w:spacing w:after="0" w:line="258" w:lineRule="auto"/>
        <w:rPr>
          <w:sz w:val="20"/>
          <w:szCs w:val="20"/>
          <w:color w:val="auto"/>
        </w:rPr>
      </w:pPr>
      <w:r>
        <w:rPr>
          <w:rFonts w:ascii="Times New Roman" w:cs="Times New Roman" w:eastAsia="Times New Roman" w:hAnsi="Times New Roman"/>
          <w:sz w:val="18"/>
          <w:szCs w:val="18"/>
          <w:color w:val="auto"/>
        </w:rPr>
        <w:t>our patents covering the MARINE indication for use to reduce severely high triglyceride levels. We sought appeals of the Nevada Court judgment up to the United States Supreme Court, but we were unsuccessful. Most recently, on June 18, 2021, we were notified that our petition for writ of certiorari to the United States Supreme Court was denied.</w:t>
      </w:r>
    </w:p>
    <w:p>
      <w:pPr>
        <w:spacing w:after="0" w:line="61" w:lineRule="exact"/>
        <w:rPr>
          <w:sz w:val="20"/>
          <w:szCs w:val="20"/>
          <w:color w:val="auto"/>
        </w:rPr>
      </w:pPr>
    </w:p>
    <w:p>
      <w:pPr>
        <w:ind w:firstLine="544"/>
        <w:spacing w:after="0" w:line="243" w:lineRule="auto"/>
        <w:rPr>
          <w:sz w:val="20"/>
          <w:szCs w:val="20"/>
          <w:color w:val="auto"/>
        </w:rPr>
      </w:pPr>
      <w:r>
        <w:rPr>
          <w:rFonts w:ascii="Times New Roman" w:cs="Times New Roman" w:eastAsia="Times New Roman" w:hAnsi="Times New Roman"/>
          <w:sz w:val="18"/>
          <w:szCs w:val="18"/>
          <w:color w:val="auto"/>
        </w:rPr>
        <w:t>On May 22, 2020, Hikma received U.S. FDA approval to market its generic versions of VASCEPA for the MARINE indication of VASCEPA as an adjunct to diet to reduce TG levels in adult patients with severe (≥500 mg/dL) hypertriglyceridemia. In November 2020, Hikma launched their generic version of VASCEPA on a limited scale.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The earlier ANDA litigation did not pertain to our patents covering cardiovascular risk reduction. On January 25, 2021, we expanded the scope of the patent infringement lawsuit to include a health care insurance provider, Health Net, LLC. On January 4, 2022, the district court hearing the case granted Hikma's motion to dismiss. We intend to appeal the decision of the district court when permitted and also intend to continue to vigorously pursue our ongoing litigation with Health Net, LLC, but cannot predict the outcome or the impact on our business.</w:t>
      </w:r>
    </w:p>
    <w:p>
      <w:pPr>
        <w:spacing w:after="0" w:line="92" w:lineRule="exact"/>
        <w:rPr>
          <w:sz w:val="20"/>
          <w:szCs w:val="20"/>
          <w:color w:val="auto"/>
        </w:rPr>
      </w:pPr>
    </w:p>
    <w:p>
      <w:pPr>
        <w:ind w:right="320" w:firstLine="544"/>
        <w:spacing w:after="0" w:line="246" w:lineRule="auto"/>
        <w:rPr>
          <w:sz w:val="20"/>
          <w:szCs w:val="20"/>
          <w:color w:val="auto"/>
        </w:rPr>
      </w:pPr>
      <w:r>
        <w:rPr>
          <w:rFonts w:ascii="Times New Roman" w:cs="Times New Roman" w:eastAsia="Times New Roman" w:hAnsi="Times New Roman"/>
          <w:sz w:val="18"/>
          <w:szCs w:val="18"/>
          <w:color w:val="auto"/>
        </w:rPr>
        <w:t>On August 10, 2020, Dr. Reddy's received U.S. FDA approval to market its generic version for the MARINE indication of VASCEPA. In June 2021, Dr. Reddy’s launched its generic version of VASCEPA with labeling that is substantially similar to labeling of the Hikma generic product. On September 11, 2020, Teva Pharmaceuticals USA, Inc.'s, or Teva's, ANDA was approved by the U.S. FDA and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w:t>
      </w:r>
    </w:p>
    <w:p>
      <w:pPr>
        <w:spacing w:after="0" w:line="73" w:lineRule="exact"/>
        <w:rPr>
          <w:sz w:val="20"/>
          <w:szCs w:val="20"/>
          <w:color w:val="auto"/>
        </w:rPr>
      </w:pPr>
    </w:p>
    <w:p>
      <w:pPr>
        <w:ind w:right="120" w:firstLine="539"/>
        <w:spacing w:after="0" w:line="247" w:lineRule="auto"/>
        <w:rPr>
          <w:sz w:val="20"/>
          <w:szCs w:val="20"/>
          <w:color w:val="auto"/>
        </w:rPr>
      </w:pPr>
      <w:r>
        <w:rPr>
          <w:rFonts w:ascii="Times New Roman" w:cs="Times New Roman" w:eastAsia="Times New Roman" w:hAnsi="Times New Roman"/>
          <w:sz w:val="18"/>
          <w:szCs w:val="18"/>
          <w:color w:val="auto"/>
        </w:rPr>
        <w:t>We are responsible for supplying VASCEPA to all markets in which the branded product is sold, including Canada, Lebanon and the United Arab Emirates where the drug is promoted and sold via collaborations with third-party companies that compensate us for such supply, and in the United States and Germany where the drug is promoted and sold by us. Subject to commercial launches in additional countries within Europe and Hong Kong and approval in China, we will be responsible for supplying products to those markets as well. We are not responsible for providing any generic company with drug product. Geographies outside the United States in which VASCEPA is sold and under regulatory review are not subject to this U.S. patent litigation and judgment. No similar litigation involving potential generic versions of VASCEPA is pending outside the United States.</w:t>
      </w:r>
    </w:p>
    <w:p>
      <w:pPr>
        <w:spacing w:after="0" w:line="72"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We have continued to monitor the effect of COVID-19 and its impact on patient visits to doctors. Our level and type of promotion has varied during the pandemic based on the determination of whether the cost was justified in light of COVID-19's impact at a given time. We anticipate that at-risk patients will increasingly resume visiting their doctors for non-urgent medical care after they are vaccinated for COVID-19, however, we cannot accurately predict when this resumption in visits to doctors will occur and, because many patients have multiple medical issues, we cannot predict the degree to which healthcare professionals will be proactive in seeking to reduce cardiovascular risk in at-risk patients when these patients resume visiting their doctors. The timing is likely to vary by geography. In September 2021, to accelerate growth of VASCEPA in the United States, we announced our Go-to-Market strategy which contains three key strategic priorities:</w:t>
      </w:r>
    </w:p>
    <w:p>
      <w:pPr>
        <w:spacing w:after="0" w:line="71" w:lineRule="exact"/>
        <w:rPr>
          <w:sz w:val="20"/>
          <w:szCs w:val="20"/>
          <w:color w:val="auto"/>
        </w:rPr>
      </w:pPr>
    </w:p>
    <w:p>
      <w:pPr>
        <w:ind w:left="1020" w:right="20" w:hanging="503"/>
        <w:spacing w:after="0" w:line="25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healthcare provider engagement: </w:t>
      </w:r>
      <w:r>
        <w:rPr>
          <w:rFonts w:ascii="Times New Roman" w:cs="Times New Roman" w:eastAsia="Times New Roman" w:hAnsi="Times New Roman"/>
          <w:sz w:val="18"/>
          <w:szCs w:val="18"/>
          <w:color w:val="auto"/>
        </w:rPr>
        <w:t>Our omnichannel approach which is designed to enhance our reach to healthcare professionals,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aims to target a far greater number of the almost 700,000 statin prescribers through high frequency, and tailored messaging regarding the significant benefits of VASCEPA for CV risk reduction. We plan to optimize our U.S. field force and focus on the most productive territories. As a result, we reduced our U.S. field force to approximately 300 sales representatives who will remain a critical part of the commercial strategy going forward.</w:t>
      </w:r>
    </w:p>
    <w:p>
      <w:pPr>
        <w:spacing w:after="0" w:line="65" w:lineRule="exact"/>
        <w:rPr>
          <w:rFonts w:ascii="Times New Roman" w:cs="Times New Roman" w:eastAsia="Times New Roman" w:hAnsi="Times New Roman"/>
          <w:sz w:val="18"/>
          <w:szCs w:val="18"/>
          <w:color w:val="auto"/>
        </w:rPr>
      </w:pPr>
    </w:p>
    <w:p>
      <w:pPr>
        <w:ind w:left="1020" w:right="300" w:hanging="503"/>
        <w:spacing w:after="0" w:line="25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Enhancing managed care access: </w:t>
      </w:r>
      <w:r>
        <w:rPr>
          <w:rFonts w:ascii="Times New Roman" w:cs="Times New Roman" w:eastAsia="Times New Roman" w:hAnsi="Times New Roman"/>
          <w:sz w:val="18"/>
          <w:szCs w:val="18"/>
          <w:color w:val="auto"/>
        </w:rPr>
        <w:t>We continue working with payers in an effort to enhance our managed care position and further remove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barriers to VASCEPA prescriptions to ensure that patients in need of CV risk reduction receive proper therapy. Importantly, several large commercial and Medicare Part D payers currently cover VASCEPA as the exclusive icosapent ethyl product due to its lower net cost compared to generic icosapent ethyl.</w:t>
      </w:r>
    </w:p>
    <w:p>
      <w:pPr>
        <w:spacing w:after="0" w:line="65" w:lineRule="exact"/>
        <w:rPr>
          <w:rFonts w:ascii="Times New Roman" w:cs="Times New Roman" w:eastAsia="Times New Roman" w:hAnsi="Times New Roman"/>
          <w:sz w:val="18"/>
          <w:szCs w:val="18"/>
          <w:color w:val="auto"/>
        </w:rPr>
      </w:pPr>
    </w:p>
    <w:p>
      <w:pPr>
        <w:ind w:left="1020" w:right="20" w:hanging="503"/>
        <w:spacing w:after="0" w:line="25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Optimizing VASCEPA prescriptions for CV risk reduction: </w:t>
      </w:r>
      <w:r>
        <w:rPr>
          <w:rFonts w:ascii="Times New Roman" w:cs="Times New Roman" w:eastAsia="Times New Roman" w:hAnsi="Times New Roman"/>
          <w:sz w:val="18"/>
          <w:szCs w:val="18"/>
          <w:color w:val="auto"/>
        </w:rPr>
        <w:t>Branded VASCEPA remains the only available U.S. FDA approved icosapent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ethyl medication for CV risk reduction. To prevent improper generic substitution for this indication, we continue to aggressively educate critical stakeholders in the prescribing continuum to ensure proper fulfillment at each step. Additionally, we are evaluating various innovative solutions designed to better manage prescriptions for CV risk reduction.</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a result of our Go-to-Market strategy and our omnichannel approach, which we launched in the fourth quarter of 2021, we digitally approached a significant number of physicians across numerous digital channels. In addition, on November 1, 2021, we partnered with BlinkRx to provide patients an enhanced digital prescription fulfillment channel.</w:t>
      </w:r>
    </w:p>
    <w:p>
      <w:pPr>
        <w:spacing w:after="0" w:line="61"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color w:val="auto"/>
        </w:rPr>
        <w:t>As COVID-19 protocols ease and ordinary course activities continue to resume, we will continue to adjust our promotional initiatives accordingly, including pursuit of increased face-to-face interactions with healthcare professionals and expanding various forms of physician and direct-to-patient promotion.</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6" w:name="page27"/>
    <w:bookmarkEnd w:id="26"/>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obtain data from two third parties, Symphony Health and IQVIA, who collect and report estimates of weekly, monthly, quarterly and annual prescription information. There is a limited amount of information available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Based on data from Symphony Health and IQVIA, the below chart represents the estimated number of normalized total VASCEPA prescriptions.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55880</wp:posOffset>
            </wp:positionV>
            <wp:extent cx="4826000" cy="2957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826000" cy="2957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61" w:lineRule="exact"/>
        <w:rPr>
          <w:sz w:val="20"/>
          <w:szCs w:val="20"/>
          <w:color w:val="auto"/>
        </w:rPr>
      </w:pPr>
    </w:p>
    <w:p>
      <w:pPr>
        <w:ind w:right="180" w:firstLine="509"/>
        <w:spacing w:after="0" w:line="247" w:lineRule="auto"/>
        <w:rPr>
          <w:sz w:val="20"/>
          <w:szCs w:val="20"/>
          <w:color w:val="auto"/>
        </w:rPr>
      </w:pPr>
      <w:r>
        <w:rPr>
          <w:rFonts w:ascii="Times New Roman" w:cs="Times New Roman" w:eastAsia="Times New Roman" w:hAnsi="Times New Roman"/>
          <w:sz w:val="18"/>
          <w:szCs w:val="18"/>
          <w:color w:val="auto"/>
        </w:rPr>
        <w:t>The resulting conclusions from Symphony Health and IQVIA are rarely identical and should be viewed with caution. The previous calculations of prescription levels by these vendors can change between periods and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We are not responsible for the accuracy of these companies’ information and we do not receive prescription data directly from retail pharmacies.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December 2019, we announced that the European Medicines Agency, or EMA, validated the marketing authorization application seeking approval for VAZKEPA. The validation confirmed the submission was sufficiently complete for the EMA to begin its review. In August 2020, we announced our plans to launch VAZKEPA in major markets in Europe through our own European sales and marketing team. Such an approach allows us to retain substantially all of the economic potential of VAZKEPA in Europe and helps ensure that VAZKEPA would get the highest level of priority and focus. On January 28, 2021, the Committee for Medicinal Products for Human Use, or CHMP, of the EMA adopted a positive opinion, recommending that a marketing authorization be granted to icosapent ethyl in the EU for the reduction of risk of cardiovascular events in patients at high cardiovascular risk, under the brand name VAZKEPA. On March 26, 2021, the EC granted approval of the marketing authorization application in the EU.</w:t>
      </w:r>
    </w:p>
    <w:p>
      <w:pPr>
        <w:spacing w:after="0" w:line="87" w:lineRule="exact"/>
        <w:rPr>
          <w:sz w:val="20"/>
          <w:szCs w:val="20"/>
          <w:color w:val="auto"/>
        </w:rPr>
      </w:pPr>
    </w:p>
    <w:p>
      <w:pPr>
        <w:ind w:right="100" w:firstLine="509"/>
        <w:spacing w:after="0" w:line="241" w:lineRule="auto"/>
        <w:rPr>
          <w:sz w:val="20"/>
          <w:szCs w:val="20"/>
          <w:color w:val="auto"/>
        </w:rPr>
      </w:pPr>
      <w:r>
        <w:rPr>
          <w:rFonts w:ascii="Times New Roman" w:cs="Times New Roman" w:eastAsia="Times New Roman" w:hAnsi="Times New Roman"/>
          <w:sz w:val="18"/>
          <w:szCs w:val="18"/>
          <w:color w:val="auto"/>
        </w:rPr>
        <w:t>In Europe, launch of VAZKEPA in individual countries is gated by timing of achieving product reimbursement on a country-by-country basis as is typical for new drugs. In seeking market access, we have filed ten dossiers in European countries, including in all of the largest countries in Europe, and expect to file additional dossiers in Europe and select other parts of the world in the first half of 2022. In most European countries, securing product reimbursement is a requisite to launching. In certain countries, such as Denmark, individual patient reimbursement is allowed prior to national, general organization reimbursement.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the assessment of the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7" w:name="page28"/>
    <w:bookmarkEnd w:id="27"/>
    <w:p>
      <w:pPr>
        <w:ind w:right="320"/>
        <w:spacing w:after="0" w:line="282" w:lineRule="auto"/>
        <w:rPr>
          <w:sz w:val="20"/>
          <w:szCs w:val="20"/>
          <w:color w:val="auto"/>
        </w:rPr>
      </w:pPr>
      <w:r>
        <w:rPr>
          <w:rFonts w:ascii="Times New Roman" w:cs="Times New Roman" w:eastAsia="Times New Roman" w:hAnsi="Times New Roman"/>
          <w:sz w:val="18"/>
          <w:szCs w:val="18"/>
          <w:color w:val="auto"/>
        </w:rPr>
        <w:t>commercial opportunity of VAZKEPA in Europe. On March 25, 2022, we received our first national reimbursement in a European country with official confirmation that the TLV approved VAZKEPA for national reimbursement in Sweden.</w:t>
      </w:r>
    </w:p>
    <w:p>
      <w:pPr>
        <w:spacing w:after="0" w:line="40"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On September 1, 2021, VAZKEPA was made available in Germany and was included in the country's electronic prescribing system as of October 1, 2021. The commercial launch in Germany was accompanied by a scientific conference in Berlin titled, “New therapeutic strategies for residual CV risk management,” which highlighted the scientific underpinnings and clinical benefits of VASCEPA/VAZKEPA in reducing cardiovascular risk. We are building a digitally native commercial model balancing optimally digital and face-to-face approach for more impact and cost efficiency, which will also be utilized as other countries throughout Europe are launched.</w:t>
      </w:r>
    </w:p>
    <w:p>
      <w:pPr>
        <w:spacing w:after="0" w:line="87"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In order to launch impactfully in other countries throughout Europe, we are building a core team of experienced professionals and a highly capable commercial team involved with pre-launch planning and other commercial preparation activities and are leveraging third-party relationships for various support activities. In Europe, patients at high risk for cardiovascular disease tend, in contrast to the United States, to be treated more often by specialists, such as cardiologists rather than by physicians who are general practitioners. Privacy laws and other factors impact the availability of data to inform European commercial operations at an individual physician level. Generally, less data is available and at reduced frequencies as compared to the United States. However, this greater concentration of at-risk patients being treated by specialists in Europe should allow for more efficient promotion in Europe than in the United States. In Europe, VAZKEPA has the benefit of ten years of market protection, and we have been issued a patent that expires in 2033 with additional pending applications that could extend exclusivity into 2039.</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China</w:t>
      </w:r>
    </w:p>
    <w:p>
      <w:pPr>
        <w:spacing w:after="0" w:line="119"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In February 2015, we announced an exclusive agreement with Eddingpharm (Asia) Macao Commercial Offshore Limited, or Edding, to develop and commercialize VASCEPA capsules in what we refer to as the China Territory, consisting of the territories of Mainland China, Hong Kong, Macau and Taiwan, for uses that are currently commercialized and under development by us in the United States. Edding, with our support, conducted a clinical trial of VASCEPA in China, which evaluated the effect of VASCEPA on patients with very high triglyceride levels (≥500 mg/dL). In November 2020, we announced statistically significant topline positive results from this Phase 3 clinical trial of VASCEPA conducted by Edding. The study, which investigated VASCEPA as a treatment for patients with very high triglycerides (≥500 mg/dL), met its primary efficacy endpoint as defined in the clinical trial protocol and demonstrated a safety profile similar to placebo. Importantly, the VASCEPA 4 grams per day dose in this study appeared to be well-tolerated with a safety profile similar to placebo. There were no treatment-related serious adverse events in this study. On February 9, 2021, we announced that the regulatory review processes in Mainland China and Hong Kong have commenced. The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in the second half of 2022. On February 23, 2022 the Hong Kong Department of Health completed their evaluation and approved the use of VASCEPA under the REDUCE-IT indication.</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Middle East and North Africa (MENA)</w:t>
      </w:r>
    </w:p>
    <w:p>
      <w:pPr>
        <w:spacing w:after="0" w:line="10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Biologix obtained approval of VASCEPA under the MARINE and REDUCE-IT indications, and subsequently launched commercially, in the following countries: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2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MARINE</w:t>
            </w:r>
          </w:p>
        </w:tc>
        <w:tc>
          <w:tcPr>
            <w:tcW w:w="320" w:type="dxa"/>
            <w:vAlign w:val="bottom"/>
          </w:tcPr>
          <w:p>
            <w:pPr>
              <w:spacing w:after="0"/>
              <w:rPr>
                <w:sz w:val="16"/>
                <w:szCs w:val="16"/>
                <w:color w:val="auto"/>
              </w:rPr>
            </w:pPr>
          </w:p>
        </w:tc>
        <w:tc>
          <w:tcPr>
            <w:tcW w:w="156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REDUCE-IT</w:t>
            </w:r>
          </w:p>
        </w:tc>
        <w:tc>
          <w:tcPr>
            <w:tcW w:w="3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Launch Date</w:t>
            </w:r>
          </w:p>
        </w:tc>
        <w:tc>
          <w:tcPr>
            <w:tcW w:w="60" w:type="dxa"/>
            <w:vAlign w:val="bottom"/>
          </w:tcPr>
          <w:p>
            <w:pPr>
              <w:spacing w:after="0"/>
              <w:rPr>
                <w:sz w:val="16"/>
                <w:szCs w:val="16"/>
                <w:color w:val="auto"/>
              </w:rPr>
            </w:pPr>
          </w:p>
        </w:tc>
      </w:tr>
      <w:tr>
        <w:trPr>
          <w:trHeight w:val="21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w:t>
            </w:r>
          </w:p>
        </w:tc>
        <w:tc>
          <w:tcPr>
            <w:tcW w:w="28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March 2018</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w w:val="99"/>
              </w:rPr>
              <w:t>August 2021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2018</w:t>
            </w:r>
          </w:p>
        </w:tc>
        <w:tc>
          <w:tcPr>
            <w:tcW w:w="60" w:type="dxa"/>
            <w:vAlign w:val="bottom"/>
            <w:shd w:val="clear" w:color="auto" w:fill="CFF0FC"/>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2018</w:t>
            </w:r>
          </w:p>
        </w:tc>
        <w:tc>
          <w:tcPr>
            <w:tcW w:w="320" w:type="dxa"/>
            <w:vAlign w:val="bottom"/>
          </w:tcPr>
          <w:p>
            <w:pPr>
              <w:spacing w:after="0"/>
              <w:rPr>
                <w:sz w:val="18"/>
                <w:szCs w:val="18"/>
                <w:color w:val="auto"/>
              </w:rPr>
            </w:pPr>
          </w:p>
        </w:tc>
        <w:tc>
          <w:tcPr>
            <w:tcW w:w="156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October 2021</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2019</w:t>
            </w:r>
          </w:p>
        </w:tc>
        <w:tc>
          <w:tcPr>
            <w:tcW w:w="60" w:type="dxa"/>
            <w:vAlign w:val="bottom"/>
          </w:tcPr>
          <w:p>
            <w:pPr>
              <w:spacing w:after="0"/>
              <w:rPr>
                <w:sz w:val="18"/>
                <w:szCs w:val="18"/>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28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2019</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jc w:val="center"/>
              <w:ind w:left="235"/>
              <w:spacing w:after="0"/>
              <w:rPr>
                <w:sz w:val="20"/>
                <w:szCs w:val="20"/>
                <w:color w:val="auto"/>
              </w:rPr>
            </w:pPr>
            <w:r>
              <w:rPr>
                <w:rFonts w:ascii="Times New Roman" w:cs="Times New Roman" w:eastAsia="Times New Roman" w:hAnsi="Times New Roman"/>
                <w:sz w:val="18"/>
                <w:szCs w:val="18"/>
                <w:color w:val="auto"/>
              </w:rPr>
              <w:t>April 2021</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88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8"/>
                <w:szCs w:val="18"/>
                <w:color w:val="auto"/>
              </w:rPr>
            </w:pPr>
          </w:p>
        </w:tc>
      </w:tr>
      <w:tr>
        <w:trPr>
          <w:trHeight w:val="216"/>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Bahrain</w:t>
            </w:r>
          </w:p>
        </w:tc>
        <w:tc>
          <w:tcPr>
            <w:tcW w:w="28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2021</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18"/>
                <w:szCs w:val="18"/>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8"/>
                <w:szCs w:val="18"/>
                <w:color w:val="auto"/>
              </w:rPr>
            </w:pPr>
          </w:p>
        </w:tc>
      </w:tr>
      <w:tr>
        <w:trPr>
          <w:trHeight w:val="216"/>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Kuwait</w:t>
            </w:r>
          </w:p>
        </w:tc>
        <w:tc>
          <w:tcPr>
            <w:tcW w:w="28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2021</w:t>
            </w:r>
          </w:p>
        </w:tc>
        <w:tc>
          <w:tcPr>
            <w:tcW w:w="3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spacing w:after="0"/>
              <w:rPr>
                <w:sz w:val="18"/>
                <w:szCs w:val="18"/>
                <w:color w:val="auto"/>
              </w:rPr>
            </w:pPr>
          </w:p>
        </w:tc>
        <w:tc>
          <w:tcPr>
            <w:tcW w:w="1880" w:type="dxa"/>
            <w:vAlign w:val="bottom"/>
            <w:shd w:val="clear" w:color="auto" w:fill="CFF0FC"/>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shd w:val="clear" w:color="auto" w:fill="CFF0FC"/>
          </w:tcPr>
          <w:p>
            <w:pPr>
              <w:spacing w:after="0"/>
              <w:rPr>
                <w:sz w:val="18"/>
                <w:szCs w:val="18"/>
                <w:color w:val="auto"/>
              </w:rPr>
            </w:pPr>
          </w:p>
        </w:tc>
      </w:tr>
      <w:tr>
        <w:trPr>
          <w:trHeight w:val="234"/>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28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2022</w:t>
            </w: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Pr>
          <w:p>
            <w:pPr>
              <w:spacing w:after="0"/>
              <w:rPr>
                <w:sz w:val="20"/>
                <w:szCs w:val="20"/>
                <w:color w:val="auto"/>
              </w:rPr>
            </w:pPr>
          </w:p>
        </w:tc>
        <w:tc>
          <w:tcPr>
            <w:tcW w:w="18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r>
    </w:tbl>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Canada</w:t>
      </w:r>
    </w:p>
    <w:p>
      <w:pPr>
        <w:spacing w:after="0" w:line="10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and launched commercially in February 2020. In July 2020, the Canadian Agency for Drugs and Technologies in Health recommended that VASCEPA be reimbursed by participating public drug plans for statin-treated patients with established cardiovascular diseases and elevated triglycerides. In April 2022, HLS completed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8" w:name="page29"/>
    <w:bookmarkEnd w:id="28"/>
    <w:p>
      <w:pPr>
        <w:spacing w:after="0" w:line="245" w:lineRule="auto"/>
        <w:rPr>
          <w:sz w:val="20"/>
          <w:szCs w:val="20"/>
          <w:color w:val="auto"/>
        </w:rPr>
      </w:pPr>
      <w:r>
        <w:rPr>
          <w:rFonts w:ascii="Times New Roman" w:cs="Times New Roman" w:eastAsia="Times New Roman" w:hAnsi="Times New Roman"/>
          <w:sz w:val="18"/>
          <w:szCs w:val="18"/>
          <w:color w:val="auto"/>
        </w:rPr>
        <w:t>negotiations with Canada’s pan-Canadian Pharmaceutical Alliance for the terms and conditions under which VASCEPA would qualify for public market reimbursement in Canada. Following these negotiations, HLS has signed a Letter of Intent which allows HLS to work with all participating provincial jurisdictions to secure coverage from publicly funded drug plans across Canada, and for VASCEPA to potentially be added to their respective plans. HLS also received notification by the Patented Medical Prices Review Board that, further to its review, VASCEPA’s price did not trigger the investigation criteria for excessive pricing. Coverage of patients with established cardiovascular disease represents a substantial portion of VASCEPA’s approved label in Canada. VASCEPA has the benefit of data protection afforded through Health Canada until the end of 2027, in addition to separate patent protection with expiration dates that could extend into 2039.</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w:t>
      </w:r>
    </w:p>
    <w:p>
      <w:pPr>
        <w:spacing w:after="0" w:line="106"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We plan to continue to assess other potential partnership opportunities for VASCEPA with partners outside of the United States and Europe with the intention of partnering in all other international markets. Our plan is to file three waves of regulatory submissions for approval of VASCEPA in 20 additional countries in order to ensure that patients in the top 50 cardiometabolic markets worldwide can benefit from VASCEPA. We have initiated the first wave of regulatory filings in 2022 and have obtained acceptances of VASCEPA for regulatory reviews in Australia, Israel and New Zealand.</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06" w:lineRule="exact"/>
        <w:rPr>
          <w:sz w:val="20"/>
          <w:szCs w:val="20"/>
          <w:color w:val="auto"/>
        </w:rPr>
      </w:pPr>
    </w:p>
    <w:p>
      <w:pPr>
        <w:ind w:right="480" w:firstLine="509"/>
        <w:spacing w:after="0" w:line="250" w:lineRule="auto"/>
        <w:rPr>
          <w:sz w:val="20"/>
          <w:szCs w:val="20"/>
          <w:color w:val="auto"/>
        </w:rPr>
      </w:pPr>
      <w:r>
        <w:rPr>
          <w:rFonts w:ascii="Times New Roman" w:cs="Times New Roman" w:eastAsia="Times New Roman" w:hAnsi="Times New Roman"/>
          <w:sz w:val="18"/>
          <w:szCs w:val="18"/>
          <w:color w:val="auto"/>
        </w:rPr>
        <w:t>Based on REDUCE-IT results, as of the date of the filing of this Quarterly Report, 27 clinical treatment guidelines, consensus statements or scientific statements from medical societies or journals have been updated recommending the use of icosapent ethyl in appropriate at-risk patients, including those statements which we were informed of by our global partners in Canada, China and the Middle East as well as guidelines which were newly received during the first quarter of 2022 through the filing date of this Quarterly Report as listed below:</w:t>
      </w:r>
    </w:p>
    <w:p>
      <w:pPr>
        <w:spacing w:after="0" w:line="40" w:lineRule="exact"/>
        <w:rPr>
          <w:sz w:val="20"/>
          <w:szCs w:val="20"/>
          <w:color w:val="auto"/>
        </w:rPr>
      </w:pPr>
    </w:p>
    <w:p>
      <w:pPr>
        <w:ind w:left="1020" w:right="240" w:hanging="503"/>
        <w:spacing w:after="0" w:line="259"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panel of regional experts in plasma lipid disorders met to update the 2016 </w:t>
      </w:r>
      <w:r>
        <w:rPr>
          <w:rFonts w:ascii="Times New Roman" w:cs="Times New Roman" w:eastAsia="Times New Roman" w:hAnsi="Times New Roman"/>
          <w:sz w:val="18"/>
          <w:szCs w:val="18"/>
          <w:i w:val="1"/>
          <w:iCs w:val="1"/>
          <w:color w:val="auto"/>
        </w:rPr>
        <w:t>Consensus Clinical Recommendations for the Management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Plasma Lipid Disorders in the Middle East</w:t>
      </w:r>
      <w:r>
        <w:rPr>
          <w:rFonts w:ascii="Times New Roman" w:cs="Times New Roman" w:eastAsia="Times New Roman" w:hAnsi="Times New Roman"/>
          <w:sz w:val="18"/>
          <w:szCs w:val="18"/>
          <w:color w:val="auto"/>
        </w:rPr>
        <w:t>, using the latest evidence and recommendations from international guidelines. The published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update:</w:t>
      </w:r>
    </w:p>
    <w:p>
      <w:pPr>
        <w:spacing w:after="0" w:line="20" w:lineRule="exact"/>
        <w:rPr>
          <w:rFonts w:ascii="Times New Roman" w:cs="Times New Roman" w:eastAsia="Times New Roman" w:hAnsi="Times New Roman"/>
          <w:sz w:val="18"/>
          <w:szCs w:val="18"/>
          <w:color w:val="auto"/>
        </w:rPr>
      </w:pPr>
    </w:p>
    <w:p>
      <w:pPr>
        <w:ind w:left="1540" w:right="10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oRefers to the REDUCE-IT results and the cardiovascular disease, or CVD risk–lowering effects of IPE and noted that CVD reduction may be related to action of eicosapentaenoic acid, or EPA, independent of TG lowering</w:t>
      </w:r>
    </w:p>
    <w:p>
      <w:pPr>
        <w:spacing w:after="0" w:line="1" w:lineRule="exact"/>
        <w:rPr>
          <w:rFonts w:ascii="Times New Roman" w:cs="Times New Roman" w:eastAsia="Times New Roman" w:hAnsi="Times New Roman"/>
          <w:sz w:val="18"/>
          <w:szCs w:val="18"/>
          <w:color w:val="auto"/>
        </w:rPr>
      </w:pPr>
    </w:p>
    <w:p>
      <w:pPr>
        <w:ind w:left="1540" w:right="140" w:hanging="50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oStates that elevated TG levels are associated with increased atherosclerotic cardiovascular disease, or ASCVD, risk and patients with elevated TG levels (≥150 mg/dL) should be considered for more aggressive low-density lipoprotein cholesterol, or LDL-C, lowering as well as lowering of TGs</w:t>
      </w:r>
    </w:p>
    <w:p>
      <w:pPr>
        <w:spacing w:after="0" w:line="20" w:lineRule="exact"/>
        <w:rPr>
          <w:rFonts w:ascii="Times New Roman" w:cs="Times New Roman" w:eastAsia="Times New Roman" w:hAnsi="Times New Roman"/>
          <w:sz w:val="18"/>
          <w:szCs w:val="18"/>
          <w:color w:val="auto"/>
        </w:rPr>
      </w:pPr>
    </w:p>
    <w:p>
      <w:pPr>
        <w:ind w:left="1540" w:right="860" w:hanging="50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oRecommends that if TG, non-high-density lipoprotein, or non-HDL-C, or ApoB goals are not met with statins and lifestyle modifications, further options include ezetimibe, PCSK9 inhibitors, or IPE</w:t>
      </w:r>
    </w:p>
    <w:p>
      <w:pPr>
        <w:spacing w:after="0" w:line="40"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During 2022, we added to our growing body of knowledge on VASCEPA as a result of our continued analysis of the REDUCE-IT trial results. A new post hoc sub-analysis of REDUCE-IT, published in the Journal of the American Heart Association, or JAHA, found VASCEPA reduced the risk of cardiovascular death, strokes, heart attacks, coronary revascularization and unstable angina by 34% in patients with a history of percutaneous coronary intervention, or PCI, noting 8.5% and 5.4% absolute risk reductions, respectively, for the primary and secondary composite endpoints. In addition, in vitro research results showed that EPA in combination with widely prescribed statins, contributed to a reduction in lipid oxidation in membranes in a manner that may be enhanced with the use of these statins. The combinations of EPA and atorvastatin active metabolite and of EPA and rosuvastatin reduced lipid oxidation by 86% and 75%, respectively.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10, 2022, we announced that we have initiated development of a fixed dose combination product that has both icosapent ethyl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statin.</w:t>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Commercial and Clinical Supply</w:t>
      </w:r>
    </w:p>
    <w:p>
      <w:pPr>
        <w:spacing w:after="0" w:line="10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manage the manufacturing and supply of VASCEPA internally and have done so since we began clinical development of VASCEPA prior to the drug’s marketing approval by the U.S.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U.S. FDA-approved international API suppliers, encapsulators and packagers to support the VASCEPA commercial franchise. We also have multiple international API suppliers, encapsulators and packagers to support the commercialization of VASCEPA in geographies where the drug is approved outside the United States. Not all of our suppliers approved by the U.S. FDA are approved in every other geography. The regulatory process generally requires extensive details as part of the submission provided to a country or region in connection with a company's request for regulatory approval. Suppliers must be specifically identified as part of the submission for qualification and approval for commercialization in a country or region. As a result, only supply, as approved, may be used in finished goods available for sale in 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9" w:name="page30"/>
    <w:bookmarkEnd w:id="29"/>
    <w:p>
      <w:pPr>
        <w:ind w:right="280"/>
        <w:spacing w:after="0" w:line="258" w:lineRule="auto"/>
        <w:rPr>
          <w:sz w:val="20"/>
          <w:szCs w:val="20"/>
          <w:color w:val="auto"/>
        </w:rPr>
      </w:pPr>
      <w:r>
        <w:rPr>
          <w:rFonts w:ascii="Times New Roman" w:cs="Times New Roman" w:eastAsia="Times New Roman" w:hAnsi="Times New Roman"/>
          <w:sz w:val="18"/>
          <w:szCs w:val="18"/>
          <w:color w:val="auto"/>
        </w:rPr>
        <w:t>specific country or region.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Impact of COVID-19</w:t>
      </w:r>
    </w:p>
    <w:p>
      <w:pPr>
        <w:spacing w:after="0" w:line="119"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As of March 31, 2022, according to CDC data, approximately 65% of the U.S. population has been fully vaccinated, of which 45% have received one booster shot, and approximately 77% of the U.S. population has received at least one dose of a vaccine. In addition, cases have declined throughout the first quarter of 2022, coming off of a surge in cases at the end of 2021 driven by the Omicron variant.</w:t>
      </w:r>
    </w:p>
    <w:p>
      <w:pPr>
        <w:spacing w:after="0" w:line="8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Our ability to directly promote VASCEPA to healthcare professionals has been limited due to appropriate social distancing practices associated with COVID-19 and by patients electing to forego visiting their doctors for non-urgent medical examinations and/or choosing to not get blood tests, the results of which blood tests provide useful information to the treatment of cardiovascular risk. These limitations have had a significant impact on slowing VASCEPA prescription and revenue growth. While COVID-19 continues to impact promotion of VASCEPA and access remains variable, we have seen signs of improvement in access to face-to-face interactions with healthcare providers.</w:t>
      </w:r>
    </w:p>
    <w:p>
      <w:pPr>
        <w:spacing w:after="0" w:line="7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United States, at-risk patients increasingly resumed visiting their doctors for non-urgent medical care after they are vaccinated for COVID-19 and we anticipate that to continue. We continued to adjust our promotional initiatives, including pursuing increased face-to-face interactions with health care professionals and expanding various forms of direct-to-patient promotion based on COVID-19 protocols that are in place.</w:t>
      </w:r>
    </w:p>
    <w:p>
      <w:pPr>
        <w:spacing w:after="0" w:line="6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Europe, the rapid spread of the Omicron variant throughout Europe has led to a significant increase in COVID-19 related patients for healthcare professionals and hospitals. This has limited our access to and ability to directly promote VAZKEPA to healthcare professionals. We continue to explore other avenues, including digital, to reach and engage healthcare professionals despite the current restrictions and challenges.</w:t>
      </w:r>
    </w:p>
    <w:p>
      <w:pPr>
        <w:spacing w:after="0" w:line="6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Thus far, while COVID-19 has created some added logistical challenges regarding supply deliveries, these challenges have been manageable and COVID-19 has not materially impacted our ability to secure and deliver supply of VASCEPA. And, thus far, COVID-19 is not known to have significantly impacted ongoing clinical trials of VASCEPA.</w:t>
      </w:r>
    </w:p>
    <w:p>
      <w:pPr>
        <w:spacing w:after="0" w:line="61" w:lineRule="exact"/>
        <w:rPr>
          <w:sz w:val="20"/>
          <w:szCs w:val="20"/>
          <w:color w:val="auto"/>
        </w:rPr>
      </w:pPr>
    </w:p>
    <w:p>
      <w:pPr>
        <w:ind w:right="60" w:firstLine="509"/>
        <w:spacing w:after="0" w:line="241" w:lineRule="auto"/>
        <w:rPr>
          <w:sz w:val="20"/>
          <w:szCs w:val="20"/>
          <w:color w:val="auto"/>
        </w:rPr>
      </w:pPr>
      <w:r>
        <w:rPr>
          <w:rFonts w:ascii="Times New Roman" w:cs="Times New Roman" w:eastAsia="Times New Roman" w:hAnsi="Times New Roman"/>
          <w:sz w:val="18"/>
          <w:szCs w:val="18"/>
          <w:color w:val="auto"/>
        </w:rPr>
        <w:t>The extent to which COVID-19 impacts our business, results of operations and financial condition will depend on future developments, which, despite progress in vaccination efforts, are highly uncertain and cannot be predicted with confidence, including the duration of the pandemic, new information that may emerge concerning the severity of COVID-19, such as new strains of the virus that may emerge, which may impact rates of infection and vaccination efforts, developments or perceptions regarding the safety of vaccines and the extent and effectiveness of actions to contain COVID-19 or treat its impact, including vaccination campaigns and lockdown measures, among others. We are actively monitoring the situation and evaluating the pandemic's effect on patients, distributors, customers and our employees, as well as on our operations and the operations of our business partners and communities. We may take precautionary and preemptive or reactive actions that we determine are in the best interests of our business. We cannot predict the effects that such actions may have on our business or on our financial results, in particular with respect to demand for or access to VASCEPA.</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Product revenue, net</w:t>
      </w:r>
      <w:r>
        <w:rPr>
          <w:rFonts w:ascii="Times New Roman" w:cs="Times New Roman" w:eastAsia="Times New Roman" w:hAnsi="Times New Roman"/>
          <w:sz w:val="18"/>
          <w:szCs w:val="18"/>
          <w:color w:val="auto"/>
        </w:rPr>
        <w:t>. All of our product revenue is derived from product sales of 1-gram and 0.5-gram size capsules of VASCEPA, net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allowances, discounts, incentives, rebates, chargebacks and returns. In the United States, we sell product to a limited number of major wholesalers, as well as selected regional wholesalers and mail order pharmacy providers, or collectively, our distributors or our customers, most of whom resell the product to retail pharmacies for purposes of their reselling the product to fill patient prescriptions. Revenues from product sales are recognized when the customer obtains control of our product, which occurs at a point in time, typically upon delivery to the customer. Timing of shipments to wholesalers, as used for revenue recognition, and timing of prescriptions as estimated by third-party sources such as Symphony Health and IQVIA may differ from period to period. During the quarters ended March 31, 2022 and 2021, our Product revenue, net, included adjustment for co-pay mitigation rebates provided by us to commercially insured patients. Such support is intended to offset a portion of the out-of-pocket expense that patients are required to pay for VASCEPA based upon the benefit design of their prescription drug coverage. Our cost for these co-payment support payments in both of the quarters ended March 31, 2022 and 2021 was up to $150 per 30-day prescription filled and up to $450 per 90-day prescription filled. Currently the majority of our product revenue is derived from direct sales of VASCEPA in the United States.</w:t>
      </w:r>
    </w:p>
    <w:p>
      <w:pPr>
        <w:spacing w:after="0" w:line="82"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Outside of the United States, currently the majority of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We also derive product revenue from sales of our product to a limited number of wholesalers in Europe, most of whom in turn resell the product to pharmacies for purposes of their reselling the product to fill patient prescriptions.</w:t>
      </w:r>
    </w:p>
    <w:p>
      <w:pPr>
        <w:spacing w:after="0" w:line="207" w:lineRule="exact"/>
        <w:rPr>
          <w:sz w:val="20"/>
          <w:szCs w:val="20"/>
          <w:color w:val="auto"/>
        </w:rPr>
      </w:pPr>
    </w:p>
    <w:p>
      <w:pPr>
        <w:jc w:val="both"/>
        <w:ind w:right="56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currently consists of revenue attributable to receipt of up-front, non-refundable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215" w:lineRule="exact"/>
        <w:rPr>
          <w:sz w:val="20"/>
          <w:szCs w:val="20"/>
          <w:color w:val="auto"/>
        </w:rPr>
      </w:pPr>
    </w:p>
    <w:p>
      <w:pPr>
        <w:ind w:right="12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includes the cost of API for VASCEPA on which revenue was recognized during the period, as well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204"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consists primarily of salaries and other related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94"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consists primarily of fees paid to professional service providers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 us is prior to regulatory approval of the supplier, as well as license fees related to our strategic collaboration with Mochida Pharmaceutical Co., Ltd., or Mochida. We expense research and development costs as incurred.</w:t>
      </w:r>
    </w:p>
    <w:p>
      <w:pPr>
        <w:spacing w:after="0" w:line="208"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Interest income, net and other (expense), net</w:t>
      </w:r>
      <w:r>
        <w:rPr>
          <w:rFonts w:ascii="Times New Roman" w:cs="Times New Roman" w:eastAsia="Times New Roman" w:hAnsi="Times New Roman"/>
          <w:sz w:val="18"/>
          <w:szCs w:val="18"/>
          <w:color w:val="auto"/>
        </w:rPr>
        <w:t>. Interest income, net consists primarily of interest earned on our cash and cash equivalents,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short-term and long-term investments. Other (expense), net, consists primarily of foreign exchange losses and gains.</w:t>
      </w:r>
    </w:p>
    <w:p>
      <w:pPr>
        <w:spacing w:after="0" w:line="158" w:lineRule="exact"/>
        <w:rPr>
          <w:sz w:val="20"/>
          <w:szCs w:val="20"/>
          <w:color w:val="auto"/>
        </w:rPr>
      </w:pPr>
    </w:p>
    <w:p>
      <w:pPr>
        <w:ind w:right="100"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deferred tax assets and liabilities, and reserves for unrecognized tax benefits reflect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of estimated future taxes to be paid. We are subject to income taxes in both the United States and foreign jurisdictions. In applying guidance prescribed under ASC 740 and based on present evidence and conclusions around the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1" w:name="page32"/>
    <w:bookmarkEnd w:id="31"/>
    <w:p>
      <w:pPr>
        <w:ind w:right="160"/>
        <w:spacing w:after="0" w:line="266" w:lineRule="auto"/>
        <w:rPr>
          <w:sz w:val="20"/>
          <w:szCs w:val="20"/>
          <w:color w:val="auto"/>
        </w:rPr>
      </w:pPr>
      <w:r>
        <w:rPr>
          <w:rFonts w:ascii="Times New Roman" w:cs="Times New Roman" w:eastAsia="Times New Roman" w:hAnsi="Times New Roman"/>
          <w:sz w:val="18"/>
          <w:szCs w:val="18"/>
          <w:color w:val="auto"/>
        </w:rPr>
        <w:t>realizability of deferred tax assets, we determined that any tax benefit related to the pretax losses generated for the first quarters of 2022 and 2021 are not more likely than not to be realized.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08"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7"/>
          <w:szCs w:val="17"/>
          <w:color w:val="auto"/>
        </w:rPr>
        <w:t>This management's discussion and analysis of our financial condition and results of operations is based on our unaudited condensed consolidated financial statements and notes, which have been prepared in accordance with accounting principles generally accepted in the United States, or GAAP. The preparation of these condensed consolidated financial statements in conformity with GAAP requires us to make estimates, judgments and assumptions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There have been no material changes to our critical accounting policies, significant judgments and estimates described in our Annual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2—Significant Accounting Policies to our unaudited condensed consolidated financial statements included elsewhere in this Quarterly Report.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the impact of inflation on operations has been minimal during the past three years.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2022 and March 31, 2021</w:t>
      </w:r>
    </w:p>
    <w:p>
      <w:pPr>
        <w:spacing w:after="0" w:line="241"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Total revenue, net. </w:t>
      </w:r>
      <w:r>
        <w:rPr>
          <w:rFonts w:ascii="Times New Roman" w:cs="Times New Roman" w:eastAsia="Times New Roman" w:hAnsi="Times New Roman"/>
          <w:sz w:val="18"/>
          <w:szCs w:val="18"/>
          <w:color w:val="auto"/>
        </w:rPr>
        <w:t>We recorded total revenue, net, of $94.6 million and $142.2 million during the three months ended March 31, 2022 and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 decrease of $47.5 million, or 33%. Total revenue, net, consists primarily of revenue from the sale of VASCEPA in the United States. In addition to the United States, we also sell VASCEPA by prescription in Germany and VASCEPA is available by prescription in Canada, Lebanon and the United Arab Emirates through collaborations with third-party companies. As further discussed below, this decrease consists of a $47.4 million decrease in U.S. net product revenue and a $0.1 million decrease in licensing and royalty revenue.</w:t>
      </w:r>
    </w:p>
    <w:p>
      <w:pPr>
        <w:spacing w:after="0" w:line="217" w:lineRule="exact"/>
        <w:rPr>
          <w:sz w:val="20"/>
          <w:szCs w:val="20"/>
          <w:color w:val="auto"/>
        </w:rPr>
      </w:pPr>
    </w:p>
    <w:p>
      <w:pPr>
        <w:ind w:right="260" w:firstLine="53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Product revenue, net. </w:t>
      </w:r>
      <w:r>
        <w:rPr>
          <w:rFonts w:ascii="Times New Roman" w:cs="Times New Roman" w:eastAsia="Times New Roman" w:hAnsi="Times New Roman"/>
          <w:sz w:val="18"/>
          <w:szCs w:val="18"/>
          <w:color w:val="auto"/>
        </w:rPr>
        <w:t>We recorded product revenue, net, of $94.0 million and $141.4 million during the three months ended March 31,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a decrease of $47.4 million, or 34%.</w:t>
      </w:r>
    </w:p>
    <w:p>
      <w:pPr>
        <w:spacing w:after="0" w:line="53" w:lineRule="exact"/>
        <w:rPr>
          <w:sz w:val="20"/>
          <w:szCs w:val="20"/>
          <w:color w:val="auto"/>
        </w:rPr>
      </w:pPr>
    </w:p>
    <w:p>
      <w:pPr>
        <w:ind w:right="20" w:firstLine="539"/>
        <w:spacing w:after="0" w:line="245" w:lineRule="auto"/>
        <w:rPr>
          <w:sz w:val="20"/>
          <w:szCs w:val="20"/>
          <w:color w:val="auto"/>
        </w:rPr>
      </w:pPr>
      <w:r>
        <w:rPr>
          <w:rFonts w:ascii="Times New Roman" w:cs="Times New Roman" w:eastAsia="Times New Roman" w:hAnsi="Times New Roman"/>
          <w:sz w:val="18"/>
          <w:szCs w:val="18"/>
          <w:color w:val="auto"/>
        </w:rPr>
        <w:t>This decrease was driven primarily by a 34% decrease in VASCEPA sales in the United States. Approximately half of this decrease was driven by a decline in volume due to the impact of generics. The balance of the decrease was a result of selling initiatives focused on certain customers to maximize prescription fulfillment. During the three months ended March 31, 2022 there were three generics in the market, including the launch of a third generic in January 2022. During the three months ended March 31, 2021 there was only one generic in the market. The increase in generic competition, including the impact of the initial launch of the third generic, adversely impacted the volume and net pricing of branded sales in the three months ended March 31, 2022. In addition, compared with other quarters of the year, beginning of the year deductibles under patient insurance plans, which are not unique to VASCEPA, tend to cause some patients to not fill prescriptions particularly for asymptomatic medical conditions.</w:t>
      </w:r>
    </w:p>
    <w:p>
      <w:pPr>
        <w:spacing w:after="0" w:line="73" w:lineRule="exact"/>
        <w:rPr>
          <w:sz w:val="20"/>
          <w:szCs w:val="20"/>
          <w:color w:val="auto"/>
        </w:rPr>
      </w:pPr>
    </w:p>
    <w:p>
      <w:pPr>
        <w:ind w:firstLine="539"/>
        <w:spacing w:after="0" w:line="256" w:lineRule="auto"/>
        <w:rPr>
          <w:sz w:val="20"/>
          <w:szCs w:val="20"/>
          <w:color w:val="auto"/>
        </w:rPr>
      </w:pPr>
      <w:r>
        <w:rPr>
          <w:rFonts w:ascii="Times New Roman" w:cs="Times New Roman" w:eastAsia="Times New Roman" w:hAnsi="Times New Roman"/>
          <w:sz w:val="17"/>
          <w:szCs w:val="17"/>
          <w:color w:val="auto"/>
        </w:rPr>
        <w:t>The overall icosapent ethyl market in the United States, based on prescription levels reported by Symphony Health increased for the three months ended March 31, 2022 by 11% as compared to the three months ended March 31, 2021 despite a COVID-19 resurgence. Our share of the icosapent ethyl market has decreased to approximately 72% in the three months ended March 31, 2022 compared to approximately 91% in the three months ended March 31, 2021. Additionally, based on prescription levels reported by Symphony Health, VASCEPA branded prescriptions decreased by 12% in the three months ended March 31, 2022 compared to the three months ended March 31, 2021. Further, while still remaining within normal industry ranges, the wholesalers decreased their branded VASCEPA inventory levels as of March 31, 2022 by 40% in terms of bottles from the beginning of the quarter. By comparison, wholesaler inventory balances decreased by 10% during the first quarter of 2021. The inventory balances for the first quarter of 2022, as calculated based on days of sales on hand, were near the high-end of the range at the beginning of the quarter and reduced to the low-end of the range at the end of the first quarter of 2022 compared to a slight increase at the end of the first quarter of 2021 compared to the beginning of the first quarter of 2021.</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2" w:name="page33"/>
    <w:bookmarkEnd w:id="32"/>
    <w:p>
      <w:pPr>
        <w:ind w:right="60" w:firstLine="584"/>
        <w:spacing w:after="0" w:line="243" w:lineRule="auto"/>
        <w:rPr>
          <w:sz w:val="20"/>
          <w:szCs w:val="20"/>
          <w:color w:val="auto"/>
        </w:rPr>
      </w:pPr>
      <w:r>
        <w:rPr>
          <w:rFonts w:ascii="Times New Roman" w:cs="Times New Roman" w:eastAsia="Times New Roman" w:hAnsi="Times New Roman"/>
          <w:sz w:val="18"/>
          <w:szCs w:val="18"/>
          <w:color w:val="auto"/>
        </w:rPr>
        <w:t>Companies such as Symphony Health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are rarely identical. As such, the resulting conclusions from such sources should be viewed with caution. We are not responsible for the accuracy of these companies’ information and we do not receive prescription data directly from retail pharmacies.</w:t>
      </w:r>
    </w:p>
    <w:p>
      <w:pPr>
        <w:spacing w:after="0" w:line="78" w:lineRule="exact"/>
        <w:rPr>
          <w:sz w:val="20"/>
          <w:szCs w:val="20"/>
          <w:color w:val="auto"/>
        </w:rPr>
      </w:pPr>
    </w:p>
    <w:p>
      <w:pPr>
        <w:ind w:firstLine="539"/>
        <w:spacing w:after="0" w:line="245" w:lineRule="auto"/>
        <w:rPr>
          <w:sz w:val="20"/>
          <w:szCs w:val="20"/>
          <w:color w:val="auto"/>
        </w:rPr>
      </w:pPr>
      <w:r>
        <w:rPr>
          <w:rFonts w:ascii="Times New Roman" w:cs="Times New Roman" w:eastAsia="Times New Roman" w:hAnsi="Times New Roman"/>
          <w:sz w:val="18"/>
          <w:szCs w:val="18"/>
          <w:color w:val="auto"/>
        </w:rPr>
        <w:t>We will continue to monitor the generic prescription market in the U.S. and will vigorously protect our cardiovascular risk reduction patents, as deemed appropriate. In addition, based on available information, we believe that a significant number of icosapent ethyl prescriptions in the U.S. have gone unfilled in the three months ended March 31, 2022, due to general market disruption of order fulfillment processes. These processes at the pharmacy level have favored generic products in that in anticipation of receiving generic supply, in certain circumstances pharmacists have opted to wait to fill prescriptions with generic product by ordering product for later fulfillment. In the case of icosapent ethyl, in many U.S. markets generic product has been delayed or unavailable. In addition, we have heard multiple reports of patients finding that the generic product is more expensive than they have historically paid for the branded product resulting in their refusal to fill their prescriptions.</w:t>
      </w:r>
    </w:p>
    <w:p>
      <w:pPr>
        <w:spacing w:after="0" w:line="87" w:lineRule="exact"/>
        <w:rPr>
          <w:sz w:val="20"/>
          <w:szCs w:val="20"/>
          <w:color w:val="auto"/>
        </w:rPr>
      </w:pPr>
    </w:p>
    <w:p>
      <w:pPr>
        <w:ind w:right="40" w:firstLine="539"/>
        <w:spacing w:after="0" w:line="250" w:lineRule="auto"/>
        <w:rPr>
          <w:sz w:val="20"/>
          <w:szCs w:val="20"/>
          <w:color w:val="auto"/>
        </w:rPr>
      </w:pPr>
      <w:r>
        <w:rPr>
          <w:rFonts w:ascii="Times New Roman" w:cs="Times New Roman" w:eastAsia="Times New Roman" w:hAnsi="Times New Roman"/>
          <w:sz w:val="18"/>
          <w:szCs w:val="18"/>
          <w:color w:val="auto"/>
        </w:rPr>
        <w:t>In Europe, our commercial launch and growth of the market has been slower than expected due to the resurgence of COVID throughout Europe and political unrest in eastern Europe resulting in product revenue, net, of $0.5 million during the three months ended March 31, 2022. We began commercialization in Europe in September 2021, and as such recorded product revenue, net of nil during the three months ended March 31, 2021.</w:t>
      </w:r>
    </w:p>
    <w:p>
      <w:pPr>
        <w:spacing w:after="0" w:line="82" w:lineRule="exact"/>
        <w:rPr>
          <w:sz w:val="20"/>
          <w:szCs w:val="20"/>
          <w:color w:val="auto"/>
        </w:rPr>
      </w:pPr>
    </w:p>
    <w:p>
      <w:pPr>
        <w:ind w:right="80" w:firstLine="539"/>
        <w:spacing w:after="0" w:line="250" w:lineRule="auto"/>
        <w:rPr>
          <w:sz w:val="20"/>
          <w:szCs w:val="20"/>
          <w:color w:val="auto"/>
        </w:rPr>
      </w:pPr>
      <w:r>
        <w:rPr>
          <w:rFonts w:ascii="Times New Roman" w:cs="Times New Roman" w:eastAsia="Times New Roman" w:hAnsi="Times New Roman"/>
          <w:sz w:val="18"/>
          <w:szCs w:val="18"/>
          <w:color w:val="auto"/>
        </w:rPr>
        <w:t>VASCEPA is currently available by prescription in Canada, Lebanon and the United Arab Emirates through collaborations with third-party companies. For the three months ended March 31, 2022 we did not record any product revenue, net, to our collaboration partners compared to $0.5 million during the three months ended March 31, 2021.</w:t>
      </w:r>
    </w:p>
    <w:p>
      <w:pPr>
        <w:spacing w:after="0" w:line="82" w:lineRule="exact"/>
        <w:rPr>
          <w:sz w:val="20"/>
          <w:szCs w:val="20"/>
          <w:color w:val="auto"/>
        </w:rPr>
      </w:pPr>
    </w:p>
    <w:p>
      <w:pPr>
        <w:ind w:firstLine="539"/>
        <w:spacing w:after="0" w:line="244" w:lineRule="auto"/>
        <w:rPr>
          <w:sz w:val="20"/>
          <w:szCs w:val="20"/>
          <w:color w:val="auto"/>
        </w:rPr>
      </w:pPr>
      <w:r>
        <w:rPr>
          <w:rFonts w:ascii="Times New Roman" w:cs="Times New Roman" w:eastAsia="Times New Roman" w:hAnsi="Times New Roman"/>
          <w:sz w:val="18"/>
          <w:szCs w:val="18"/>
          <w:color w:val="auto"/>
        </w:rPr>
        <w:t>Despite the generic competition in the U.S., including a third generic entrant in January 2022, we remain confident that the patient need for VASCEPA is high. We continue to believe that our promotion and medical education efforts drive growth in the market and provide greater financial results for the us compared to the financial results if we halted these activities, however, we continue to monitor and assess these efforts in a dynamic environment, including the impact of factors outside of our control. As a result of the continued uncertainty of the global impact of COVID-19, the impact of generic competition in the U.S. and challenges for most drugs seeking market access in Europe, we are not providing revenue guidance at this time. We will consider resuming revenue guidance when there is greater clarity on the impact of these items.</w:t>
      </w:r>
    </w:p>
    <w:p>
      <w:pPr>
        <w:spacing w:after="0" w:line="193" w:lineRule="exact"/>
        <w:rPr>
          <w:sz w:val="20"/>
          <w:szCs w:val="20"/>
          <w:color w:val="auto"/>
        </w:rPr>
      </w:pPr>
    </w:p>
    <w:p>
      <w:pPr>
        <w:jc w:val="both"/>
        <w:ind w:right="20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Licensing and royalty revenue</w:t>
      </w:r>
      <w:r>
        <w:rPr>
          <w:rFonts w:ascii="Times New Roman" w:cs="Times New Roman" w:eastAsia="Times New Roman" w:hAnsi="Times New Roman"/>
          <w:sz w:val="18"/>
          <w:szCs w:val="18"/>
          <w:color w:val="auto"/>
        </w:rPr>
        <w:t>. Licensing and royalty revenue during the three months ended March 31, 2022 and 2021 was $0.6 million and $0.8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a decrease of $0.1 million, or 18%. Licensing and royalty revenue relates to the recognition of amounts received in connection with the following VASCEPA licensing agreements:</w:t>
      </w:r>
    </w:p>
    <w:p>
      <w:pPr>
        <w:spacing w:after="0" w:line="55"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Edding – a $15.0 million up-front payment received in February 2015 and a $1.0 million milestone payment achieved in March 2016.</w:t>
      </w:r>
    </w:p>
    <w:p>
      <w:pPr>
        <w:spacing w:after="0" w:line="103" w:lineRule="exact"/>
        <w:rPr>
          <w:rFonts w:ascii="Times New Roman" w:cs="Times New Roman" w:eastAsia="Times New Roman" w:hAnsi="Times New Roman"/>
          <w:sz w:val="18"/>
          <w:szCs w:val="18"/>
          <w:color w:val="auto"/>
        </w:rPr>
      </w:pPr>
    </w:p>
    <w:p>
      <w:pPr>
        <w:ind w:left="900" w:right="42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U.S. FDA approval of another indication and label expansion in December 2019, and a $3.8 million milestone payment that was received as a result of obtaining a regulatory exclusivity designation in January 2020.</w:t>
      </w:r>
    </w:p>
    <w:p>
      <w:pPr>
        <w:spacing w:after="0" w:line="9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up-front and milestone payments are being recognized over the estimated period in which we are required to provide regulatory and development support pursuant to the agreements. The amount of licensing and royalty revenue is expected to vary from period to period based on timing of milestones achieved and changes in estimates of the timing and level of support required.</w:t>
      </w:r>
    </w:p>
    <w:p>
      <w:pPr>
        <w:spacing w:after="0" w:line="6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part of our licensing agreements covering certain territories outside of the United States, we are entitled to a percentage of revenue earned based on sales by our partners. The royalty payments are being recognized as earned based on revenue recognized by our current partners.</w:t>
      </w:r>
    </w:p>
    <w:p>
      <w:pPr>
        <w:spacing w:after="0" w:line="187" w:lineRule="exact"/>
        <w:rPr>
          <w:sz w:val="20"/>
          <w:szCs w:val="20"/>
          <w:color w:val="auto"/>
        </w:rPr>
      </w:pPr>
    </w:p>
    <w:p>
      <w:pPr>
        <w:jc w:val="both"/>
        <w:ind w:right="40" w:firstLine="509"/>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Cost of goods sold. </w:t>
      </w:r>
      <w:r>
        <w:rPr>
          <w:rFonts w:ascii="Times New Roman" w:cs="Times New Roman" w:eastAsia="Times New Roman" w:hAnsi="Times New Roman"/>
          <w:sz w:val="18"/>
          <w:szCs w:val="18"/>
          <w:color w:val="auto"/>
        </w:rPr>
        <w:t>Cost of goods sold during the three months ended March 31, 2022 and 2021 was $22.2 million and $28.3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$6.1 million, or 21%. Cost of goods sold includes the cost of API for VASCEPA on which revenue was recognized during the period, as well as the associated costs for encapsulation, packaging, shipment, supply management,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3" w:name="page34"/>
    <w:bookmarkEnd w:id="33"/>
    <w:p>
      <w:pPr>
        <w:ind w:right="20"/>
        <w:spacing w:after="0" w:line="282" w:lineRule="auto"/>
        <w:rPr>
          <w:sz w:val="20"/>
          <w:szCs w:val="20"/>
          <w:color w:val="auto"/>
        </w:rPr>
      </w:pPr>
      <w:r>
        <w:rPr>
          <w:rFonts w:ascii="Times New Roman" w:cs="Times New Roman" w:eastAsia="Times New Roman" w:hAnsi="Times New Roman"/>
          <w:sz w:val="18"/>
          <w:szCs w:val="18"/>
          <w:color w:val="auto"/>
        </w:rPr>
        <w:t>insurance and quality assurance. The cost of the API included in cost of goods sold reflects the average cost of API included in inventory. This average cost reflects the actual purchase price of VASCEPA API.</w:t>
      </w:r>
    </w:p>
    <w:p>
      <w:pPr>
        <w:spacing w:after="0" w:line="40"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The API included in the calculation of the average cost of goods sold during the quarters ended March 31, 2022 and 2021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2022 to be similar to or modestly lower than 2021. The average cost may be variable from period to period depending upon the timing and quantity of API purchased from each supplier.</w:t>
      </w:r>
    </w:p>
    <w:p>
      <w:pPr>
        <w:spacing w:after="0" w:line="58"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Our overall gross margin on product sales for the three months ended March 31, 2022 and 2021 was 76% and 80%, respectively. The decrease in gross margin is as a result of a decrease in net selling price.</w:t>
      </w:r>
    </w:p>
    <w:p>
      <w:pPr>
        <w:spacing w:after="0" w:line="174" w:lineRule="exact"/>
        <w:rPr>
          <w:sz w:val="20"/>
          <w:szCs w:val="20"/>
          <w:color w:val="auto"/>
        </w:rPr>
      </w:pPr>
    </w:p>
    <w:p>
      <w:pPr>
        <w:ind w:right="140"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w:t>
      </w:r>
      <w:r>
        <w:rPr>
          <w:rFonts w:ascii="Times New Roman" w:cs="Times New Roman" w:eastAsia="Times New Roman" w:hAnsi="Times New Roman"/>
          <w:sz w:val="18"/>
          <w:szCs w:val="18"/>
          <w:color w:val="auto"/>
        </w:rPr>
        <w:t>. Selling, general and administrative expense for the three months ended March 31, 2022 and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$90.6 million and $105.8 million, respectively, a decrease of $15.2 million, or 14%. Selling, general and administrative expenses for the three months ended March 31, 2022 and 2021 are summarized in the table below:</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r>
      <w:tr>
        <w:trPr>
          <w:trHeight w:val="169"/>
        </w:trPr>
        <w:tc>
          <w:tcPr>
            <w:tcW w:w="59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09"/>
        </w:trPr>
        <w:tc>
          <w:tcPr>
            <w:tcW w:w="59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Selling expense </w:t>
            </w:r>
            <w:r>
              <w:rPr>
                <w:rFonts w:ascii="Times New Roman" w:cs="Times New Roman" w:eastAsia="Times New Roman" w:hAnsi="Times New Roman"/>
                <w:sz w:val="24"/>
                <w:szCs w:val="24"/>
                <w:color w:val="auto"/>
                <w:vertAlign w:val="superscript"/>
              </w:rPr>
              <w:t>(1)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62,252</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66,567</w:t>
            </w:r>
          </w:p>
        </w:tc>
        <w:tc>
          <w:tcPr>
            <w:tcW w:w="8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expense </w:t>
            </w:r>
            <w:r>
              <w:rPr>
                <w:rFonts w:ascii="Times New Roman" w:cs="Times New Roman" w:eastAsia="Times New Roman" w:hAnsi="Times New Roman"/>
                <w:sz w:val="24"/>
                <w:szCs w:val="24"/>
                <w:color w:val="auto"/>
                <w:vertAlign w:val="superscript"/>
              </w:rPr>
              <w:t>(2)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27,160</w:t>
            </w:r>
          </w:p>
        </w:tc>
        <w:tc>
          <w:tcPr>
            <w:tcW w:w="80" w:type="dxa"/>
            <w:vAlign w:val="bottom"/>
          </w:tcPr>
          <w:p>
            <w:pPr>
              <w:spacing w:after="0"/>
              <w:rPr>
                <w:sz w:val="18"/>
                <w:szCs w:val="18"/>
                <w:color w:val="auto"/>
              </w:rPr>
            </w:pPr>
          </w:p>
        </w:tc>
      </w:tr>
      <w:tr>
        <w:trPr>
          <w:trHeight w:val="216"/>
        </w:trPr>
        <w:tc>
          <w:tcPr>
            <w:tcW w:w="592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(3)</w:t>
            </w: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90,647</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105,798</w:t>
            </w:r>
          </w:p>
        </w:tc>
        <w:tc>
          <w:tcPr>
            <w:tcW w:w="80" w:type="dxa"/>
            <w:vAlign w:val="bottom"/>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-170815</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2" w:lineRule="exact"/>
        <w:rPr>
          <w:sz w:val="20"/>
          <w:szCs w:val="20"/>
          <w:color w:val="auto"/>
        </w:rPr>
      </w:pPr>
    </w:p>
    <w:p>
      <w:pPr>
        <w:ind w:left="480" w:right="40" w:hanging="383"/>
        <w:spacing w:after="0" w:line="246"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expense for the three months ended March 31, 2022 and 2021 was $62.3 million and $66.6 million, respectively, a decrease of $4.3 million, or 6%. This decrease is primarily due to a decrease in marketing and direct-to-consumer promotions, as a result of the impact of COVID-19 and our focus on improving the profitability of our operations in the United States. The decrease also includes a reduction in costs associated with our Go-to-Market strategy resulting in decreased promotional initiatives, reduced travel and a decrease in our U.S. sales force. The decrease in selling expense was offset by increased costs associated with commercialization related activities in European countries.</w:t>
      </w:r>
    </w:p>
    <w:p>
      <w:pPr>
        <w:spacing w:after="0" w:line="5" w:lineRule="exact"/>
        <w:rPr>
          <w:rFonts w:ascii="Times New Roman" w:cs="Times New Roman" w:eastAsia="Times New Roman" w:hAnsi="Times New Roman"/>
          <w:sz w:val="18"/>
          <w:szCs w:val="18"/>
          <w:color w:val="auto"/>
        </w:rPr>
      </w:pPr>
    </w:p>
    <w:p>
      <w:pPr>
        <w:ind w:left="480" w:right="80" w:hanging="383"/>
        <w:spacing w:after="0" w:line="255"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for the three months ended March 31, 2022 and 2021 was $23.8 million and $27.2 million, respectively, a decrease of $3.4 million, or 12%. This decrease is primarily due to a decrease in legal fees related to the ANDA patent litigation in the United States during the three months ended March 31, 2022.</w:t>
      </w:r>
    </w:p>
    <w:p>
      <w:pPr>
        <w:spacing w:after="0" w:line="1" w:lineRule="exact"/>
        <w:rPr>
          <w:rFonts w:ascii="Times New Roman" w:cs="Times New Roman" w:eastAsia="Times New Roman" w:hAnsi="Times New Roman"/>
          <w:sz w:val="18"/>
          <w:szCs w:val="18"/>
          <w:color w:val="auto"/>
        </w:rPr>
      </w:pPr>
    </w:p>
    <w:p>
      <w:pPr>
        <w:jc w:val="both"/>
        <w:ind w:left="480" w:right="80" w:hanging="383"/>
        <w:spacing w:after="0" w:line="250" w:lineRule="auto"/>
        <w:tabs>
          <w:tab w:leader="none" w:pos="4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for the three months ended March 31, 2022 and 2021 was $4.6 million and $12.1 million, respectively, a decrease of $7.4 million, or 62%. Non-cash stock-based compensation expense represents the estimated costs associated with equity awards issued to internal personnel supporting our selling, general and administrative functions. The decrease is primarily due to the decrease in U.S. field force as well as a reversal of expense related to certain awards.</w:t>
      </w:r>
    </w:p>
    <w:p>
      <w:pPr>
        <w:spacing w:after="0" w:line="69"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We are investing in building an appropriate foundation for the successful launch of VAZKEPA throughout Europe, advancing regulatory filings internationally and continuing our orchestrated omnichannel engagement for VASCEPA in the U.S. As a result, we will continue to evaluate all of our spending commitments and priorities as well as adjust our level of education and promotional activities based on various factors, including the impact of COVID-19 and U.S. generic competition.</w:t>
      </w:r>
    </w:p>
    <w:p>
      <w:pPr>
        <w:spacing w:after="0" w:line="216"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Research and development expense for the three months ended March 31, 2022 and 2021 was $10.1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 million, respectively, an increase of $0.7 million, or 7%. Research and development expenses for the three months ended March 31, 2022 and 2021 are summarized in the table below:</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tcPr>
          <w:p>
            <w:pPr>
              <w:spacing w:after="0"/>
              <w:rPr>
                <w:sz w:val="16"/>
                <w:szCs w:val="16"/>
                <w:color w:val="auto"/>
              </w:rPr>
            </w:pPr>
          </w:p>
        </w:tc>
      </w:tr>
      <w:tr>
        <w:trPr>
          <w:trHeight w:val="169"/>
        </w:trPr>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4"/>
                <w:szCs w:val="14"/>
                <w:color w:val="auto"/>
              </w:rPr>
            </w:pPr>
          </w:p>
        </w:tc>
      </w:tr>
      <w:tr>
        <w:trPr>
          <w:trHeight w:val="210"/>
        </w:trPr>
        <w:tc>
          <w:tcPr>
            <w:tcW w:w="596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REDUCE-IT study </w:t>
            </w:r>
            <w:r>
              <w:rPr>
                <w:rFonts w:ascii="Times New Roman" w:cs="Times New Roman" w:eastAsia="Times New Roman" w:hAnsi="Times New Roman"/>
                <w:sz w:val="24"/>
                <w:szCs w:val="24"/>
                <w:color w:val="auto"/>
                <w:vertAlign w:val="superscript"/>
              </w:rPr>
              <w:t>(1)</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80" w:type="dxa"/>
            <w:vAlign w:val="bottom"/>
            <w:shd w:val="clear" w:color="auto" w:fill="CFF0FC"/>
          </w:tcPr>
          <w:p>
            <w:pPr>
              <w:spacing w:after="0"/>
              <w:rPr>
                <w:sz w:val="18"/>
                <w:szCs w:val="18"/>
                <w:color w:val="auto"/>
              </w:rPr>
            </w:pPr>
          </w:p>
        </w:tc>
      </w:tr>
      <w:tr>
        <w:trPr>
          <w:trHeight w:val="216"/>
        </w:trPr>
        <w:tc>
          <w:tcPr>
            <w:tcW w:w="59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Regulatory filing fees and expenses </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Internal staffing, overhead and other </w:t>
            </w:r>
            <w:r>
              <w:rPr>
                <w:rFonts w:ascii="Times New Roman" w:cs="Times New Roman" w:eastAsia="Times New Roman" w:hAnsi="Times New Roman"/>
                <w:sz w:val="24"/>
                <w:szCs w:val="24"/>
                <w:color w:val="auto"/>
                <w:vertAlign w:val="superscript"/>
              </w:rPr>
              <w:t>(3)</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 excluding non-cash expense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80" w:type="dxa"/>
            <w:vAlign w:val="bottom"/>
          </w:tcPr>
          <w:p>
            <w:pPr>
              <w:spacing w:after="0"/>
              <w:rPr>
                <w:sz w:val="18"/>
                <w:szCs w:val="18"/>
                <w:color w:val="auto"/>
              </w:rPr>
            </w:pPr>
          </w:p>
        </w:tc>
      </w:tr>
      <w:tr>
        <w:trPr>
          <w:trHeight w:val="216"/>
        </w:trPr>
        <w:tc>
          <w:tcPr>
            <w:tcW w:w="596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Non-cash stock-based compensation expense </w:t>
            </w:r>
            <w:r>
              <w:rPr>
                <w:rFonts w:ascii="Times New Roman" w:cs="Times New Roman" w:eastAsia="Times New Roman" w:hAnsi="Times New Roman"/>
                <w:sz w:val="24"/>
                <w:szCs w:val="24"/>
                <w:color w:val="auto"/>
                <w:vertAlign w:val="superscript"/>
              </w:rPr>
              <w:t>(4)</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80" w:type="dxa"/>
            <w:vAlign w:val="bottom"/>
          </w:tcPr>
          <w:p>
            <w:pPr>
              <w:spacing w:after="0"/>
              <w:rPr>
                <w:sz w:val="18"/>
                <w:szCs w:val="18"/>
                <w:color w:val="auto"/>
              </w:rPr>
            </w:pPr>
          </w:p>
        </w:tc>
      </w:tr>
      <w:tr>
        <w:trPr>
          <w:trHeight w:val="20"/>
        </w:trPr>
        <w:tc>
          <w:tcPr>
            <w:tcW w:w="59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-454025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-454025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9512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232" w:lineRule="exact"/>
        <w:rPr>
          <w:sz w:val="20"/>
          <w:szCs w:val="20"/>
          <w:color w:val="auto"/>
        </w:rPr>
      </w:pPr>
    </w:p>
    <w:p>
      <w:pPr>
        <w:ind w:left="520" w:right="140" w:hanging="512"/>
        <w:spacing w:after="0" w:line="253"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2018, we announced landmark positive topline results of the REDUCE-IT cardiovascular outcomes trial. The decrease in expenses is primarily driven by the completion of certain analyses performed beyond the REDUCE-IT cardiovascular outcomes trial.</w:t>
      </w: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4" w:name="page35"/>
    <w:bookmarkEnd w:id="34"/>
    <w:p>
      <w:pPr>
        <w:ind w:left="520" w:right="320" w:hanging="512"/>
        <w:spacing w:after="0" w:line="250"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filing fees in each of the quarters ended March 31, 2022 and 2021 included annual U.S. FDA fees for maintaining manufacturing sites. Such fees primarily represent fees for qualification of new suppliers, including increasing capacity capabilities, and fees to support international regulatory review of VASCEPA, particularly in Europe, sites used for the manufacture of product used in the REDUCE-IT clinical outcomes study.</w:t>
      </w:r>
    </w:p>
    <w:p>
      <w:pPr>
        <w:spacing w:after="0" w:line="1" w:lineRule="exact"/>
        <w:rPr>
          <w:rFonts w:ascii="Times New Roman" w:cs="Times New Roman" w:eastAsia="Times New Roman" w:hAnsi="Times New Roman"/>
          <w:sz w:val="18"/>
          <w:szCs w:val="18"/>
          <w:color w:val="auto"/>
        </w:rPr>
      </w:pPr>
    </w:p>
    <w:p>
      <w:pPr>
        <w:ind w:left="520" w:right="20" w:hanging="512"/>
        <w:spacing w:after="0" w:line="24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including costs associated with securing regulatory approvals for VAZKEPA in Europe as achieved in 2021. Also included are costs related to qualifying suppliers, costs related to development of a fixed dose combination product and costs associated with various other investigations, including other costs in collaboration with Mochida and pilot studies regarding VASCEPA.</w:t>
      </w:r>
    </w:p>
    <w:p>
      <w:pPr>
        <w:spacing w:after="0" w:line="5" w:lineRule="exact"/>
        <w:rPr>
          <w:rFonts w:ascii="Times New Roman" w:cs="Times New Roman" w:eastAsia="Times New Roman" w:hAnsi="Times New Roman"/>
          <w:sz w:val="18"/>
          <w:szCs w:val="18"/>
          <w:color w:val="auto"/>
        </w:rPr>
      </w:pPr>
    </w:p>
    <w:p>
      <w:pPr>
        <w:ind w:left="520" w:right="5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stock-based compensation expense represents the estimated costs associated with equity awards issued to personnel supporting our research and development and regulatory functions.</w:t>
      </w:r>
    </w:p>
    <w:p>
      <w:pPr>
        <w:spacing w:after="0" w:line="68"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We continuously evaluate all of our spending commitments and priorities and we plan to adjust our level of research and development activities based on the impact of COVID-19 and generic competition.</w:t>
      </w:r>
    </w:p>
    <w:p>
      <w:pPr>
        <w:spacing w:after="0" w:line="187"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Interest income, net</w:t>
      </w:r>
      <w:r>
        <w:rPr>
          <w:rFonts w:ascii="Times New Roman" w:cs="Times New Roman" w:eastAsia="Times New Roman" w:hAnsi="Times New Roman"/>
          <w:sz w:val="18"/>
          <w:szCs w:val="18"/>
          <w:color w:val="auto"/>
        </w:rPr>
        <w:t>. Interest income, net, for the three months ended March 31, 2022 and 2021 was $0.2 million and $0.5 million, respectively,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of $0.3 million, or 57%. Interest income represents income earned on cash and investment balances. The decrease is primarily due to a decrease in the Company's cash balance and short-term and long-term investments.</w:t>
      </w:r>
    </w:p>
    <w:p>
      <w:pPr>
        <w:spacing w:after="0" w:line="194" w:lineRule="exact"/>
        <w:rPr>
          <w:sz w:val="20"/>
          <w:szCs w:val="20"/>
          <w:color w:val="auto"/>
        </w:rPr>
      </w:pPr>
    </w:p>
    <w:p>
      <w:pPr>
        <w:ind w:right="34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for the three months ended March 31, 2022 and 2021 was expense of $246 thousand and $142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Other expense, net, primarily consists of gains and losses on foreign exchange transactions.</w:t>
      </w:r>
    </w:p>
    <w:p>
      <w:pPr>
        <w:spacing w:after="0" w:line="172" w:lineRule="exact"/>
        <w:rPr>
          <w:sz w:val="20"/>
          <w:szCs w:val="20"/>
          <w:color w:val="auto"/>
        </w:rPr>
      </w:pPr>
    </w:p>
    <w:p>
      <w:pPr>
        <w:ind w:right="240" w:firstLine="509"/>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Income tax provision for the three months ended March 31, 2022 and 2021 was $3.2 million and $0.6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provision for the three months ended March 31, 2022 is the result of income generated by our U.S. operations for which tax expense has been recognized based on a full year estimated U.S. income tax liability.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Our aggregate sources of liquidity as of March 31, 2022 include cash and cash equivalents and restricted cash of $223.1 million, short-term investments of $143.4 million and long-term investments of $26.7 million, with no debt.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73"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Our cash flows from operating, investing and financing activities, as reflected in the condensed consolidated statements of cash flows, are summarized in the following table:</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64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provided by:</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(98.8 )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(18.7 )</w:t>
            </w:r>
          </w:p>
        </w:tc>
      </w:tr>
      <w:tr>
        <w:trPr>
          <w:trHeight w:val="216"/>
        </w:trPr>
        <w:tc>
          <w:tcPr>
            <w:tcW w:w="64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18"/>
                <w:szCs w:val="18"/>
                <w:color w:val="auto"/>
              </w:rPr>
            </w:pPr>
          </w:p>
        </w:tc>
        <w:tc>
          <w:tcPr>
            <w:tcW w:w="15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(0.5 )</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r>
      <w:tr>
        <w:trPr>
          <w:trHeight w:val="250"/>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 and restricted cash</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-24765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2022 as compared to the same period in 2021 is primarily as a result of an increase in inventory purchases during 2022 as well as costs associated with commercial operations in Germany and planning for commercial launch in additional countries in Europe.</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March 31, 2022 is primarily due to the proceeds from the maturity of $113.2 million in investment-grade interest bearing instruments, partially offset by $14.2 million in purchases of investment-grade interest bearing instruments as compared to the same period in 2021 where proceeds from the maturity and sale of securities was $127.9 million, with no purchases of additional securities.</w:t>
      </w:r>
    </w:p>
    <w:p>
      <w:pPr>
        <w:spacing w:after="0" w:line="6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financing activities decreased during the three months ended March 31, 2022 as compared to the same period in 2021 primarily as a result of costs associated with our stock compensation plan.</w:t>
      </w: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As of March 31, 2022, we had net accounts receivable of $110.2 million, current inventory of $267.8 million and long-term inventory of $141.1 million. We have incurred annual operating losses since our inception and, as a result, we had an accumulated deficit of $1.5 billion as of March 31, 2022. We anticipate that quarterly net cash outflows in future periods will continue to be variable as a result of the timing of certain items, including our purchases of API, the impact from COVID-19 on our operations, the generic competition in the United States as a result of our ANDA litigation and commercialization of VAZKEPA in Europe. For Europe, we launched VAZKEPA in Germany in September 2021 and we commenced pre-launch planning and other commercial preparation activities, and continue to grow our European staff by hiring Market access and Medical affairs teams, among others, across Europe as deemed appropriate on a country by country basis.</w:t>
      </w:r>
    </w:p>
    <w:p>
      <w:pPr>
        <w:spacing w:after="0" w:line="8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believe that our cash and cash equivalents of $219.2 million as of March 31, 2022 together with our short-term investments of $143.4 million as of March 31, 2022, will be sufficient to fund our projected operations for at least 12 months from the issuance date of our unaudited condensed consolidated financial statements included elsewhere in this Quarterly Report and is adequate to support continued operations based on our current plans. We have based this estimate on assumptions that may prove to be wrong, including as a result of the risks discussed under “Risk Factors” in this Quarterly Report, and we could use our capital resources sooner than we expect or fail to achieve positive cash flow.</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08"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Our contractual obligations consist mainly of payments related to purchase obligations with certain supply chain contracting parties and operating leases related to real estate used as office space. There have been no material changes during the three months ended March 31, 2022 to our contractual obligations as presented in Part II, Item 7 of our Annual Report.</w:t>
      </w:r>
    </w:p>
    <w:p>
      <w:pPr>
        <w:spacing w:after="0" w:line="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0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with respect to the information appearing in Part II, Item 7A “Quantitative and Qualitative Disclosures about Market Risk” of our Annual Report.</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or the Exchange Act) that are designed to ensure that information required to be disclosed by us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6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40" w:lineRule="exact"/>
        <w:rPr>
          <w:sz w:val="20"/>
          <w:szCs w:val="20"/>
          <w:color w:val="auto"/>
        </w:rPr>
      </w:pPr>
    </w:p>
    <w:p>
      <w:pPr>
        <w:jc w:val="both"/>
        <w:ind w:right="340" w:firstLine="50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of March 31, 2022. Based on such evaluation, our principal executive officer and principal financial officer have concluded that as of March 31, 2022, our disclosure controls and procedures were effective at the reasonable assurance level.</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During the quarter ended March 31, 2022, there were no changes in our internal control over financial reporting, as such term is defined in Rules 13a-15(f) and 15(d)-15(f) under the Exchange Act, that have materially affected, or are reasonably likely to materially affect, our internal control over financial reporting.</w:t>
      </w:r>
    </w:p>
    <w:p>
      <w:pPr>
        <w:spacing w:after="0" w:line="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includes a discussion of our current legal proceedings. Refer to Note 5 – Commitments and Contingencies to our unaudited condensed consolidated financial statements included elsewhere in this Quarterly Report for further details on our legal proceedings during the three months ended March 31, 2022.</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and VAZKEPA, collectively referred to as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7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These risk factors have not been materially updated from our Annual Report on 10-K for the year ended December 31, 2021 filed with the SEC on March 1, 2022, or our Annual Report.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Risk Factors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you should be aware of in evaluating our business. These risks include, but are not limited to, the following:</w:t>
      </w:r>
    </w:p>
    <w:p>
      <w:pPr>
        <w:spacing w:after="0" w:line="40" w:lineRule="exact"/>
        <w:rPr>
          <w:sz w:val="20"/>
          <w:szCs w:val="20"/>
          <w:color w:val="auto"/>
        </w:rPr>
      </w:pPr>
    </w:p>
    <w:p>
      <w:pPr>
        <w:ind w:left="900" w:right="120" w:hanging="383"/>
        <w:spacing w:after="0" w:line="229"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upon VASCEPA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(icosapent ethyl), its commercialization in the United States and its development and commercialization in Europe and other major markets. In the United States, VASCEPA is facing increasing competition from generic versions of the drug. In Europe, VAZKEPA launched in Germany following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94"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we face increasing competition from generic drug companies in the near term and our revenues and results of operations could be materially and adversely affected.</w:t>
      </w:r>
    </w:p>
    <w:p>
      <w:pPr>
        <w:spacing w:after="0" w:line="54" w:lineRule="exact"/>
        <w:rPr>
          <w:rFonts w:ascii="Times New Roman" w:cs="Times New Roman" w:eastAsia="Times New Roman" w:hAnsi="Times New Roman"/>
          <w:sz w:val="18"/>
          <w:szCs w:val="18"/>
          <w:color w:val="auto"/>
        </w:rPr>
      </w:pPr>
    </w:p>
    <w:p>
      <w:pPr>
        <w:ind w:left="900" w:right="58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outside of our control may make it more difficult for VASCEPA to achieve a level of market acceptance by physicians, patients, healthcare payors and others in the medical community at levels sufficient to meet our expectations for commercial success.</w:t>
      </w:r>
    </w:p>
    <w:p>
      <w:pPr>
        <w:spacing w:after="0" w:line="67" w:lineRule="exact"/>
        <w:rPr>
          <w:rFonts w:ascii="Times New Roman" w:cs="Times New Roman" w:eastAsia="Times New Roman" w:hAnsi="Times New Roman"/>
          <w:sz w:val="18"/>
          <w:szCs w:val="18"/>
          <w:color w:val="auto"/>
        </w:rPr>
      </w:pPr>
    </w:p>
    <w:p>
      <w:pPr>
        <w:ind w:left="900" w:right="10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scale, scope and duration of business interruptions caused by the ongoing COVID-19 pandemic and related recovery efforts are uncertain as the impact of the pandemic continues to cause negative effects on our business.</w:t>
      </w:r>
    </w:p>
    <w:p>
      <w:pPr>
        <w:spacing w:after="0" w:line="54" w:lineRule="exact"/>
        <w:rPr>
          <w:rFonts w:ascii="Times New Roman" w:cs="Times New Roman" w:eastAsia="Times New Roman" w:hAnsi="Times New Roman"/>
          <w:sz w:val="18"/>
          <w:szCs w:val="18"/>
          <w:color w:val="auto"/>
        </w:rPr>
      </w:pPr>
    </w:p>
    <w:p>
      <w:pPr>
        <w:ind w:left="900" w:right="38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planned commercialization efforts, including our implemented Go-to-Market strategy, may not be successful in increasing sales of VASCEPA in the United States and developing sales internationally.</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promotion and supply of VASCEPA is subject to regulatory scrutiny and associated risk.</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effectively against our competitors’ pharmaceutical products.</w:t>
      </w:r>
    </w:p>
    <w:p>
      <w:pPr>
        <w:spacing w:after="0" w:line="11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54" w:lineRule="exact"/>
        <w:rPr>
          <w:rFonts w:ascii="Times New Roman" w:cs="Times New Roman" w:eastAsia="Times New Roman" w:hAnsi="Times New Roman"/>
          <w:sz w:val="18"/>
          <w:szCs w:val="18"/>
          <w:color w:val="auto"/>
        </w:rPr>
      </w:pPr>
    </w:p>
    <w:p>
      <w:pPr>
        <w:ind w:left="900" w:right="160" w:hanging="383"/>
        <w:spacing w:after="0" w:line="258"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value of VASCEPA outside the United States may be smaller than we anticipate, including adequacy of product reimbursement which can vary from country to country. If we are unable to realize product reimbursement rates at reasonable levels, or at all, patient access to VASCEPA may be limited.</w:t>
      </w:r>
    </w:p>
    <w:p>
      <w:pPr>
        <w:spacing w:after="0" w:line="61"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supply of product for the commercial market and clinical trials is dependent upon relationships with third-party manufacturers and suppliers.</w:t>
      </w:r>
    </w:p>
    <w:p>
      <w:pPr>
        <w:spacing w:after="0" w:line="40" w:lineRule="exact"/>
        <w:rPr>
          <w:rFonts w:ascii="Times New Roman" w:cs="Times New Roman" w:eastAsia="Times New Roman" w:hAnsi="Times New Roman"/>
          <w:sz w:val="18"/>
          <w:szCs w:val="18"/>
          <w:color w:val="auto"/>
        </w:rPr>
      </w:pPr>
    </w:p>
    <w:p>
      <w:pPr>
        <w:ind w:left="900" w:right="40" w:hanging="383"/>
        <w:spacing w:after="0" w:line="24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 parties in the distribution channel from our manufacturers to patients subject us to risks that limit our profitability and could limit our ability to supply VASCEPA to large market segments.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7" w:name="page38"/>
    <w:bookmarkEnd w:id="37"/>
    <w:p>
      <w:pPr>
        <w:ind w:left="900" w:right="16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of VASCEPA outside the United States is substantially dependent on third parties and other circumstances outside our control.</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patents, proprietary rights and confidentiality to protect the commercial value and potential of VASCEPA.</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issued patents may not prevent competitors from competing with VASCEPA, even if we are successful in enforcing our patent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any of our pending patent applications relating to VASCEPA or its use will issue as patents.</w:t>
      </w:r>
    </w:p>
    <w:p>
      <w:pPr>
        <w:spacing w:after="0" w:line="104"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The summary risk factors described above should be read together with the text of the full risk factors below and in the other information set forth in our Annual Report and this Quarterly Report on Form 10-Q, including our consolidated financial statements and the related notes, as well as in other documents that we file with the SEC. If any such risks and uncertainties actually occur, our business, prospects, financial condition and results of operations could be materially and adversely affected. The risks summarized above or described in full below are not the only risks that we face. Additional risks and uncertainties not currently known to us, or that we currently deem to be immaterial may also materially adversely affect our business, prospects,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and Development of VASCEPA</w:t>
      </w:r>
    </w:p>
    <w:p>
      <w:pPr>
        <w:spacing w:after="0" w:line="239"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upon VASCEPA (icosapent ethyl), its commercialization in the United States and its development, launch and commercialization in Europe and other major markets. In the United States, VASCEPA is facing increasing competition from generic versions of the drug. In Europe, VAZKEPA launched in Germany following approval from the central regulatory authority and we are in the process of obtaining relevant pricing approvals in various countries; however, we may not be successful in obtaining such approvals in a timely manner or at all and even if successfully obtained, we may not be successful in commercializing VAZKEPA in Europe or elsewhere.</w:t>
      </w:r>
    </w:p>
    <w:p>
      <w:pPr>
        <w:spacing w:after="0" w:line="86"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success of our company depends on our ability to successfully commercialize our only product, VASCEPA (icosapent ethyl) capsules, in major markets globally. In recent years and currently, much of our financial results and revenue has been dependent on our ability to execute our development and commercial strategy for VASCEPA in the United States. Generic version of VASCEPA launched in the United States in November 2020, June 2021 and January 2022. We expect that VASCEPA could face more competition from generic companies in the United States in the near term in light of the patent litigation rulings against us, applicable only in this territory. Increasing sales of generic versions of VASCEPA could continue to have a material and adverse impact on our revenues and results of operations in the United States. We implemented a Go-to-Market strategy in an effort to optimize provider engagement and drive demand of VASCEPA in the United States by shifting reliance on sales force interactions with healthcare professionals to providing managed care and prescription access through an omnichannel platform, and, in connection with this initiative, we reduced our U.S. field force to approximately 300 sales representatives. Although we believe this initiative will provide greater access to VASCEPA and ultimately result in an improved expense structure, such efforts are costly to implement, could impact employee morale and make hiring and retaining talented personnel more challenging, and may not result in all or any of the benefits we anticipate.</w:t>
      </w:r>
    </w:p>
    <w:p>
      <w:pPr>
        <w:spacing w:after="0" w:line="8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continue our development efforts to support commercialization of VASCEPA in major markets outside the United States. In March 2021 we announced that the European Commission, or the EC, approved the marketing authorization application for icosapent ethyl, under the brand name VAZKEPA, hereafter along with VASCEPA, collectively referred to as VASCEPA, to reduce the risk of cardiovascular events in high-risk, statin-treated adult patients who have elevated triglycerides (≥150 mg/dL) and either established cardiovascular disease or diabetes and at least one additional cardiovascular risk factor. In September 2021, we launched VAZKEPA in Germany, representing our first European launch, In March 2022, we received national reimbursement for VAZKEPA in Sweden, representing our first national reimbursement in a European country. We are in the process of obtaining further pricing and reimbursement approvals for VAZKEPA in relevant jurisdictions in Europe. This process is conducted on a country-by-country basis and is time-consuming and complex. On March 25, 2022, Amarin received its first national reimbursement in a European country with official confirmation that the Swedish Dental and Pharmaceutical Benefits Agency (TLV) approved VAZKEPA for national reimbursement in Sweden. We may not be successful in obtaining such approvals in a timely manner with acceptable terms, or in additional countries.</w:t>
      </w:r>
    </w:p>
    <w:p>
      <w:pPr>
        <w:spacing w:after="0" w:line="78" w:lineRule="exact"/>
        <w:rPr>
          <w:sz w:val="20"/>
          <w:szCs w:val="20"/>
          <w:color w:val="auto"/>
        </w:rPr>
      </w:pPr>
    </w:p>
    <w:p>
      <w:pPr>
        <w:jc w:val="both"/>
        <w:ind w:right="300" w:firstLine="509"/>
        <w:spacing w:after="0" w:line="280" w:lineRule="auto"/>
        <w:rPr>
          <w:sz w:val="20"/>
          <w:szCs w:val="20"/>
          <w:color w:val="auto"/>
        </w:rPr>
      </w:pPr>
      <w:r>
        <w:rPr>
          <w:rFonts w:ascii="Times New Roman" w:cs="Times New Roman" w:eastAsia="Times New Roman" w:hAnsi="Times New Roman"/>
          <w:sz w:val="17"/>
          <w:szCs w:val="17"/>
          <w:color w:val="auto"/>
        </w:rPr>
        <w:t>Our expansion and development of VASCEPA outside the United States is generally not subject to the adverse patent ruling in the United States. Development outside the United States is primarily based on the second indication approval for VASCEPA in the United States. That second indication, which we believe has significantly more value potential, is for use of the drug in the reduction of cardiovascular risk in select high-risk patients.</w:t>
      </w:r>
    </w:p>
    <w:p>
      <w:pPr>
        <w:spacing w:after="0" w:line="45" w:lineRule="exact"/>
        <w:rPr>
          <w:sz w:val="20"/>
          <w:szCs w:val="20"/>
          <w:color w:val="auto"/>
        </w:rPr>
      </w:pPr>
    </w:p>
    <w:p>
      <w:pPr>
        <w:ind w:right="340" w:firstLine="509"/>
        <w:spacing w:after="0" w:line="247" w:lineRule="auto"/>
        <w:rPr>
          <w:sz w:val="20"/>
          <w:szCs w:val="20"/>
          <w:color w:val="auto"/>
        </w:rPr>
      </w:pPr>
      <w:r>
        <w:rPr>
          <w:rFonts w:ascii="Times New Roman" w:cs="Times New Roman" w:eastAsia="Times New Roman" w:hAnsi="Times New Roman"/>
          <w:sz w:val="18"/>
          <w:szCs w:val="18"/>
          <w:color w:val="auto"/>
        </w:rPr>
        <w:t>We have been developing VAZKEPA on our own in Europe for the approved cardiovascular risk reduction indication and are exploring possible strategic collaborations in smaller markets within Europe and in other major markets. We currently have multiple partners for the development and commercialization of VASCEPA in select geographies and intend to assess potential partners to</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8" w:name="page39"/>
    <w:bookmarkEnd w:id="38"/>
    <w:p>
      <w:pPr>
        <w:ind w:right="200"/>
        <w:spacing w:after="0" w:line="250" w:lineRule="auto"/>
        <w:rPr>
          <w:sz w:val="20"/>
          <w:szCs w:val="20"/>
          <w:color w:val="auto"/>
        </w:rPr>
      </w:pPr>
      <w:r>
        <w:rPr>
          <w:rFonts w:ascii="Times New Roman" w:cs="Times New Roman" w:eastAsia="Times New Roman" w:hAnsi="Times New Roman"/>
          <w:sz w:val="18"/>
          <w:szCs w:val="18"/>
          <w:color w:val="auto"/>
        </w:rPr>
        <w:t>commercialize VASCEPA in other parts of the world. For example, we have strategic collaborations for the development and commercialization of VASCEPA in Canada, the Middle East and Greater China. However, we cannot make any guarantees as to the success of these efforts or that our beliefs about the value potential are accurate, and if commercialization plans for VASCEPA do not meet expectations in major markets such as the United States and Europe, our business and prospects could be materially and adversely affected.</w:t>
      </w:r>
    </w:p>
    <w:p>
      <w:pPr>
        <w:spacing w:after="0" w:line="83"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development and commercial time cycle for VASCEPA or other products that we may develop from our research and development efforts could result in delays in our ability to achieve commercial success. For example, it took over a decade of preceding product development before we received marketing approval for VAZKEPA in March 2021 from the EC.</w:t>
      </w:r>
    </w:p>
    <w:p>
      <w:pPr>
        <w:spacing w:after="0" w:line="8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These transactions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9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we face increasing competition from generic drug companies in the near term and our revenues and results of operations could be materially and adversely affected.</w:t>
      </w:r>
    </w:p>
    <w:p>
      <w:pPr>
        <w:spacing w:after="0" w:line="64"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On March 30, 2020, following conclusion of a trial in late January 2020, the U.S. District Court for the District of Nevada, or the Nevada Court, issued a ruling in favor of two generic drug companies, Dr. Reddy’s Laboratories, Inc., or Dr. Reddy’s, and Hikma Pharmaceuticals USA Inc., or Hikma, and certain of their affiliates, or, collectively, the Defendants, that declared as invalid several patents of ours protecting the first U.S. FDA-approved use of our drug, for use to reduce severely high triglyceride levels, which is known as the MARINE indication. We sought appeals of the Nevada Court judgment up to the United States Supreme Court, but, we were unsuccessful.</w:t>
      </w:r>
    </w:p>
    <w:p>
      <w:pPr>
        <w:spacing w:after="0" w:line="87"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In November 2020, Hikma launched its generic version of VASCEPA on a limited scale and with a label that reflects the MARINE indication, and revised labeling based on the results of the REDUCE-IT trial. On November 30, 2020, we filed a patent infringement lawsuit against a Hikma affiliate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We intend to appeal the decision of the district court when permitted and also intend to continue to vigorously pursue our ongoing litigation with Health Net, LLC, but cannot predict the outcome or the impact on our business.</w:t>
      </w:r>
    </w:p>
    <w:p>
      <w:pPr>
        <w:spacing w:after="0" w:line="92"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8"/>
          <w:szCs w:val="18"/>
          <w:color w:val="auto"/>
        </w:rPr>
        <w:t>In June 2021, Dr. Reddy's launched its generic version of VASCEPA with labeling that is substantially similar to labeling of the Hikma generic product. In addition to ANDAs approved for Hikma and Dr. Reddy’s, on September 11, 2020, Teva Pharmaceuticals USA, Inc’s., or Teva’s, ANDA was approved by the U.S. Food and Drug Administration, or U.S. FDA. On June 30, 2021, Apotex Inc.'s, or Apotex's, ANDA was approved by the U.S. FDA. In January 2022, Apotex launched its generic version of VASCEPA with labeling that is substantially consistent with the labeling of the Hikma and Dr. Reddy's generic product, not the cardiovascular risk reduction indication.</w:t>
      </w:r>
    </w:p>
    <w:p>
      <w:pPr>
        <w:spacing w:after="0" w:line="73"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rulings of the Nevada Court and related appeal losses detailed above could permit each of Teva and Apotex to launch a generic version of VASCEPA under certain circumstances pursuant to their respective settlement agreement with us. For example, Teva and Apotex settlement agreements permit such companies to launch their generic version of VASCEPA under royalty-free licenses from us given that our petition for en banc Federal Circuit review was not granted, after issuance of the Federal Circuit mandate on November 12, 2020. Each generic launch is subject to procurement of adequate product supply.</w:t>
      </w:r>
    </w:p>
    <w:p>
      <w:pPr>
        <w:spacing w:after="0" w:line="69" w:lineRule="exact"/>
        <w:rPr>
          <w:sz w:val="20"/>
          <w:szCs w:val="20"/>
          <w:color w:val="auto"/>
        </w:rPr>
      </w:pPr>
    </w:p>
    <w:p>
      <w:pPr>
        <w:ind w:right="100" w:firstLine="494"/>
        <w:spacing w:after="0" w:line="243" w:lineRule="auto"/>
        <w:rPr>
          <w:sz w:val="20"/>
          <w:szCs w:val="20"/>
          <w:color w:val="auto"/>
        </w:rPr>
      </w:pPr>
      <w:r>
        <w:rPr>
          <w:rFonts w:ascii="Times New Roman" w:cs="Times New Roman" w:eastAsia="Times New Roman" w:hAnsi="Times New Roman"/>
          <w:sz w:val="18"/>
          <w:szCs w:val="18"/>
          <w:color w:val="auto"/>
        </w:rPr>
        <w:t>Generally, once a generic version of a drug is available in the market, the generic version is typically used in many U.S. states to fill a prescription for any use of the drug, subject, to state reimbursement laws. Although, in our case, use of generic versions of VASCEPA, whether with primarily a MARINE indication label or REDUCE-IT indication label, could be further subject to the potential for patent infringement under certain case law and subject to certain Teva and Apotex settlement agreement terms, we currently face generic competition from Hikma's and Dr. Reddy’s generic versions of VASCEPA in the United States, and could face increased competition from these or additional generic entrants in the near term, which could have a material and adverse impact on our revenues and our results of operations. There can be no assurance that we will be successful in preventing use of generic versions of VASCEPA in indications for which they have not been approved by U.S. FDA, even if such use is determined to infringe certain of our patent claims.</w:t>
      </w:r>
    </w:p>
    <w:p>
      <w:pPr>
        <w:spacing w:after="0" w:line="78" w:lineRule="exact"/>
        <w:rPr>
          <w:sz w:val="20"/>
          <w:szCs w:val="20"/>
          <w:color w:val="auto"/>
        </w:rPr>
      </w:pPr>
    </w:p>
    <w:p>
      <w:pPr>
        <w:ind w:firstLine="255"/>
        <w:spacing w:after="0" w:line="247" w:lineRule="auto"/>
        <w:rPr>
          <w:sz w:val="20"/>
          <w:szCs w:val="20"/>
          <w:color w:val="auto"/>
        </w:rPr>
      </w:pPr>
      <w:r>
        <w:rPr>
          <w:rFonts w:ascii="Times New Roman" w:cs="Times New Roman" w:eastAsia="Times New Roman" w:hAnsi="Times New Roman"/>
          <w:sz w:val="18"/>
          <w:szCs w:val="18"/>
          <w:color w:val="auto"/>
        </w:rPr>
        <w:t>Although we continue to believe that VASCEPA is difficult to manufacture and that building capacity to manufacture VASCEPA would be time-consuming and expensive for generic companies, such as Hikma, Dr. Reddy and Apotex, we do not have direct visibility into the supply levels of any of the generic companies and we rely on our own experience together with information from third parties, which information may not be reliable. As such, generic companies could potentially find or develop sources of qualified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9" w:name="page40"/>
    <w:bookmarkEnd w:id="39"/>
    <w:p>
      <w:pPr>
        <w:spacing w:after="0" w:line="245" w:lineRule="auto"/>
        <w:rPr>
          <w:sz w:val="20"/>
          <w:szCs w:val="20"/>
          <w:color w:val="auto"/>
        </w:rPr>
      </w:pPr>
      <w:r>
        <w:rPr>
          <w:rFonts w:ascii="Times New Roman" w:cs="Times New Roman" w:eastAsia="Times New Roman" w:hAnsi="Times New Roman"/>
          <w:sz w:val="18"/>
          <w:szCs w:val="18"/>
          <w:color w:val="auto"/>
        </w:rPr>
        <w:t>VASCEPA supply that are not known to us and that are more efficient or less expensive than our sources. Furthermore, generic companies could potentially convince our suppliers to prioritize supply to the generic companies ahead of any applicable contractual commitments to supply us. While we anticipate that our suppliers will honor their commitments to us, if generic competitors are successful in gaining an advantage in the supply chain, manufacturing and supply with respect to VASCEPA will suffer and consequentially VASCEPA prescriptions will likely decrease. In addition, we may need to litigate with such suppliers to protect our rights, which can be costly and distracting to management. Such circumstances could have a material and adverse impact on our revenues and results of operations directly in the United States and potentially outside of the United States as well if supply costs and availability are affected or promotion and education programs reduced.</w:t>
      </w:r>
    </w:p>
    <w:p>
      <w:pPr>
        <w:spacing w:after="0" w:line="218" w:lineRule="exact"/>
        <w:rPr>
          <w:sz w:val="20"/>
          <w:szCs w:val="20"/>
          <w:color w:val="auto"/>
        </w:rPr>
      </w:pPr>
    </w:p>
    <w:p>
      <w:pPr>
        <w:ind w:right="3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company in commercializing VASCEPA outside of the United States and may be unsuccessful in developing sales internationally.</w:t>
      </w:r>
    </w:p>
    <w:p>
      <w:pPr>
        <w:spacing w:after="0" w:line="5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While we have been working internally and with partners to support efforts toward approvals and commercialization outside the United States in light of the REDUCE-IT results and the recent EC approval of VAZKEPA, we may be unsuccessful in expanding our global footprint. For example, we plan to launch VAZKEPA on our own in the most commercially significant markets in Europe and launched VAZKEPA in Germany, representing our first European launch. The commercial launch of a new pharmaceutical product is a complex and resource heavy undertaking for a company to manage, and we have no prior experience as a company operating a commercial-stage pharmaceutical business in Europe. Given the amount of time and resources, including capital, needed to support regulatory and commercial efforts aimed at international expansion, if we are unsuccessful or delayed in generating revenues overseas, our results of operations could be materially and adversely impacted.</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could inhibit our efforts to successfully commercialize VASCEPA include:</w:t>
      </w:r>
    </w:p>
    <w:p>
      <w:pPr>
        <w:spacing w:after="0" w:line="117"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expiration of regulatory exclusivities and entry into the market of additional generic versions of VASCEPA;</w:t>
      </w:r>
    </w:p>
    <w:p>
      <w:pPr>
        <w:spacing w:after="0" w:line="103" w:lineRule="exact"/>
        <w:rPr>
          <w:rFonts w:ascii="Times New Roman" w:cs="Times New Roman" w:eastAsia="Times New Roman" w:hAnsi="Times New Roman"/>
          <w:sz w:val="18"/>
          <w:szCs w:val="18"/>
          <w:color w:val="auto"/>
        </w:rPr>
      </w:pPr>
    </w:p>
    <w:p>
      <w:pPr>
        <w:ind w:left="900" w:right="22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attract and retain adequate numbers of effective sales and marketing personnel, particularly in light of our recent reduction in force;</w:t>
      </w:r>
    </w:p>
    <w:p>
      <w:pPr>
        <w:spacing w:after="0" w:line="67" w:lineRule="exact"/>
        <w:rPr>
          <w:rFonts w:ascii="Times New Roman" w:cs="Times New Roman" w:eastAsia="Times New Roman" w:hAnsi="Times New Roman"/>
          <w:sz w:val="18"/>
          <w:szCs w:val="18"/>
          <w:color w:val="auto"/>
        </w:rPr>
      </w:pPr>
    </w:p>
    <w:p>
      <w:pPr>
        <w:ind w:left="900" w:right="68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train our sales and marketing personnel and our inability to adequately monitor compliance with applicable regulatory and other legal requirements;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new sales personnel, to obtain access to or persuade adequate numbers of physicians to prescribe VASCEPA;</w:t>
      </w:r>
    </w:p>
    <w:p>
      <w:pPr>
        <w:spacing w:after="0" w:line="117" w:lineRule="exact"/>
        <w:rPr>
          <w:rFonts w:ascii="Times New Roman" w:cs="Times New Roman" w:eastAsia="Times New Roman" w:hAnsi="Times New Roman"/>
          <w:sz w:val="18"/>
          <w:szCs w:val="18"/>
          <w:color w:val="auto"/>
        </w:rPr>
      </w:pPr>
    </w:p>
    <w:p>
      <w:pPr>
        <w:ind w:left="900" w:right="38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Go-to-Market strategy and omnichannel approach does not provide improved managed care and prescription access, or if healthcare providers are reluctant or delayed in shifting to the omnichannel platform;</w:t>
      </w:r>
    </w:p>
    <w:p>
      <w:pPr>
        <w:spacing w:after="0" w:line="54" w:lineRule="exact"/>
        <w:rPr>
          <w:rFonts w:ascii="Times New Roman" w:cs="Times New Roman" w:eastAsia="Times New Roman" w:hAnsi="Times New Roman"/>
          <w:sz w:val="18"/>
          <w:szCs w:val="18"/>
          <w:color w:val="auto"/>
        </w:rPr>
      </w:pPr>
    </w:p>
    <w:p>
      <w:pPr>
        <w:ind w:left="900" w:right="32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impose restrictions on VASCEPA’s conditions for use, distribution or marketing, and may impose ongoing requirements for post-market surveillance, post-approval studies or clinical trials, which may be costly or result in label or other use restrictions;</w:t>
      </w:r>
    </w:p>
    <w:p>
      <w:pPr>
        <w:spacing w:after="0" w:line="67" w:lineRule="exact"/>
        <w:rPr>
          <w:rFonts w:ascii="Times New Roman" w:cs="Times New Roman" w:eastAsia="Times New Roman" w:hAnsi="Times New Roman"/>
          <w:sz w:val="18"/>
          <w:szCs w:val="18"/>
          <w:color w:val="auto"/>
        </w:rPr>
      </w:pPr>
    </w:p>
    <w:p>
      <w:pPr>
        <w:ind w:left="900" w:right="14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challenges in connection with pricing and reimbursement, including our ability to secure adequate reimbursement coverage, which in Europe is almost exclusively covered through public national funding, and not individual private insurance companies;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overestimated the addressable market or are unable to convince healthcare providers to prescribe, or if patients are unwilling to use,</w:t>
      </w:r>
    </w:p>
    <w:p>
      <w:pPr>
        <w:spacing w:after="0" w:line="27" w:lineRule="exact"/>
        <w:rPr>
          <w:rFonts w:ascii="Times New Roman" w:cs="Times New Roman" w:eastAsia="Times New Roman" w:hAnsi="Times New Roman"/>
          <w:sz w:val="18"/>
          <w:szCs w:val="18"/>
          <w:color w:val="auto"/>
        </w:rPr>
      </w:pPr>
    </w:p>
    <w:p>
      <w:pPr>
        <w:ind w:left="9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VASCEPA;</w:t>
      </w:r>
    </w:p>
    <w:p>
      <w:pPr>
        <w:spacing w:after="0" w:line="85" w:lineRule="exact"/>
        <w:rPr>
          <w:rFonts w:ascii="Times New Roman" w:cs="Times New Roman" w:eastAsia="Times New Roman" w:hAnsi="Times New Roman"/>
          <w:sz w:val="18"/>
          <w:szCs w:val="18"/>
          <w:color w:val="auto"/>
        </w:rPr>
      </w:pPr>
    </w:p>
    <w:p>
      <w:pPr>
        <w:ind w:left="900" w:right="28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by us or our partners to obtain regulatory and marketing approval or establish marketing channels in foreign jurisdictions;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operating a new independent sales and marketing organization; and</w:t>
      </w:r>
    </w:p>
    <w:p>
      <w:pPr>
        <w:spacing w:after="0" w:line="103" w:lineRule="exact"/>
        <w:rPr>
          <w:rFonts w:ascii="Times New Roman" w:cs="Times New Roman" w:eastAsia="Times New Roman" w:hAnsi="Times New Roman"/>
          <w:sz w:val="18"/>
          <w:szCs w:val="18"/>
          <w:color w:val="auto"/>
        </w:rPr>
      </w:pPr>
    </w:p>
    <w:p>
      <w:pPr>
        <w:ind w:left="900" w:right="400" w:hanging="383"/>
        <w:spacing w:after="0" w:line="258"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from COVID-19 on healthcare providers, patients and personnel which may vary considerably from jurisdiction to jurisdiction, as well as on local restrictions and practices, including the complexities of having to understand and navigate multiple sets of protocols and the accessibility and rates of vaccinations in various geographies.</w:t>
      </w:r>
    </w:p>
    <w:p>
      <w:pPr>
        <w:spacing w:after="0" w:line="6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If we experience one or more of the setbacks described above, we may not be able to pursue international regulatory and commercial efforts in a cost effective manner, or at all, which could cause our stock price to decline.</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0" w:name="page41"/>
    <w:bookmarkEnd w:id="40"/>
    <w:p>
      <w:pPr>
        <w:ind w:right="8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generate meaningful revenues outside of the United States may be limited, including due to the strict price controls and reimbursement limitations imposed by payors outside of the United States.</w:t>
      </w:r>
    </w:p>
    <w:p>
      <w:pPr>
        <w:spacing w:after="0" w:line="37" w:lineRule="exact"/>
        <w:rPr>
          <w:sz w:val="20"/>
          <w:szCs w:val="20"/>
          <w:color w:val="auto"/>
        </w:rPr>
      </w:pPr>
    </w:p>
    <w:p>
      <w:pPr>
        <w:ind w:right="100" w:firstLine="509"/>
        <w:spacing w:after="0" w:line="245" w:lineRule="auto"/>
        <w:rPr>
          <w:sz w:val="20"/>
          <w:szCs w:val="20"/>
          <w:color w:val="auto"/>
        </w:rPr>
      </w:pPr>
      <w:r>
        <w:rPr>
          <w:rFonts w:ascii="Times New Roman" w:cs="Times New Roman" w:eastAsia="Times New Roman" w:hAnsi="Times New Roman"/>
          <w:sz w:val="18"/>
          <w:szCs w:val="18"/>
          <w:color w:val="auto"/>
        </w:rPr>
        <w:t>Our ability to generate meaningful revenues of VASCEPA outside of the United States is dependent on the availability and extent of coverage and reimbursement from third-party payors. In many markets around the world, these payors, including government health systems, private health insurers and other organizations, remain focused on reducing the cost of healthcare, and their efforts have intensified as a result of rising healthcare costs and economic challenges. Drugs remain heavily scrutinized for cost containment. As a result, payors are becoming more restrictive regarding the use of biopharmaceutical products and scrutinizing the prices of these products while requiring a higher level of clinical evidence to support the benefits such products bring to patients and the broader healthcare system. These pressures are intensified where our products are subject to competition, including from biosimilars.</w:t>
      </w:r>
    </w:p>
    <w:p>
      <w:pPr>
        <w:spacing w:after="0" w:line="73"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In many countries outside the United States, government-sponsored healthcare systems are the primary payors for drugs. With increasing budgetary constraints and differing views on or challenges in valuing medicines, governments and payors in many countries are applying a variety of measures to exert downward price pressure. These measures can include mandatory price controls, price referencing, therapeutic-reference pricing, increases in mandates, incentives for generic substitution and biosimilar usage and government-mandated price cuts. In this regard, many countries have health technology assessment organizations that use formal economic metrics such as cost-effectiveness to determine prices, coverage and reimbursement of new therapies; and these organizations are expanding in established and emerging markets. Many countries also limit coverage to populations narrower than the regulatory agency approved product label or impose volume caps to limit utilization. We expect that countries will continue to take aggressive actions to seek to reduce expenditures on drugs. Similarly, fiscal constraints may also affect the extent to which countries are willing to approve new and innovative therapies and/or allow access to new technologies.</w:t>
      </w:r>
    </w:p>
    <w:p>
      <w:pPr>
        <w:spacing w:after="0" w:line="7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The dynamics and developments discussed above serve to create pressure on the pricing and potential usage of our products and the industry. Given the diverse interests in play among payors, biopharmaceutical manufacturers, policy makers, healthcare providers and independent organizations, if and whether the parties involved can achieve alignment on the matters discussed above remains unclear and the outcome of any such alignment is difficult to predict. We are committed to working with the entire healthcare community to ensure continued innovation and to facilitate patient access to needed medicines; however, if reimbursement of VASCEPA is unavailable or limited in scope or amount, or if pricing is set at unsatisfactory levels, our ability to successfully commercialize VASCEPA outside of the United States may be harmed, which could have a material and negative impact on our overall business.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 and commercial payor actions outside the United States have affected and will continue to affect access to and sales of our products</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Outside the United States, we expect countries will continue to take actions to reduce their drug expenditures. International reference pricing, or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Some countries also allow additional rebates or discounts to be negotiated. The outcome of such negotiations can be uncertain and could become publicly disclosed in the future. Some countries decide on reimbursement between potentially competing products through national or regional tenders that often result in one product receiving most or all of the sales in that country or region. Thus, there can be no certainty that we will negotiate satisfactory reimbursement or pricing rates in markets outside the United States in a timely manner, or at all, or even if we are successful in obtaining satisfactory coverage and reimbursement, we may be unsuccessful in sustaining such coverage and reimbursement, or could face challenges as to the timeliness or certainty of payment by payors to physicians and other providers, which would have a material and adverse impact on our commercialization efforts outside of the United States. Furthermore, despite having skilled and experienced individuals deployed in such efforts, we as an organization have limited experience in navigating the pricing and reimbursement regimes, outside of the United States, which foreign regimes are varied and complex, which might hinder our effectiveness in establishing satisfactory pricing, coverage and reimbursement levels in a timely manner or at all.</w:t>
      </w:r>
    </w:p>
    <w:p>
      <w:pPr>
        <w:spacing w:after="0" w:line="19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may make it more difficult for VASCEPA to achieve market acceptance by physicians, patients, healthcare payors and others in the medical community at levels sufficient to meet our expectations for commercial success.</w:t>
      </w:r>
    </w:p>
    <w:p>
      <w:pPr>
        <w:spacing w:after="0" w:line="64"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January 2013, we launched VASCEPA based on the U.S. FDA approval of our MARINE indication, for use as an adjunct to diet to reduce triglyceride levels in adult patients with severe (TG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U.S. FDA-approved labeling and promotional efforts state this fact.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41" w:name="page42"/>
    <w:bookmarkEnd w:id="41"/>
    <w:p>
      <w:pPr>
        <w:ind w:right="20" w:firstLine="509"/>
        <w:spacing w:after="0" w:line="236" w:lineRule="auto"/>
        <w:rPr>
          <w:sz w:val="20"/>
          <w:szCs w:val="20"/>
          <w:color w:val="auto"/>
        </w:rPr>
      </w:pPr>
      <w:r>
        <w:rPr>
          <w:rFonts w:ascii="Times New Roman" w:cs="Times New Roman" w:eastAsia="Times New Roman" w:hAnsi="Times New Roman"/>
          <w:sz w:val="18"/>
          <w:szCs w:val="18"/>
          <w:color w:val="auto"/>
        </w:rPr>
        <w:t>In September 2018, we announced topline results from the REDUCE-IT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 per 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U.S. FDA-approved labeling.</w:t>
      </w:r>
    </w:p>
    <w:p>
      <w:pPr>
        <w:spacing w:after="0" w:line="8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6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Despite U.S. FDA approval for this indication and expanded label for VASCEPA, we may not meet expectations for market acceptance by physicians, patients, healthcare payors and others in the medical community for this approved use, especially in light of our unsuccessful appeals efforts.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69" w:lineRule="exact"/>
        <w:rPr>
          <w:sz w:val="20"/>
          <w:szCs w:val="20"/>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and outcome of pending patent litigation;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pricing of any current or potential generic versions of VASCEPA;</w:t>
      </w:r>
    </w:p>
    <w:p>
      <w:pPr>
        <w:spacing w:after="0" w:line="103" w:lineRule="exact"/>
        <w:rPr>
          <w:rFonts w:ascii="Times New Roman" w:cs="Times New Roman" w:eastAsia="Times New Roman" w:hAnsi="Times New Roman"/>
          <w:sz w:val="18"/>
          <w:szCs w:val="18"/>
          <w:color w:val="auto"/>
        </w:rPr>
      </w:pPr>
    </w:p>
    <w:p>
      <w:pPr>
        <w:ind w:left="900" w:right="54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peer review of different elements of REDUCE-IT results over time;</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review and analysis of the results of REDUCE-IT by regulatory authorities internationally;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VASCEPA for sale at competitive prices;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effectiveness and strength of product education, marketing and distribution support, including our sales and marketing team and the success of our omnichannel platform;</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VASCEPA or competing products;</w:t>
      </w:r>
    </w:p>
    <w:p>
      <w:pPr>
        <w:spacing w:after="0" w:line="103"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continually promote VASCEPA in the United States consistent with and outside of U.S. FDA-approved labeling and the related perception thereof;</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coverage or reimbursement for VASCEPA and its prescribed uses, on-label and off-label;</w:t>
      </w:r>
    </w:p>
    <w:p>
      <w:pPr>
        <w:spacing w:after="0" w:line="103"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including pandemics such as COVID-19 and political unrest that could inhibit our ability to promote VASCEPA regionally and that could negatively affect product demand by creating obstacles for patients to seek treatment and fill prescriptions;</w:t>
      </w:r>
    </w:p>
    <w:p>
      <w:pPr>
        <w:spacing w:after="0" w:line="67" w:lineRule="exact"/>
        <w:rPr>
          <w:rFonts w:ascii="Times New Roman" w:cs="Times New Roman" w:eastAsia="Times New Roman" w:hAnsi="Times New Roman"/>
          <w:sz w:val="18"/>
          <w:szCs w:val="18"/>
          <w:color w:val="auto"/>
        </w:rPr>
      </w:pPr>
    </w:p>
    <w:p>
      <w:pPr>
        <w:ind w:left="900" w:right="560" w:hanging="383"/>
        <w:spacing w:after="0" w:line="266"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efficacy of the product and the prevalence and severity of any side effects and warnings in VASCEPA’s approved</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labeling internationally.</w:t>
      </w: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2" w:name="page43"/>
    <w:bookmarkEnd w:id="42"/>
    <w:p>
      <w:pPr>
        <w:ind w:firstLine="509"/>
        <w:spacing w:after="0" w:line="242" w:lineRule="auto"/>
        <w:rPr>
          <w:sz w:val="20"/>
          <w:szCs w:val="20"/>
          <w:color w:val="auto"/>
        </w:rPr>
      </w:pPr>
      <w:r>
        <w:rPr>
          <w:rFonts w:ascii="Times New Roman" w:cs="Times New Roman" w:eastAsia="Times New Roman" w:hAnsi="Times New Roman"/>
          <w:sz w:val="18"/>
          <w:szCs w:val="18"/>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U.S. FDA-approved labeling. By contrast, U.S.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U.S. FDA labeling, U.S. FDA-approved labeling that is more closely tied to the patient population studied in a clinical trial could limit use generally and could make reimbursement more difficult.</w:t>
      </w:r>
    </w:p>
    <w:p>
      <w:pPr>
        <w:spacing w:after="0" w:line="199" w:lineRule="exact"/>
        <w:rPr>
          <w:sz w:val="20"/>
          <w:szCs w:val="20"/>
          <w:color w:val="auto"/>
        </w:rPr>
      </w:pPr>
    </w:p>
    <w:p>
      <w:pPr>
        <w:ind w:right="26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continued scale, scope and duration of business interruptions caused by the ongoing COVID-19 pandemic are uncertain as the impact of the pandemic continues to cause negative effects on our business.</w:t>
      </w:r>
    </w:p>
    <w:p>
      <w:pPr>
        <w:spacing w:after="0" w:line="63" w:lineRule="exact"/>
        <w:rPr>
          <w:sz w:val="20"/>
          <w:szCs w:val="20"/>
          <w:color w:val="auto"/>
        </w:rPr>
      </w:pPr>
    </w:p>
    <w:p>
      <w:pPr>
        <w:ind w:right="660" w:firstLine="509"/>
        <w:spacing w:after="0" w:line="258" w:lineRule="auto"/>
        <w:rPr>
          <w:sz w:val="20"/>
          <w:szCs w:val="20"/>
          <w:color w:val="auto"/>
        </w:rPr>
      </w:pPr>
      <w:r>
        <w:rPr>
          <w:rFonts w:ascii="Times New Roman" w:cs="Times New Roman" w:eastAsia="Times New Roman" w:hAnsi="Times New Roman"/>
          <w:sz w:val="18"/>
          <w:szCs w:val="18"/>
          <w:color w:val="auto"/>
        </w:rPr>
        <w:t>The global spread of COVID-19, has created significant volatility, uncertainty and disruption in healthcare, social, supply and economic infrastructures. The extent to which the coronavirus pandemic will continue to impact our business, operations and financial results will depend on numerous evolving factors that we may not be able to accurately predict or plan around, including:</w:t>
      </w:r>
    </w:p>
    <w:p>
      <w:pPr>
        <w:spacing w:after="0" w:line="61"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volatility and scope of the pandemic and the efficacy of recovery efforts;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business and individuals’ actions that have been and continue to be taken in response to the pandemic;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pandemic on economic and political activity and actions taken in response;</w:t>
      </w:r>
    </w:p>
    <w:p>
      <w:pPr>
        <w:spacing w:after="0" w:line="103" w:lineRule="exact"/>
        <w:rPr>
          <w:rFonts w:ascii="Times New Roman" w:cs="Times New Roman" w:eastAsia="Times New Roman" w:hAnsi="Times New Roman"/>
          <w:sz w:val="18"/>
          <w:szCs w:val="18"/>
          <w:color w:val="auto"/>
        </w:rPr>
      </w:pPr>
    </w:p>
    <w:p>
      <w:pPr>
        <w:ind w:left="900" w:right="360" w:hanging="383"/>
        <w:spacing w:after="0" w:line="258"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61"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VASCEPA, including as a result of ongoing travel restrictions, social distancing and other containment measures or the restoration of such measures;</w:t>
      </w:r>
    </w:p>
    <w:p>
      <w:pPr>
        <w:spacing w:after="0" w:line="67" w:lineRule="exact"/>
        <w:rPr>
          <w:rFonts w:ascii="Times New Roman" w:cs="Times New Roman" w:eastAsia="Times New Roman" w:hAnsi="Times New Roman"/>
          <w:sz w:val="18"/>
          <w:szCs w:val="18"/>
          <w:color w:val="auto"/>
        </w:rPr>
      </w:pPr>
    </w:p>
    <w:p>
      <w:pPr>
        <w:ind w:left="900" w:right="78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enrolment or monitoring of patients in clinical trials, particularly at clinical trial sites located in highly impacted jurisdictions and jurisdictions where vaccination rates are low;</w:t>
      </w:r>
    </w:p>
    <w:p>
      <w:pPr>
        <w:spacing w:after="0" w:line="54" w:lineRule="exact"/>
        <w:rPr>
          <w:rFonts w:ascii="Times New Roman" w:cs="Times New Roman" w:eastAsia="Times New Roman" w:hAnsi="Times New Roman"/>
          <w:sz w:val="18"/>
          <w:szCs w:val="18"/>
          <w:color w:val="auto"/>
        </w:rPr>
      </w:pPr>
    </w:p>
    <w:p>
      <w:pPr>
        <w:ind w:left="900" w:right="14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access, secure and otherwise obtain and deliver sufficient and timely commercial or clinical supplies of VASCEPA at reasonable prices and sufficient to meet demand if the production capabilities of suppliers is disrupted;</w:t>
      </w:r>
    </w:p>
    <w:p>
      <w:pPr>
        <w:spacing w:after="0" w:line="40" w:lineRule="exact"/>
        <w:rPr>
          <w:rFonts w:ascii="Times New Roman" w:cs="Times New Roman" w:eastAsia="Times New Roman" w:hAnsi="Times New Roman"/>
          <w:sz w:val="18"/>
          <w:szCs w:val="18"/>
          <w:color w:val="auto"/>
        </w:rPr>
      </w:pPr>
    </w:p>
    <w:p>
      <w:pPr>
        <w:ind w:left="900" w:right="40" w:hanging="383"/>
        <w:spacing w:after="0" w:line="266"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regulatory oversight and actions if regulators and industry professionals continue to expend significant and unexpected resources addressing COVID-19;</w:t>
      </w:r>
    </w:p>
    <w:p>
      <w:pPr>
        <w:spacing w:after="0" w:line="54"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reimbursement from government and health administration authorities, private health insurers and other third-party payors if the system continues to be overly strained;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regulators to complete inspections and reviews of operations and applications, respectively, in a timely manner; and</w:t>
      </w:r>
    </w:p>
    <w:p>
      <w:pPr>
        <w:spacing w:after="0" w:line="10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further, prolonged or reinstated closures of our and our partners’ offices, operations and facilities impeding our ability to work together as a company and with our business and healthcare partners.</w:t>
      </w:r>
    </w:p>
    <w:p>
      <w:pPr>
        <w:spacing w:after="0" w:line="40"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To comply with travel restrictions, social distancing, quarantines and other containment measures implemented in various geographies, in March 2020, we suspended field based face-to-face interactions. Although by the end of summer of 2020, substantially all of our field force personnel had the ability to resume face-to-face customer interactions, in a manner consistent with state and local guidance, limitations on such interactions have been imposed. As variants emerge and as vaccine protocols develop, face-to-face interactions are challenging for us to predict and the number of patient visits to doctors’ offices and patients undergoing blood testing remains down considerably from pre-COVID-19 levels. In September 2021, to optimize provider engagement and drive demand for VASCEPA in the United States and to counteract the changing engagement dynamics, including those introduced as a result of COVID-19, we announced our Go-to-Market strategy which incorporates omnichannel communications with healthcare providers. The circumstances surrounding COVID-19 vary geographically and vary over time, with continued risk of resurgences in COVID-19 cases, and reinstitution of protocols, in various geographies and as the efficacy of the vaccine on various strains remains uncertain. While we have supplemented our face-to-face interactions with virtual outreach and our omnichannel platform, these efforts may not</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3" w:name="page44"/>
    <w:bookmarkEnd w:id="43"/>
    <w:p>
      <w:pPr>
        <w:ind w:right="220"/>
        <w:spacing w:after="0" w:line="282" w:lineRule="auto"/>
        <w:rPr>
          <w:sz w:val="20"/>
          <w:szCs w:val="20"/>
          <w:color w:val="auto"/>
        </w:rPr>
      </w:pPr>
      <w:r>
        <w:rPr>
          <w:rFonts w:ascii="Times New Roman" w:cs="Times New Roman" w:eastAsia="Times New Roman" w:hAnsi="Times New Roman"/>
          <w:sz w:val="18"/>
          <w:szCs w:val="18"/>
          <w:color w:val="auto"/>
        </w:rPr>
        <w:t>be as impactful as traditional, in-person interactions. Specifically, access to healthcare professionals through the internet or other channels, may not be as productive as in-person interactions.</w:t>
      </w:r>
    </w:p>
    <w:p>
      <w:pPr>
        <w:spacing w:after="0" w:line="4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pandemic and containment measures has been unprecedented and could have a negative impact on the availability of VASCEPA at various points in our supply chain, including limiting the ability of new suppliers to be inspected, which would have a material and adverse effect on our business. Since the beginning of the COVID-19 pandemic, three vaccines for COVID-19 have received Emergency Use Authorization by the U.S. FDA and two of those later received marketing approval. Additional vaccines may be authorized or approved in the future. The ongoing demand for vaccines, including boosters, and potential for manufacturing facilities and materials to be commandeered under the Defense Production Act of 1950, or equivalent foreign legislation, may make it more difficult to obtain materials or manufacturing slots for the products needed for our commercial product, which could lead to issues with our commercial supply.</w:t>
      </w:r>
    </w:p>
    <w:p>
      <w:pPr>
        <w:spacing w:after="0" w:line="93"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disruptions associated with the coronavirus pandemic could also delay the timing of a determination on our ability to seek legal remedies as travel, operational resources and personnel are disrupted or slow to resume pre-pandemic levels, with respect to our efforts and capabilities, as well as those of our advisors and the courts. The disruptions associated with the coronavirus pandemic could delay the potential timing of subsequent steps for the launch of commercialization of VAZKEPA in Europe, including plans to hire additional employees in Europe. Additionally, COVID-19 has already and could continue to limit our ability to have access with healthcare professionals to help educate them regarding VAZKEPA so that they are more likely to prescribe it to their at-risk patients. And, similar to our experience in the United States, the effects of COVID-19 and social distancing considerations may reduce the frequency at which at-risk patients seek non-urgent preventative medical care.</w:t>
      </w:r>
    </w:p>
    <w:p>
      <w:pPr>
        <w:spacing w:after="0" w:line="204" w:lineRule="exact"/>
        <w:rPr>
          <w:sz w:val="20"/>
          <w:szCs w:val="20"/>
          <w:color w:val="auto"/>
        </w:rPr>
      </w:pPr>
    </w:p>
    <w:p>
      <w:pPr>
        <w:jc w:val="both"/>
        <w:ind w:right="14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60"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In December 2019, the U.S. FDA approved another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U.S. FDA has approved VASCEPA for this expanded label and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87" w:lineRule="exact"/>
        <w:rPr>
          <w:sz w:val="20"/>
          <w:szCs w:val="20"/>
          <w:color w:val="auto"/>
        </w:rPr>
      </w:pPr>
    </w:p>
    <w:p>
      <w:pPr>
        <w:jc w:val="both"/>
        <w:ind w:right="80" w:firstLine="509"/>
        <w:spacing w:after="0" w:line="250" w:lineRule="auto"/>
        <w:rPr>
          <w:sz w:val="20"/>
          <w:szCs w:val="20"/>
          <w:color w:val="auto"/>
        </w:rPr>
      </w:pPr>
      <w:r>
        <w:rPr>
          <w:rFonts w:ascii="Times New Roman" w:cs="Times New Roman" w:eastAsia="Times New Roman" w:hAnsi="Times New Roman"/>
          <w:sz w:val="18"/>
          <w:szCs w:val="18"/>
          <w:color w:val="auto"/>
        </w:rPr>
        <w:t>In addition, the same set of data can sometimes be interpreted to reach different conclusions, as when Health Canada approved an indication based on REDUCE-IT data that was different in certain respects than that approved by U.S. FDA and by the EC in Europe. It is possible the scope of subsequent regulatory approvals, if any, could likewise differ based on the same data. Conflicting interpretations of data, or new data, could impact public and medical community perception of the totality of the efficacy and safety data from REDUCE-IT.</w:t>
      </w:r>
    </w:p>
    <w:p>
      <w:pPr>
        <w:spacing w:after="0" w:line="69"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Regulatory authorities and medical guideline committees outside of the United States and Europe may consider the following additional factors, which could lead to evaluations of the totality of the efficacy and safety data from REDUCE-IT that differ from those of the U.S. FDA or the EC:</w:t>
      </w:r>
    </w:p>
    <w:p>
      <w:pPr>
        <w:spacing w:after="0" w:line="68" w:lineRule="exact"/>
        <w:rPr>
          <w:sz w:val="20"/>
          <w:szCs w:val="20"/>
          <w:color w:val="auto"/>
        </w:rPr>
      </w:pPr>
    </w:p>
    <w:p>
      <w:pPr>
        <w:ind w:left="900" w:right="500" w:hanging="383"/>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treatment benefit and related risks on the primary composite endpoint, its components, secondary endpoints and the primary and secondary risk prevention cohorts;</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which components of the composite or secondary endpoints have the most clinical significance;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primary and secondary outcomes;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findings across cohorts and important subgroups;</w:t>
      </w:r>
    </w:p>
    <w:p>
      <w:pPr>
        <w:spacing w:after="0" w:line="103"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considerations and risk/benefit considerations (such as those related to adverse events, including bleeding and atrial fibrillation generally and in different sub-populations);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REDUCE-IT results in the context of other 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of the cumulative effect of VASCEPA in studied patients;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conduct and data quality, integrity and consistency, including aspects such as analyses regarding the placebo used in REDUCE-IT and</w:t>
      </w:r>
    </w:p>
    <w:p>
      <w:pPr>
        <w:spacing w:after="0" w:line="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other studies of VASCEPA and its impact, if any, on the reliability of clinical data.</w:t>
      </w: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4" w:name="page45"/>
    <w:bookmarkEnd w:id="44"/>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If regulatory authorities and medical guideline committees outside of the United States and Europe draw conclusions that differ from those of the U.S. FDA or the EC, the U.S. FDA or the EC could reevaluate its conclusions as to the safety and efficacy of VASCEPA. Likewise, if additional data or analyses released from time to time do not meet expectations, the perception of REDUCE-IT results and the perceived and actual value of VASCEPA may suffer. In these instances our revenue and business could suffer and our stock price could significantly decline.</w:t>
      </w:r>
    </w:p>
    <w:p>
      <w:pPr>
        <w:spacing w:after="0" w:line="214" w:lineRule="exact"/>
        <w:rPr>
          <w:sz w:val="20"/>
          <w:szCs w:val="20"/>
          <w:color w:val="auto"/>
        </w:rPr>
      </w:pPr>
    </w:p>
    <w:p>
      <w:pPr>
        <w:ind w:right="10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Ongoing clinical trials or new clinical data involving VASCEPA and similar moderate-to-high doses of eicosapentaenoic acid or icosapent ethyl could influence public perception of VASCEPA’s clinical profile and the commercial and regulatory prospects of VASCEPA.</w:t>
      </w:r>
    </w:p>
    <w:p>
      <w:pPr>
        <w:spacing w:after="0" w:line="5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4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18"/>
          <w:szCs w:val="18"/>
          <w:color w:val="auto"/>
        </w:rPr>
        <w:t>For example,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 per 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2022, though the study and results are not under the Company's control and may be delayed as a result of COVID-19 impacts.</w:t>
      </w:r>
    </w:p>
    <w:p>
      <w:pPr>
        <w:spacing w:after="0" w:line="73"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In November 2020, we announced statistically significant topline results from a Phase 3 clinical trial of VASCEPA, conducted by our partner in China, Eddingpharm (Asia) Macao Commercial Offshore Limited, or Edding, which investigated VASCEPA as a treatment for patients with very high triglycerides (≥500 mg/dL). Even though such results are similar to the results of the MARINE study, additional clinical development efforts may be necessary in this market to demonstrate the effectiveness of VASCEPA in reducing major adverse cardiovascular events in Chinese patients with persistent cardiovascular risk.</w:t>
      </w:r>
    </w:p>
    <w:p>
      <w:pPr>
        <w:spacing w:after="0" w:line="8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have also funded investigational studies on the use of VASCEPA in the setting of COVID-19 infection. On December 12, 2020, we announced at the National Lipid Association Scientific Sessions 2020 positive clinical results from the CardioLink-9 Trial, the first results of a study of VASCEPA in COVID-19 infected outpatients. Results from the investigator sponsored study in Argentina called PREPARE-IT-1 were presented by the lead trial investigator at the European Society of Cardiology on August 29, 2021 and the results did not meet the primary and/or other endpoints studied. Results from the investigator sponsored study in Argentina called PREPARE-IT-2 were presented by the lead trial investigator at the American Heart Association Scientific Sessions in November 2021 and the results did not meet the primary and/or other endpoints studied. Results from the other investigational study, called MITIGATE, is expected during 2022.</w:t>
      </w:r>
    </w:p>
    <w:p>
      <w:pPr>
        <w:spacing w:after="0" w:line="92"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213"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current and planned commercialization efforts, including our implemented Go-to-Market strategy, may not be successful in increasing sales of VASCEPA in the United States and developing sales internationally.</w:t>
      </w:r>
    </w:p>
    <w:p>
      <w:pPr>
        <w:spacing w:after="0" w:line="50"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If we are not successful in maintaining a sales force that is rightsized for our efforts to market and sell VASCEPA in the United States, including in light of our Go-to-Market strategy, including our omnichannel approach and reduced sales force, our anticipated revenues or our expenses could be materially and negatively affected, and we may not obtain profitability,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69" w:lineRule="exact"/>
        <w:rPr>
          <w:sz w:val="20"/>
          <w:szCs w:val="20"/>
          <w:color w:val="auto"/>
        </w:rPr>
      </w:pPr>
    </w:p>
    <w:p>
      <w:pPr>
        <w:ind w:right="160" w:firstLine="509"/>
        <w:spacing w:after="0" w:line="242" w:lineRule="auto"/>
        <w:rPr>
          <w:sz w:val="20"/>
          <w:szCs w:val="20"/>
          <w:color w:val="auto"/>
        </w:rPr>
      </w:pPr>
      <w:r>
        <w:rPr>
          <w:rFonts w:ascii="Times New Roman" w:cs="Times New Roman" w:eastAsia="Times New Roman" w:hAnsi="Times New Roman"/>
          <w:sz w:val="18"/>
          <w:szCs w:val="18"/>
          <w:color w:val="auto"/>
        </w:rPr>
        <w:t>Given the dynamics related to COVID-19, we cannot predict when we will be able to substantially resume and sustain our business efforts, or how those efforts will be impacted in the long term. While we have supplemented traditional face-to-face interactions with virtual outreach, including our omnichannel platform, these efforts may not be as successful as in-person interactions. Specifically, access to healthcare professionals through digital or other channels, may not be as productive as in-person interactions in promoting use of VASCEPA. We continued to adjust our promotional initiatives, including pursuing increased face-to-face interactions with health care professionals and expanding various forms of direct-to-patient promotion based on COVID-19 protocols that are in place. Such efforts are costly and there can be no assurance that they will result in an increase in VASCEPA prescriptions and sales in the near future, or at all.</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promotion and supply of VASCEPA is subject to regulatory scrutiny and associated risk.</w:t>
      </w:r>
    </w:p>
    <w:p>
      <w:pPr>
        <w:spacing w:after="0" w:line="121"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The federal Food, Drug, and Cosmetic Act, or FDCA, has been interpreted by the U.S. FDA and the U.S. government to make it illegal for pharmaceutical companies to promote their U.S. FDA-approved products for uses that have not been approved by the U.S. FDA. Companies that market drugs for off-label uses or indications have been subject to related costly litigation, criminal penalties and civil liability under the FDCA and the FCA. However, case law over the last several years has called into question the extent to which government in the United States, including the U.S. FDA, can, and is willing to seek to, prevent truthful and non-misleading speech related to off-label uses of U.S. FDA-approved products such as VASCEPA.</w:t>
      </w:r>
    </w:p>
    <w:p>
      <w:pPr>
        <w:spacing w:after="0" w:line="73"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 xml:space="preserve">In May 2015, we and a group of independent physicians filed a lawsuit against the U.S.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U.S. FDA and was thus not covered by then U.S. FDA-approved labeling for the drug. Promotion of an off-label use has generally been considered by the U.S. FDA to be illegal under the FDCA. The lawsuit, captioned </w:t>
      </w:r>
      <w:r>
        <w:rPr>
          <w:rFonts w:ascii="Times New Roman" w:cs="Times New Roman" w:eastAsia="Times New Roman" w:hAnsi="Times New Roman"/>
          <w:sz w:val="18"/>
          <w:szCs w:val="18"/>
          <w:i w:val="1"/>
          <w:iCs w:val="1"/>
          <w:color w:val="auto"/>
        </w:rPr>
        <w:t>Amarin Pharma, Inc., et al.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Food &amp; Drug Administration, et al.</w:t>
      </w:r>
      <w:r>
        <w:rPr>
          <w:rFonts w:ascii="Times New Roman" w:cs="Times New Roman" w:eastAsia="Times New Roman" w:hAnsi="Times New Roman"/>
          <w:sz w:val="18"/>
          <w:szCs w:val="18"/>
          <w:color w:val="auto"/>
        </w:rPr>
        <w:t>, 119 F. Supp. 3d 196 (S.D.N.Y. 2015), was filed in the United States District Court for the Southern District of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In the lawsuit, we contended principally that U.S.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 informed physicians make better treatment decisions for their patients. The U.S. FDA opposed this lawsuit but did not dispute the veracity of the subject ANCHOR clinical trial data (the safety data from which was already and currently is in U.S. FDA-approved labeling of VASCEPA) or the peer-reviewed research related to VASCEPA and the potential for cardiovascular risk reduction.</w:t>
      </w:r>
    </w:p>
    <w:p>
      <w:pPr>
        <w:spacing w:after="0" w:line="81"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U.S. FDA did not appeal the court’s ruling. In March 2016, we settled this litigation under terms by which the U.S.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94"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While we believe we are now permitted under applicable law to more broadly promote VASCEPA, the U.S.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7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U.S.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7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Civil False Claims Act, or the FCA, in relation to the sale and marketing of VASCEPA by us and our previous co-marketing partner, Kowa Pharmaceuticals America, Inc., or Kowa America. Similarly, in March 2021, the United States Federal Trade Commission, or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46" w:name="page47"/>
    <w:bookmarkEnd w:id="46"/>
    <w:p>
      <w:pPr>
        <w:ind w:right="20"/>
        <w:spacing w:after="0" w:line="282" w:lineRule="auto"/>
        <w:rPr>
          <w:sz w:val="20"/>
          <w:szCs w:val="20"/>
          <w:color w:val="auto"/>
        </w:rPr>
      </w:pPr>
      <w:r>
        <w:rPr>
          <w:rFonts w:ascii="Times New Roman" w:cs="Times New Roman" w:eastAsia="Times New Roman" w:hAnsi="Times New Roman"/>
          <w:sz w:val="18"/>
          <w:szCs w:val="18"/>
          <w:color w:val="auto"/>
        </w:rPr>
        <w:t>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40" w:lineRule="exact"/>
        <w:rPr>
          <w:sz w:val="20"/>
          <w:szCs w:val="20"/>
          <w:color w:val="auto"/>
        </w:rPr>
      </w:pPr>
    </w:p>
    <w:p>
      <w:pPr>
        <w:ind w:right="360" w:firstLine="509"/>
        <w:spacing w:after="0" w:line="246" w:lineRule="auto"/>
        <w:rPr>
          <w:sz w:val="20"/>
          <w:szCs w:val="20"/>
          <w:color w:val="auto"/>
        </w:rPr>
      </w:pPr>
      <w:r>
        <w:rPr>
          <w:rFonts w:ascii="Times New Roman" w:cs="Times New Roman" w:eastAsia="Times New Roman" w:hAnsi="Times New Roman"/>
          <w:sz w:val="18"/>
          <w:szCs w:val="18"/>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04" w:lineRule="exact"/>
        <w:rPr>
          <w:sz w:val="20"/>
          <w:szCs w:val="20"/>
          <w:color w:val="auto"/>
        </w:rPr>
      </w:pPr>
    </w:p>
    <w:p>
      <w:pPr>
        <w:ind w:right="200" w:firstLine="509"/>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compete effectively against our competitors’ pharmaceutical products. Further, results of trials for similar or competing products could have a negative impact on the perceived safety and efficacy of VASCEPA, which could have a materially adverse impact on sales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VASCEPA.</w:t>
      </w:r>
    </w:p>
    <w:p>
      <w:pPr>
        <w:spacing w:after="0" w:line="84"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VASCEPA will increase. Many of these and other existing or potential competitors may have substantially greater financial, technical and human resources than we do and may be better equipped to develop, manufacture and market products.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73"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8"/>
          <w:szCs w:val="18"/>
          <w:color w:val="auto"/>
        </w:rPr>
        <w:t>Our competitors include large, well-established pharmaceutical and generic companies, specialty and generic pharmaceutical sales and marketing companies, and specialized cardiovascular treatment companies. With generic versions of VASCEPA launched in the U.S. by Hikma in November 2020, Dr. Reddy's in June 2021 and Apotex in January 2022, and with the potential for further generic versions being launched, it may not be viable for us to continue to invest in market education to grow the market and our ability to maintain current promotional efforts and attract favorable commercial terms in several aspects of our business will likely be adversely affected as we face increased generic competition, or if we launch our own generic version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85" w:lineRule="exact"/>
        <w:rPr>
          <w:sz w:val="20"/>
          <w:szCs w:val="20"/>
          <w:color w:val="auto"/>
        </w:rPr>
      </w:pPr>
    </w:p>
    <w:p>
      <w:pPr>
        <w:ind w:right="160" w:firstLine="509"/>
        <w:spacing w:after="0" w:line="223" w:lineRule="auto"/>
        <w:rPr>
          <w:sz w:val="20"/>
          <w:szCs w:val="20"/>
          <w:color w:val="auto"/>
        </w:rPr>
      </w:pPr>
      <w:r>
        <w:rPr>
          <w:rFonts w:ascii="Times New Roman" w:cs="Times New Roman" w:eastAsia="Times New Roman" w:hAnsi="Times New Roman"/>
          <w:sz w:val="18"/>
          <w:szCs w:val="18"/>
          <w:color w:val="auto"/>
        </w:rPr>
        <w:t>Woodward Pharma Services LLC currently sells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it acquired from GlaxoSmithKline plc in the third quarter of 2021.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 prescription-only omega-3 fatty acid indicated for patients with severe hypertriglyceridemia, was approved by the U.S. FDA in 2004 and has been on the market in the United States since 2005. Multiple generic versions of Lovaza are available in the United States. Other large companies with competitive products include AbbVie, Inc., which currently sells Tricor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Trilipix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severe hypertriglyceridemia and Niaspan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U.S. FDA-approved indicated uses, even though such products do not have U.S. FDA approval to reduce CV risk on top of statin therapy.</w:t>
      </w:r>
    </w:p>
    <w:p>
      <w:pPr>
        <w:spacing w:after="0" w:line="78"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In addition, in April 2014, Omtryg (omega-3-acid ethyl esters A) capsules, a free fatty acid form of omega-3 (comprised of 50% EPA and 40% DHA), developed by Trygg Pharma AS, received U.S. FDA approval for severe hypertriglyceridemia. Omtryg has not been commercially launched, but could launch at any time.</w:t>
      </w:r>
    </w:p>
    <w:p>
      <w:pPr>
        <w:spacing w:after="0" w:line="61"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AstraZeneca conducted a long-term outcomes study to assess Statin Residual Risk Reduction With EpaNova in HiGh Cardiovascular Risk PatienTs With Hypertriglyceridemia, or STRENGTH. The study was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Full data from the STRENGTH trial was presented at the AHA's Scientific Sessions in November 2020, confirming that Epanova failed to meet the primary endpoint of CV risk reduction, and published in Journal of the American Medical Association (JAMA) in December 2020.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In April 2022, Kowa Research Institute announced the decision to not continue the PROMINENT study as the primary endpoint was unlikely to be met.</w:t>
      </w:r>
    </w:p>
    <w:p>
      <w:pPr>
        <w:spacing w:after="0" w:line="80"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During 2018, two outcomes studies were completed of omega-3 mixtures which both failed to achieve their primary endpoints of cardiovascular risk reduction and two meta-analyses were published showing that omega-3 mixtures of are not effective in lowering cardiovascular risk. Results of these failed outcomes studies, as described below and analysis, while not done with VASCEPA, may negatively affect sales of VASCEPA if omega-3 mixtures are broadly viewed as ineffective.</w:t>
      </w:r>
    </w:p>
    <w:p>
      <w:pPr>
        <w:spacing w:after="0" w:line="83"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For example, results of one of these two studies, the VITamin D and OmegA-3 TriaL, or VITAL, as announced immediately before the presentation of REDUCE-IT results at the 2018 Scientific Sessions of the AHA on November 10, 2018, failed to achieve its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ind w:right="200"/>
        <w:spacing w:after="0" w:line="258" w:lineRule="auto"/>
        <w:rPr>
          <w:sz w:val="20"/>
          <w:szCs w:val="20"/>
          <w:color w:val="auto"/>
        </w:rPr>
      </w:pPr>
      <w:r>
        <w:rPr>
          <w:rFonts w:ascii="Times New Roman" w:cs="Times New Roman" w:eastAsia="Times New Roman" w:hAnsi="Times New Roman"/>
          <w:sz w:val="18"/>
          <w:szCs w:val="18"/>
          <w:color w:val="auto"/>
        </w:rPr>
        <w:t>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6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Likewise, in 2018, results from the other outcome study,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United Kingdom, or UK, cohort of over 15,000 individuals with diabetes who do not have ASCVD.</w:t>
      </w:r>
    </w:p>
    <w:p>
      <w:pPr>
        <w:spacing w:after="0" w:line="8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highly-pure and stable EPA active ingredient in VASCEPA and its higher dose regimen.</w:t>
      </w:r>
    </w:p>
    <w:p>
      <w:pPr>
        <w:spacing w:after="0" w:line="92" w:lineRule="exact"/>
        <w:rPr>
          <w:sz w:val="20"/>
          <w:szCs w:val="20"/>
          <w:color w:val="auto"/>
        </w:rPr>
      </w:pPr>
    </w:p>
    <w:p>
      <w:pPr>
        <w:ind w:right="280" w:firstLine="509"/>
        <w:spacing w:after="0" w:line="245" w:lineRule="auto"/>
        <w:rPr>
          <w:sz w:val="20"/>
          <w:szCs w:val="20"/>
          <w:color w:val="auto"/>
        </w:rPr>
      </w:pPr>
      <w:r>
        <w:rPr>
          <w:rFonts w:ascii="Times New Roman" w:cs="Times New Roman" w:eastAsia="Times New Roman" w:hAnsi="Times New Roman"/>
          <w:sz w:val="18"/>
          <w:szCs w:val="18"/>
          <w:color w:val="auto"/>
        </w:rPr>
        <w:t>More recently, in 2020, an additional Nordic trial known as OMEMI failed to demonstrate a reduction in cardiovascular events with an omega-3 fatty acid mixture. OMEMI, an investigator-initiated, multi-center, randomized clinical trial, was designed to evaluate the effects of daily treatment with omega-3 fatty acids compared with placebo among elderly patients (age 70-82) with recent myocardial infarction. Patients received 1.8 g omega-3 fatty acids (930 mg EPA and 660 mg DH) or placebo (corn oil) daily added to standard of care. Results presented in November 2020 at the AHA’s Scientific Sessions showed no significant differences in cardiovascular events between the treatment groups for the composite primary endpoint (non-fatal MI, unscheduled revascularization, stroke, hospitalization for heart failure or all-cause mortality), nor for the individual component of this endpoint after 2 years.</w:t>
      </w:r>
    </w:p>
    <w:p>
      <w:pPr>
        <w:spacing w:after="0" w:line="7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Matinas BioPharma, Inc., or Matinas, is developing an omega-3-based therapeutic (MAT9001 also known as LYPDISO) for the treatment of severe hypertriglyceridemia and mixed dyslipidemia. In the fourth quarter of 2014 Matinas filed an IND with the U.S. FDA to conduct a human study in the treatment of severe hypertriglyceridemia and, in June 2015, the company announced topline results for its head-to-head comparative short duration pharmacokinetic and pharmacodynamic study of LYPDISO versus VASCEPA in patients under conditions inconsistent with the U.S. FDA-approved label for VASCEPA and presented results based on biomarker modification without outcomes data. In September 2017, Matinas announced that it will be seeking a partner company to develop and commercialize LYPDISO In March 2019, Matinas announced that net proceeds from a public offering of common stock would be used for development activities for LYPDISO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enrollment resumed in June and was completed in August 2020. In the first quarter of 2021, Matinas announced topline results from the ENHANCE-IT study, stating that LYPDISO, or MAT9001, did not meet statistical significance over VASCEPA on the primary endpoint of percent change from baseline to end of treatment in triglycerides in the PD population. A key secondary endpoint in ENHANCE-IT was the measurement of eicosapentaenoic acid levels in the blood, which is regarded as a key surrogate marker in determining cardiovascular risk reduction. In ENHANCE-IT, plasma EPA concentrations were significantly higher with LYPDISO versus VASCEPA, with a 46% relative percentage increase in the change from baseline EPA level versus VASCEPA. Matinas has announced that the results from ENHANCE-IT suggest potential for LYPDISO as a drug for cardiovascular risk reduction and announced that it is pursuing external partnerships to further develop LYPDISO for cardiovascular outcomes indication. As a result, Matinas no longer plans to pursue an indication for the treatment of severe HTG, instead focusing on the broader cardiovascular risk reduction indication.</w:t>
      </w:r>
    </w:p>
    <w:p>
      <w:pPr>
        <w:spacing w:after="0" w:line="8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In June 2018, NeuroBo Pharmaceuticals, Inc. (previously named Gemphire Therapeutics) announced positive topline results from a Phase 2b trial, or INDIGO-1, of its drug candidate, Gemcabene, in patients with severe hypertriglyceridemia. Gemcabene is an oral, once-daily pill for a number of hypercholesterolemic populations and severe hypertriglyceridemia. In August 2018, the U.S.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U.S. FDA that the clinical development program for Gemcabene remains on partial clinical hold for severe HTG. In June 2019, Gemphire announced top-line clinical results from a Phase 2 trial in Familial Partial Lipodystrophy (FPL)/NASH in which Gemcabene safely met the primary endpoint in a sub-set of patients. Phase 3 studies for homozygous familial (hypercholesterolemia, or HoFH), heterozygous familial hypercholesterolemia, or HeFH, and non-familial hypercholesterolemia in ASCVD patients are planned. NeuroBO is currently assessing Gemcabene as an acute treatment for COVID-19.</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8" w:name="page49"/>
    <w:bookmarkEnd w:id="48"/>
    <w:p>
      <w:pPr>
        <w:ind w:firstLine="509"/>
        <w:spacing w:after="0" w:line="243" w:lineRule="auto"/>
        <w:rPr>
          <w:sz w:val="20"/>
          <w:szCs w:val="20"/>
          <w:color w:val="auto"/>
        </w:rPr>
      </w:pPr>
      <w:r>
        <w:rPr>
          <w:rFonts w:ascii="Times New Roman" w:cs="Times New Roman" w:eastAsia="Times New Roman" w:hAnsi="Times New Roman"/>
          <w:sz w:val="18"/>
          <w:szCs w:val="18"/>
          <w:color w:val="auto"/>
        </w:rPr>
        <w:t>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 In August 2020, Afimmune reported Ph2a study results of epeleuton in patients with NAFLD. Although epeleuton failed to meet the primary endpoint to demonstrate effects on liver enzyme elevation, it demonstrated significant reduction of triglycerides, HbA1c and potential for CV risk reduction. In September 2020, Afimmune announced the start of TRIglyceride And Glucose control with Epeleuton in Metabolic Syndrome Patients, or TRIAGE, a Phase IIb study of epeleuton in patients with high triglycerides and type 2 diabetes to assess the safety and efficacy of orally administered epeleuton capsules vs placebo in the treatment of hypertriglyceridemia and type 2 diabetes. Results are expected in the third quarter of 2022.</w:t>
      </w:r>
    </w:p>
    <w:p>
      <w:pPr>
        <w:spacing w:after="0" w:line="78"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18"/>
          <w:szCs w:val="18"/>
          <w:color w:val="auto"/>
        </w:rPr>
        <w:t>Based on prior communications from the U.S. FDA, including communications in connection with its review of the ANCHOR indication for VASCEPA, it is our understanding that the U.S. FDA is not prepared to approve any therapy for treatment of cardiovascular risk based on biomarker modification without cardiovascular outcomes study data, with the potential exception of therapies which lower LDL-cholesterol, depending on the circumstances. In particular, it is our understanding that the U.S. FDA is not prepared to approve any therapy based primarily on data demonstrating lowering of triglyceride levels. In our view, this position from the U.S.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U.S. FDA were to change this position, it could potentially have a negative impact on us by making it easier for other products to achieve a cardiovascular risk reduction indication without the need in advance to conduct a long and expensive cardiovascular outcomes study.</w:t>
      </w:r>
    </w:p>
    <w:p>
      <w:pPr>
        <w:spacing w:after="0" w:line="77"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7"/>
          <w:szCs w:val="17"/>
          <w:color w:val="auto"/>
        </w:rPr>
        <w:t>VASCEPA also faces competition from dietary supplement manufacturers marketing omega-3 products as nutritional supplements. Such products are classified as food, not as prescription drugs or over-the-counter drugs, by the U.S. FDA in the United States. Most regulatory regimes outside the United States are similar in this regard. Some of the promoters of such products have greater resources than us and are not restricted to the same standards as are prescription drugs with respect to promotional claims or manufacturing quality, consistency and subsequent product stability. Although we have taken successful legal action against supplement manufacturers attempting to use the REDUCE-IT results to promote their products, we cannot be sure physicians and pharmacists will view the U.S. FDA-approved, prescription-only status, and EPA-only purity and stability of VASCEPA or U.S. FDA’s stringent regulatory oversight, as significant advantages versus omega-3 dietary supplements regardless of clinical study results and other scientific data.</w:t>
      </w:r>
    </w:p>
    <w:p>
      <w:pPr>
        <w:spacing w:after="0" w:line="59"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Although VASCEPA is currently the only drug that is approved for cardiovascular risk reduction in Europe in the at-risk patient population studied in REDUCE-IT, and there is currently no other direct competition for Canada and the Middle East, consistent with the U.S., our competitors include large, well-established and experienced pharmaceutical companies, specialty and generic pharmaceutical companies, marketing companies, and specialized cardiovascular treatment companies and we have no experience as a company self-commercializing a product outside of the United States.</w:t>
      </w:r>
    </w:p>
    <w:p>
      <w:pPr>
        <w:spacing w:after="0" w:line="83" w:lineRule="exact"/>
        <w:rPr>
          <w:sz w:val="20"/>
          <w:szCs w:val="20"/>
          <w:color w:val="auto"/>
        </w:rPr>
      </w:pPr>
    </w:p>
    <w:p>
      <w:pPr>
        <w:ind w:right="40" w:firstLine="509"/>
        <w:spacing w:after="0" w:line="229" w:lineRule="auto"/>
        <w:rPr>
          <w:sz w:val="20"/>
          <w:szCs w:val="20"/>
          <w:color w:val="auto"/>
        </w:rPr>
      </w:pPr>
      <w:r>
        <w:rPr>
          <w:rFonts w:ascii="Times New Roman" w:cs="Times New Roman" w:eastAsia="Times New Roman" w:hAnsi="Times New Roman"/>
          <w:sz w:val="18"/>
          <w:szCs w:val="18"/>
          <w:color w:val="auto"/>
        </w:rPr>
        <w:t>Recent CV outcomes trials and meta-analyses with low and high dose omega-3 fatty acid mixtures containing DHA have not shown substantial benefit in patients receiving contemporary medical therapy, including statins. Due to failed low dose omega-3 CV outcomes trials, the European regulatory authorities have concluded that omega-3 fatty acid medicines (specifically Lovaza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/Omacor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at a dose of 1-gram per day are not effective in preventing further events for patients who have had a heart attack. The STRENGTH trial of an omega-3 mixture studied at 4-grams per day also failed to demonstrate cardiovascular benefit.</w:t>
      </w:r>
    </w:p>
    <w:p>
      <w:pPr>
        <w:spacing w:after="0" w:line="212" w:lineRule="exact"/>
        <w:rPr>
          <w:sz w:val="20"/>
          <w:szCs w:val="20"/>
          <w:color w:val="auto"/>
        </w:rPr>
      </w:pPr>
    </w:p>
    <w:p>
      <w:pPr>
        <w:ind w:right="7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generic company competitors seek to compete with copies of VASCEPA in the United States and elsewhere we could face additional challenges to our patents and additional patent litigation.</w:t>
      </w:r>
    </w:p>
    <w:p>
      <w:pPr>
        <w:spacing w:after="0" w:line="37" w:lineRule="exact"/>
        <w:rPr>
          <w:sz w:val="20"/>
          <w:szCs w:val="20"/>
          <w:color w:val="auto"/>
        </w:rPr>
      </w:pPr>
    </w:p>
    <w:p>
      <w:pPr>
        <w:jc w:val="both"/>
        <w:ind w:right="40" w:firstLine="509"/>
        <w:spacing w:after="0" w:line="244" w:lineRule="auto"/>
        <w:rPr>
          <w:sz w:val="20"/>
          <w:szCs w:val="20"/>
          <w:color w:val="auto"/>
        </w:rPr>
      </w:pPr>
      <w:r>
        <w:rPr>
          <w:rFonts w:ascii="Times New Roman" w:cs="Times New Roman" w:eastAsia="Times New Roman" w:hAnsi="Times New Roman"/>
          <w:sz w:val="18"/>
          <w:szCs w:val="18"/>
          <w:color w:val="auto"/>
        </w:rPr>
        <w:t>The FDCA, as amended by the Drug Price Competition and Patent Term Restoration Act of 1984, as amended, or the Hatch-Waxman Amendments, permits the U.S.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74"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As an alternate path to U.S. FDA approval for modifications of products previously approved by the U.S.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U.S. FDA findings of safety and effectiveness of a drug that has obtained U.S. FDA approval based on preclinical or clinical studies conducted by others. In addition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49" w:name="page50"/>
    <w:bookmarkEnd w:id="49"/>
    <w:p>
      <w:pPr>
        <w:ind w:right="220"/>
        <w:spacing w:after="0" w:line="266" w:lineRule="auto"/>
        <w:rPr>
          <w:sz w:val="20"/>
          <w:szCs w:val="20"/>
          <w:color w:val="auto"/>
        </w:rPr>
      </w:pPr>
      <w:r>
        <w:rPr>
          <w:rFonts w:ascii="Times New Roman" w:cs="Times New Roman" w:eastAsia="Times New Roman" w:hAnsi="Times New Roman"/>
          <w:sz w:val="18"/>
          <w:szCs w:val="18"/>
          <w:color w:val="auto"/>
        </w:rPr>
        <w:t>relying on U.S. FDA prior findings of safety and effectiveness for a referenced drug product, the U.S. FDA may require companies to perform additional preclinical or clinical studies to support approval of the modification to the referenced product.</w:t>
      </w:r>
    </w:p>
    <w:p>
      <w:pPr>
        <w:spacing w:after="0" w:line="41"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If an application for a generic version of a branded product or a Section 505(b)(2) application relies on a prior U.S. FDA finding of safety and effectiveness of a previously-approved product including an alternative strength thereof, the applicant is required to certify to the U.S. FDA concerning any patents listed for the referenced product in the U.S. FDA publication called “Approved Drug Products with Therapeutic Equivalence Evaluations,” otherwise known as the “Orange Book.” Specifically, the applicant must certify in the application that:</w:t>
      </w:r>
    </w:p>
    <w:p>
      <w:pPr>
        <w:spacing w:after="0" w:line="90"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patent information listed for the reference drug;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 for the reference drug;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has not expired, but will expire on a particular date and approval is sought after patent expiration; or</w:t>
      </w:r>
    </w:p>
    <w:p>
      <w:pPr>
        <w:spacing w:after="0" w:line="117"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for the reference drug is invalid, unenforceable, or will not be infringed by the manufacture, use or sale of the product for which the ANDA or 505(b)(2) NDA is submitted.</w:t>
      </w:r>
    </w:p>
    <w:p>
      <w:pPr>
        <w:spacing w:after="0" w:line="54"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Hatch-Waxman Amendments require an applicant for a drug product that relies, in whole or in part, on the U.S.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U.S. FDA an acknowledgement letter stating that its ANDA is sufficiently complete to permit a substantive review.</w:t>
      </w:r>
    </w:p>
    <w:p>
      <w:pPr>
        <w:spacing w:after="0" w:line="8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U.S.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U.S. FDA without regard to a stay. For products entitled to five-year exclusivity status, the Hatch-Waxman Amendments provide that an ANDA application may be submitted after four years following U.S.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U.S. FDA’s review of the application may be completed. Such litigation is often time-consuming and costly, and may result in generic competition if such patents are not upheld or if the generic competitor is found not to infringe such patents.</w:t>
      </w:r>
    </w:p>
    <w:p>
      <w:pPr>
        <w:spacing w:after="0" w:line="8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addition to the ANDA patent litigation described above, we could face patent litigation related to the patents filed in the Orange Book related to the REDUCE-IT study.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unless otherwise agreed, the U.S. FDA from approving a marketing application for an ANDA, a product candidate that the U.S. FDA views as having the same conditions of approval as VASCEPA (for example, the same indication and/or other conditions of use), or a 505(b)(2) NDA submitted to the U.S. FDA with VASCEPA as the reference product until December 13, 2022, three years from the date of U.S. FDA approval of the REDUCE-IT sNDA. While this three-year exclusivity would generally prevent such an approval based on our REDUCE-IT indication during such time, it does not preclude tentative or final approval of an ANDA based on our MARINE indication. The U.S.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U.S. FDA from approving an NDA that relies only on its own data to support the change or innovation. Regulatory exclusivity is in addition to exclusivity afforded by issued patents related to VASCEPA.</w:t>
      </w:r>
    </w:p>
    <w:p>
      <w:pPr>
        <w:spacing w:after="0" w:line="81"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may also face challenges to the validity of our patents through a procedure known as inter partes review. Inter partes review is a trial proceeding conducted through the Patent Trial and Appeal Board, of the USPTO.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0" w:name="page51"/>
    <w:bookmarkEnd w:id="50"/>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intend to vigorously enforce our intellectual property rights relating to VASCEPA, but we cannot predict the outcome of the pending lawsuits, any appeals, or any subsequently filed lawsuits or inter partes review.</w:t>
      </w:r>
    </w:p>
    <w:p>
      <w:pPr>
        <w:spacing w:after="0" w:line="40"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Generally, if an ANDA filer meets the approval requirements for a generic version of VASCEPA to the satisfaction of the U.S. FDA under its ANDA, U.S.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87"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8"/>
          <w:szCs w:val="18"/>
          <w:color w:val="auto"/>
        </w:rPr>
        <w:t>Generic versions of VASCEPA made available in the market, even if based on a MARINE indication, only are often used to fill a prescription for any intended use of the drug. If any approved ANDA filers are able to supply the product in significant commercial quantities, generic companies could introduce generic versions of VASCEPA in the market, as did Hikma in November 2020, Dr. Reddy's in June 2021 and Apotex in January 2022, although each on a limited scale to date. Although any such introduction of a generic version of VASCEPA would also be subject to any litigation settlement terms and patent infringement claims (including any new claims and those that may then be subject to an appeal), pursuing such litigation may be prohibitively costly or could put a substantial constraint on our resources.</w:t>
      </w:r>
    </w:p>
    <w:p>
      <w:pPr>
        <w:spacing w:after="0" w:line="7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July 9, 2021, President Biden issued an executive order directing the U.S. FDA to, among other things, continue to clarify and improve the approval framework for generic drugs and identify and address any efforts to impede generic drug competition.</w:t>
      </w:r>
    </w:p>
    <w:p>
      <w:pPr>
        <w:spacing w:after="0" w:line="40"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or news related to litigation outcomes could materially affect the reputation of VASCEPA or the perceived value of our company and our stock price. In addition, generic market entry, whether limited to its approved indication or not, can create market disruption which leads to an overall slowing of market growth regardless of whether the net price of the generic entry is higher or lower than the net price of the branded drug. Such disruption includes potential stock shortages of the generic market entry at retail pharmacies and wholesalers which can cause filling of prescriptions for patients to be delayed or abandoned. Sponsors of generic entries typically do not fund market education initiatives to help healthcare professionals and at-risk patients learn about a new drug, which, particularly for a recently launched drug, can potentially limit overall growth. And certain States impose restrictions on the promotion of branded drugs, particularly if the generic market entry is less expensive than the branded drug. While some companies with generic competition elect to launch an authorized generic form of the drug to counter the perception, real or imagined, that generics are less expensive, if launched, an authorized generic is typically aligned with reduction or elimination of promotion of the associated branded drug, thus limiting the extent of market growth and potentially contracting the overall size of the realized market penetration. While an authorized generic could be profitable the market opportunity for growth from an authorized generic is likely less than from promotion of a branded drug, and as such we have not launched an authorized generic version of VASCEPA to date, but may elect to do so in the future.</w:t>
      </w:r>
    </w:p>
    <w:p>
      <w:pPr>
        <w:spacing w:after="0" w:line="206" w:lineRule="exact"/>
        <w:rPr>
          <w:sz w:val="20"/>
          <w:szCs w:val="20"/>
          <w:color w:val="auto"/>
        </w:rPr>
      </w:pPr>
    </w:p>
    <w:p>
      <w:pPr>
        <w:ind w:right="140" w:firstLine="50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 active pharmaceutical ingredient in VASCEPA is difficult and time consuming to manufacture, often requires considerable advanced planning and long-term financial commitments to ensure sufficient capacity is available when needed and, perhaps not surprisingly, is reportedly in limited supply to our generic competitors, one of which has filed a lawsuit against us claiming we have engaged in anticompetitive practices related to our building of adequate supply for our needs and, in activities we believe were prompted by the generic competitor, government agencies are investigating our business as it relates to the supply of the active pharmaceutical ingredient in VASCEPA. Consumer lawsuits with similar allegations have also been filed. This dynamic could interfere with our business plans.</w:t>
      </w:r>
    </w:p>
    <w:p>
      <w:pPr>
        <w:spacing w:after="0" w:line="71"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The active pharmaceutical ingredient in VASCEPA is difficult and time consuming to manufacture, often requires considerable advanced planning and long-term financial commitments to ensure sufficient capacity is available when needed. We have invested over a decade of resources and expenses to develop with our third-party, active pharmaceutical ingredient supply chain the technical knowhow, manufacturing processes and related regulatory approvals that have helped enable our suppliers to supply our clinical and commercial needs globally. Based on statements made by Hikma and Dr. Reddy’s, the active pharmaceutical ingredient of VASCEPA needed to manufacture their generic versions of VASCEPA is in limited supply to them. We believe this may be due to their lack of adequate planning, knowhow and expertise regarding this fragile active ingredient.</w:t>
      </w:r>
    </w:p>
    <w:p>
      <w:pPr>
        <w:spacing w:after="0" w:line="7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As has been a practice in the generic pharmaceutical industry, on April 27, 2021, Dr. Reddy’s filed a complaint against us in the United States District Court District of New Jersey (case no. 2:21-cv-10309) alleging various antitrust violations stemming from alleged anticompetitive practices related to the supply of active pharmaceutical ingredient of VASCEPA. Damages sought include recovery for alleged economic harm to Dr. Reddy’s, payors, and consumers, treble damages and other costs and fees. Injunctive relief against the alleged violative activities is also being sought by Dr. Reddy’s. Consumer group lawsuits followed claiming similar violations and alleging, for example, that such alleged violations resulted in higher prices to consumers. Such litigation can be lengthy, costly and could materially affect and disrupt our business. We believe we have valid defenses and will vigorously defend against the claims but cannot predict the outcome.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1" w:name="page52"/>
    <w:bookmarkEnd w:id="51"/>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We have also received a civil investigative demand from the U.S. FTC and a subpoena from the New York Attorney General with respect to practices relating to our supply of the active pharmaceutical ingredient in VASCEPA. We believe such contact from the governments may have been prompted by a generic competitor. The government inquiries require us to produce documents and answer related questions relevant to specified time periods. We are cooperating with the agencies. Such investigations can be lengthy, costly and could materially affect and disrupt our business. We cannot predict when these investigations will be resolved, the outcome of the investigations or their potential impact on our business. If a government determines that we have violated antitrust law, we could be subject to significant civil fines and penalties.</w:t>
      </w:r>
    </w:p>
    <w:p>
      <w:pPr>
        <w:spacing w:after="0" w:line="203"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VASCEPA is a prescription-only omega-3 fatty acid product. Omega-3 fatty acids are also marketed by other companies as non-prescription dietary supplements. As a result, in the U.S. VASCEPA is subject to non-prescription competition and consumer substitution. This dynamic also exists in markets outside the United States.</w:t>
      </w:r>
    </w:p>
    <w:p>
      <w:pPr>
        <w:spacing w:after="0" w:line="6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and other providers will view the U.S. FDA approval, pharmaceutical grade purity and proven efficacy and safety of VASCEPA as having a superior therapeutic profile to unproven and loosely regulated omega-3 fatty acid dietary supplements. In addition, the U.S.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92"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 xml:space="preserve">Also, for over a decade, subject to certain limitations, the U.S. FDA has expressly permitted dietary supplement manufacturers that sell supplements containing the omega-3 fatty acids EPA and/or DHA to make the following qualified health claim directly to consumers: </w:t>
      </w:r>
      <w:r>
        <w:rPr>
          <w:rFonts w:ascii="Times New Roman" w:cs="Times New Roman" w:eastAsia="Times New Roman" w:hAnsi="Times New Roman"/>
          <w:sz w:val="18"/>
          <w:szCs w:val="18"/>
          <w:i w:val="1"/>
          <w:iCs w:val="1"/>
          <w:color w:val="auto"/>
        </w:rPr>
        <w:t>Supportive but not conclusive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research shows that consumption of EPA and DHA omega-3 fatty acids may reduce the risk of coronary heart disease. </w:t>
      </w:r>
      <w:r>
        <w:rPr>
          <w:rFonts w:ascii="Times New Roman" w:cs="Times New Roman" w:eastAsia="Times New Roman" w:hAnsi="Times New Roman"/>
          <w:sz w:val="18"/>
          <w:szCs w:val="18"/>
          <w:color w:val="auto"/>
        </w:rPr>
        <w:t>Such companies are not, however,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based on U.S. FDA enforcement activity, to make claims that suggest or imply treatment of cardiovascular disease.</w:t>
      </w:r>
    </w:p>
    <w:p>
      <w:pPr>
        <w:spacing w:after="0" w:line="6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68"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For example, on October 29, 2018, we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our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78"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Similarly, on August 30, 2017, we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ending this litigation. We have also engaged with U.S. FDA on the topic of synthetically produced omega-3 products through the citizen’s petition process and otherwise.</w:t>
      </w:r>
    </w:p>
    <w:p>
      <w:pPr>
        <w:spacing w:after="0" w:line="92" w:lineRule="exact"/>
        <w:rPr>
          <w:sz w:val="20"/>
          <w:szCs w:val="20"/>
          <w:color w:val="auto"/>
        </w:rPr>
      </w:pPr>
    </w:p>
    <w:p>
      <w:pPr>
        <w:ind w:right="40" w:firstLine="509"/>
        <w:spacing w:after="0"/>
        <w:rPr>
          <w:sz w:val="20"/>
          <w:szCs w:val="20"/>
          <w:color w:val="auto"/>
        </w:rPr>
      </w:pPr>
      <w:r>
        <w:rPr>
          <w:rFonts w:ascii="Times New Roman" w:cs="Times New Roman" w:eastAsia="Times New Roman" w:hAnsi="Times New Roman"/>
          <w:sz w:val="18"/>
          <w:szCs w:val="18"/>
          <w:color w:val="auto"/>
        </w:rPr>
        <w:t>In addition, to the extent the net price of VASCEPA after insurance and offered discounts is significantly higher than the prices of commercially available omega-3 fatty acids marketed by other companies as dietary supplements (through the lack of coverage by insurers or otherwise), physicians and pharmacists may recommend these retail alternatives instead of writing or filling prescriptions for VASCEPA or patients may elect on their own to take commercially available omega-3 fatty acids. Also, insurance plans may increasingly impose policies that directly or indirectly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or VASCEPA’s market acceptance may be less than expected, which would have a negative impact on our revenues and results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2" w:name="page53"/>
    <w:bookmarkEnd w:id="52"/>
    <w:p>
      <w:pPr>
        <w:ind w:right="2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value to us of sales of VASCEPA outside the United States may be smaller than we anticipate, including adequacy of product reimbursement such as in Europe, which can vary from country to country resulting in potential patient access restrictions.</w:t>
      </w:r>
    </w:p>
    <w:p>
      <w:pPr>
        <w:spacing w:after="0" w:line="37" w:lineRule="exact"/>
        <w:rPr>
          <w:sz w:val="20"/>
          <w:szCs w:val="20"/>
          <w:color w:val="auto"/>
        </w:rPr>
      </w:pPr>
    </w:p>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There can be no assurance as to the market for VASCEPA outside the United States. For example, despite having received EC approval to commercialize VAZKEPA in Europe and as we expect to obtain further, through our partner Edding, marketing approval for VASCEPA in Mainland China, Hong Kong, Macau and Taiwan, or the China Territory, applicable regulatory agencies may impose restrictions on the product’s conditions for use, distribution or marketing and in some cases may impose ongoing requirements for post-market surveillance, post-approval studies or clinical trials.</w:t>
      </w:r>
    </w:p>
    <w:p>
      <w:pPr>
        <w:spacing w:after="0" w:line="69"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Further, securing adequate reimbursement is critical for commercial success of any therapeutic and pricing and reimbursement levels of medications in markets outside the United States can be unpredictable and vary considerably on a country-by-country basis. In some foreign countries, including major markets in Europe, the pricing of prescription pharmaceuticals is subject to governmental control. In these countries, pricing negotiations with individual governmental authorities can take six to 12 months or longer after the receipt of regulatory marketing approval for a product. The time required to secure reimbursement tends to vary from country to country and cannot be reliably predicted at this time. In certain European countries, securing product reimbursement is a requisite to commercial launch.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delayed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78"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We or our partners may even choose to not proceed with marketing VASCEPA in a market, even after a regulatory approval, due to negative commercial dynamics. Further, with regard to any indications for which we may gain approval in territories outside the United States, the number of actual patients with the condition included in such approved indication may be smaller than we anticipate. In addition,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marketing efforts are subject to extensive post-approval government regulation.</w:t>
      </w:r>
    </w:p>
    <w:p>
      <w:pPr>
        <w:spacing w:after="0" w:line="12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Once a product candidate receives U.S. FDA marketing approval, numerous post-approval requirements apply. Among other things, the holder of an approved NDA is subject to periodic and other monitoring and reporting obligations enforced by the U.S.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86" w:lineRule="exact"/>
        <w:rPr>
          <w:sz w:val="20"/>
          <w:szCs w:val="20"/>
          <w:color w:val="auto"/>
        </w:rPr>
      </w:pPr>
    </w:p>
    <w:p>
      <w:pPr>
        <w:ind w:right="80" w:firstLine="509"/>
        <w:spacing w:after="0" w:line="242" w:lineRule="auto"/>
        <w:rPr>
          <w:sz w:val="20"/>
          <w:szCs w:val="20"/>
          <w:color w:val="auto"/>
        </w:rPr>
      </w:pPr>
      <w:r>
        <w:rPr>
          <w:rFonts w:ascii="Times New Roman" w:cs="Times New Roman" w:eastAsia="Times New Roman" w:hAnsi="Times New Roman"/>
          <w:sz w:val="18"/>
          <w:szCs w:val="18"/>
          <w:color w:val="auto"/>
        </w:rPr>
        <w:t>With respect to sales and marketing activities, advertising and promotional materials must comply with U.S.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U.S. FDA and other requirements. In the United States, the distribution of product samples to physicians must comply with the requirements of the U.S. Prescription Drug Marketing Act. Manufacturing facilities remain subject to U.S. FDA inspection and must continue to adhere to the U.S. FDA’s pharmaceutical current good manufacturing practice requirements, or cGMPs. Application holders must obtain U.S. FDA approval for product and manufacturing changes, depending on the nature of the change. In addition, drug manufacturers and other entities involved in the manufacture and distribution of approved drugs are subject to periodic unannounced inspections by the U.S. FDA and state agencies for compliance with cGMP requirements.</w:t>
      </w:r>
    </w:p>
    <w:p>
      <w:pPr>
        <w:spacing w:after="0" w:line="93" w:lineRule="exact"/>
        <w:rPr>
          <w:sz w:val="20"/>
          <w:szCs w:val="20"/>
          <w:color w:val="auto"/>
        </w:rPr>
      </w:pPr>
    </w:p>
    <w:p>
      <w:pPr>
        <w:ind w:right="80" w:firstLine="509"/>
        <w:spacing w:after="0" w:line="246" w:lineRule="auto"/>
        <w:rPr>
          <w:sz w:val="20"/>
          <w:szCs w:val="20"/>
          <w:color w:val="auto"/>
        </w:rPr>
      </w:pPr>
      <w:r>
        <w:rPr>
          <w:rFonts w:ascii="Times New Roman" w:cs="Times New Roman" w:eastAsia="Times New Roman" w:hAnsi="Times New Roman"/>
          <w:sz w:val="18"/>
          <w:szCs w:val="18"/>
          <w:color w:val="auto"/>
        </w:rPr>
        <w:t>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73"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America. As discussed above, in June 2020, we received a CID from the DOJ informing us that the DOJ is investigating whether aspects of our promotional speaker programs and copayment waiver programs during the period from January 1, 2015 to the present violated the U.S. Anti-Kickback</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53" w:name="page54"/>
    <w:bookmarkEnd w:id="53"/>
    <w:p>
      <w:pPr>
        <w:ind w:right="80"/>
        <w:spacing w:after="0" w:line="242" w:lineRule="auto"/>
        <w:rPr>
          <w:sz w:val="20"/>
          <w:szCs w:val="20"/>
          <w:color w:val="auto"/>
        </w:rPr>
      </w:pPr>
      <w:r>
        <w:rPr>
          <w:rFonts w:ascii="Times New Roman" w:cs="Times New Roman" w:eastAsia="Times New Roman" w:hAnsi="Times New Roman"/>
          <w:sz w:val="18"/>
          <w:szCs w:val="18"/>
          <w:color w:val="auto"/>
        </w:rPr>
        <w:t>Statute and the U.S. FCA in relation to the sale and marketing of VASCEPA by us and our previous co-marketing partner, Kowa America.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 In addition, even if we comply with U.S. FDA and other requirements, new information regarding the safety or effectiveness of a product could lead the U.S.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w:t>
      </w:r>
    </w:p>
    <w:p>
      <w:pPr>
        <w:spacing w:after="0" w:line="94"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In addition, all of the above factors may also apply to any regulatory approval for VASCEPA obtained in territories outside the United States. In Europe, for example, restrictions regarding off-label promotion are in some ways more stringent than in the United States, including restrictions covering certain communications with shareholders. Given our inexperience with marketing and commercializing products outside the United States, in certain territories we may need to rely on third parties, such as our partners in Canada, China and the Middle East, to assist us in dealing with any such issues and we will have limited or no control over such partners.</w:t>
      </w:r>
    </w:p>
    <w:p>
      <w:pPr>
        <w:spacing w:after="0" w:line="204" w:lineRule="exact"/>
        <w:rPr>
          <w:sz w:val="20"/>
          <w:szCs w:val="20"/>
          <w:color w:val="auto"/>
        </w:rPr>
      </w:pPr>
    </w:p>
    <w:p>
      <w:pPr>
        <w:ind w:right="2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37"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8"/>
          <w:szCs w:val="18"/>
          <w:color w:val="auto"/>
        </w:rPr>
        <w:t>Our ability to commercialize VASCEPA or any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87" w:lineRule="exact"/>
        <w:rPr>
          <w:sz w:val="20"/>
          <w:szCs w:val="20"/>
          <w:color w:val="auto"/>
        </w:rPr>
      </w:pPr>
    </w:p>
    <w:p>
      <w:pPr>
        <w:jc w:val="both"/>
        <w:ind w:right="120" w:firstLine="509"/>
        <w:spacing w:after="0" w:line="256" w:lineRule="auto"/>
        <w:rPr>
          <w:sz w:val="20"/>
          <w:szCs w:val="20"/>
          <w:color w:val="auto"/>
        </w:rPr>
      </w:pPr>
      <w:r>
        <w:rPr>
          <w:rFonts w:ascii="Times New Roman" w:cs="Times New Roman" w:eastAsia="Times New Roman" w:hAnsi="Times New Roman"/>
          <w:sz w:val="17"/>
          <w:szCs w:val="17"/>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with the exception of a temporary suspension from May 1, 2020 through March 31, 2022 due to the COVID-19 pandemic. Following the suspension, a 1% payment reduction took place beginning April 1, 2022 and will continue through June 30, 2022, and the 2% payment reduction will resume on July 1, 2022. These cuts reduce reimbursement payments related to our products, which could potentially negatively impact our revenue.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91"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certain branded prescription drugs and biologic agents;</w:t>
      </w:r>
    </w:p>
    <w:p>
      <w:pPr>
        <w:spacing w:after="0" w:line="103"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54"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specialty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a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biosimliars;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4" w:name="page55"/>
    <w:bookmarkEnd w:id="54"/>
    <w:p>
      <w:pPr>
        <w:spacing w:after="0" w:line="242" w:lineRule="auto"/>
        <w:rPr>
          <w:sz w:val="20"/>
          <w:szCs w:val="20"/>
          <w:color w:val="auto"/>
        </w:rPr>
      </w:pPr>
      <w:r>
        <w:rPr>
          <w:rFonts w:ascii="Times New Roman" w:cs="Times New Roman" w:eastAsia="Times New Roman" w:hAnsi="Times New Roman"/>
          <w:sz w:val="18"/>
          <w:szCs w:val="18"/>
          <w:color w:val="auto"/>
        </w:rPr>
        <w:t>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If implemented, importation of drugs from Canada may materially and adversely affect the price we receive for any of our product candidates. Further, on November 20, 2020 CMS issued an Interim Final Rule implementing the Most Favored Nation, or MFN, Model under which Medicare Part B reimbursement rates would have been calculated for certain drugs and biologicals based on the lowest price drug manufacturers receive in Organization for Economic Cooperation and Development countries with a similar gross domestic product per capita. However, on December 29, 2021 CMS rescinded the Most Favored Nations rule.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77"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78" w:lineRule="exact"/>
        <w:rPr>
          <w:sz w:val="20"/>
          <w:szCs w:val="20"/>
          <w:color w:val="auto"/>
        </w:rPr>
      </w:pPr>
    </w:p>
    <w:p>
      <w:pPr>
        <w:ind w:right="100" w:firstLine="509"/>
        <w:spacing w:after="0" w:line="293" w:lineRule="auto"/>
        <w:rPr>
          <w:sz w:val="20"/>
          <w:szCs w:val="20"/>
          <w:color w:val="auto"/>
        </w:rPr>
      </w:pPr>
      <w:r>
        <w:rPr>
          <w:rFonts w:ascii="Times New Roman" w:cs="Times New Roman" w:eastAsia="Times New Roman" w:hAnsi="Times New Roman"/>
          <w:sz w:val="17"/>
          <w:szCs w:val="17"/>
          <w:color w:val="auto"/>
        </w:rPr>
        <w:t>These and similar regulatory dynamics, including the recent entry of generic versions of VASCEPA into the market, and the potential for additional generic versions in the near term, can affect our ability to commercialize VASCEPA on commercially reasonable terms and limit the commercial value of</w:t>
      </w:r>
    </w:p>
    <w:p>
      <w:pPr>
        <w:spacing w:after="0"/>
        <w:rPr>
          <w:sz w:val="20"/>
          <w:szCs w:val="20"/>
          <w:color w:val="auto"/>
        </w:rPr>
      </w:pPr>
      <w:r>
        <w:rPr>
          <w:rFonts w:ascii="Times New Roman" w:cs="Times New Roman" w:eastAsia="Times New Roman" w:hAnsi="Times New Roman"/>
          <w:sz w:val="18"/>
          <w:szCs w:val="18"/>
          <w:color w:val="auto"/>
        </w:rPr>
        <w:t>VASCEPA.</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w:t>
      </w:r>
    </w:p>
    <w:p>
      <w:pPr>
        <w:spacing w:after="0" w:line="31"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programs, we could be subject to additional reimbursement requirements, penalties, sanctions and fines, which could have a material adverse effect on our business, financial condition, results of operations and growth prospects.</w:t>
      </w:r>
    </w:p>
    <w:p>
      <w:pPr>
        <w:spacing w:after="0" w:line="72"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commercial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71"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69"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5" w:name="page56"/>
    <w:bookmarkEnd w:id="55"/>
    <w:p>
      <w:pPr>
        <w:ind w:right="60"/>
        <w:spacing w:after="0" w:line="258" w:lineRule="auto"/>
        <w:rPr>
          <w:sz w:val="20"/>
          <w:szCs w:val="20"/>
          <w:color w:val="auto"/>
        </w:rPr>
      </w:pPr>
      <w:r>
        <w:rPr>
          <w:rFonts w:ascii="Times New Roman" w:cs="Times New Roman" w:eastAsia="Times New Roman" w:hAnsi="Times New Roman"/>
          <w:sz w:val="18"/>
          <w:szCs w:val="18"/>
          <w:color w:val="auto"/>
        </w:rPr>
        <w:t>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61"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72"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7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8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76" w:lineRule="exact"/>
        <w:rPr>
          <w:sz w:val="20"/>
          <w:szCs w:val="20"/>
          <w:color w:val="auto"/>
        </w:rPr>
      </w:pPr>
    </w:p>
    <w:p>
      <w:pPr>
        <w:ind w:right="60" w:firstLine="509"/>
        <w:spacing w:after="0" w:line="243"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procedures by government and other third-party payors may limit our ability to market and sell our approved drugs.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These changes could have a material adverse effect on our business and financial condition.</w:t>
      </w:r>
    </w:p>
    <w:p>
      <w:pPr>
        <w:spacing w:after="0" w:line="85"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In the U.S., Europe and other regions globally, sales of pharmaceutical drugs are dependent, in part, on the availability of reimbursement to the consumer from third-party payors, such as government and private insurance plans. Third-party payors decide which products and services they will cover and the conditions for such coverage. Third party payors also establish reimbursement rates for those products and services. Increasingly, third-party payors are challenging the prices charged for medical products and services. Some third-party payor benefit packages restrict reimbursement, charge copayments to patients, or do not provide coverage for specific drugs or drug classes.</w:t>
      </w:r>
    </w:p>
    <w:p>
      <w:pPr>
        <w:spacing w:after="0" w:line="7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U.S. based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61" w:lineRule="exact"/>
        <w:rPr>
          <w:sz w:val="20"/>
          <w:szCs w:val="20"/>
          <w:color w:val="auto"/>
        </w:rPr>
      </w:pPr>
    </w:p>
    <w:p>
      <w:pPr>
        <w:ind w:right="740" w:firstLine="509"/>
        <w:spacing w:after="0" w:line="254" w:lineRule="auto"/>
        <w:rPr>
          <w:sz w:val="20"/>
          <w:szCs w:val="20"/>
          <w:color w:val="auto"/>
        </w:rPr>
      </w:pPr>
      <w:r>
        <w:rPr>
          <w:rFonts w:ascii="Times New Roman" w:cs="Times New Roman" w:eastAsia="Times New Roman" w:hAnsi="Times New Roman"/>
          <w:sz w:val="18"/>
          <w:szCs w:val="18"/>
          <w:color w:val="auto"/>
        </w:rPr>
        <w:t>We expect to experience pricing and reimbursement pressures in connection with the sale of our products due to the trend toward managed healthcare, the increasing influence of health maintenance organizations and additional legislative and executive</w:t>
      </w: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6" w:name="page57"/>
    <w:bookmarkEnd w:id="56"/>
    <w:p>
      <w:pPr>
        <w:ind w:right="80"/>
        <w:spacing w:after="0" w:line="250" w:lineRule="auto"/>
        <w:rPr>
          <w:sz w:val="20"/>
          <w:szCs w:val="20"/>
          <w:color w:val="auto"/>
        </w:rPr>
      </w:pPr>
      <w:r>
        <w:rPr>
          <w:rFonts w:ascii="Times New Roman" w:cs="Times New Roman" w:eastAsia="Times New Roman" w:hAnsi="Times New Roman"/>
          <w:sz w:val="18"/>
          <w:szCs w:val="18"/>
          <w:color w:val="auto"/>
        </w:rPr>
        <w:t>proposals, as well as the availability of generic versions of VASCEPA. In addition, we may confront limitations in, or exclusions from, insurance coverage for our products, particularly as generic competition intensifies.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Ongoing healthcare legislative and regulatory reform measures may have a material adverse effect on our business and results of operations.</w:t>
      </w:r>
    </w:p>
    <w:p>
      <w:pPr>
        <w:spacing w:after="0" w:line="108"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Certain provisions of the ACA have been subject to judicial challenges, as well as efforts to repeal or replace them or to alter their interpretation or implementation. Multiple Executive Orders were signed during the Trump administration which were designed to delay the implementation of certain provisions of the ACA or otherwise circumvent some of the requirements for health insurance mandated by the ACA. For example, the previous administration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HHS from paying out more in risk corridor payments than it collected, HHS was not required to pay more than $12.0 billion in ACA risk corridor payments owed to insurers under the risk corridor formula. On November 6, 2018, the Federal Circuit declined to rehear the case en banc.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 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(an increase from 50% effective as of January 1, 2019) point-of-sale discounts off negotiated prices of applicable brand drugs to eligible beneficiaries during their coverage gap period as a condition for the manufacturer’s outpatient drugs to be covered under Medicare Part D. Under the Trump administration, CMS issued regulations that gave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On March 2, 2020, the U.S. Supreme Court granted the petitions for writs of certiorari to review this case and held oral arguments on November 10, 2020.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08"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FYs 2019 and 2018 reimbursement formula on specified covered outpatient drugs, or SCODs. The court ruled this change was not an “adjustment” which was within the Secretary’s discretion to make but was instead a fundamental change in the reimbursement calculation. However,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On February 10, 2021, plaintiffs-appellees filed a writ of certiorari with the U.S. Supreme Court. The U.S. Supreme Court granted the writ of certiorari on July 2, 2021 and oral arguments were held on November 30, 2021. The Court's decision should be released in the coming months. It is unclear how these developments could affect covered hospitals who might purchase our future products and affect the rates we may charge such facilities for our approved products in the future, if any. 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7" w:name="page58"/>
    <w:bookmarkEnd w:id="57"/>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00"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63"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80"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European data collection is governed by restrictive regulations governing the use, processing and cross-border transfer of personal information.</w:t>
      </w:r>
    </w:p>
    <w:p>
      <w:pPr>
        <w:spacing w:after="0" w:line="121"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The REDUCE-IT cardiovascular outcomes trial was conducted in part through clinical sites in the EEA. As a result, we are subject to additional privacy restrictions. The collection and use of personal health data in the EU is governed by the provisions of the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EEA to the United States. A decision by the Court of Justice of the European Union, or CJEU, in 2020 invalidated the EU-U.S. Privacy Shield Framework, which was one of the primary mechanisms used by U.S. companies to import personal information from Europe in compliance with the GDPR's cross-border data transfer restrictions, and raised questions about whether the EC's Standard Contractual Clauses, or SCCs, one of the primary alternatives to the Privacy Shield, can lawfully be used for personal information transfers from Europe to the United States or most other countries. Furthermore, on June 4, 2021, the EC issued new forms of standard contractual clauses for data transfers from controllers or processors in the EEA, or otherwise subject to the GDPR, to controllers or processors established outside the EEA, and not subject to the GDPR. The new forms of standard contractual clauses have replaced the standard contractual clauses that were adopted previously under the Data Protection Directive. We will be required to transition to the new forms of standard contractual clauses and doing so will require significant effort and cost. The new standard contractual clauses may also impact our business as companies based in Europe may be reluctant to utilize the new clauses to legitimize transfers of personal information to third countries given the burdensome requirements of transfer impact assessments and the substantial obligations that the new standard contractual clauses impose upon exporters. Failure to comply with the requirements of the GDPR, and the related national data protection laws of the EEA Member States may result in restrictions against regulatory approval in the EEA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58" w:name="page59"/>
    <w:bookmarkEnd w:id="58"/>
    <w:p>
      <w:pPr>
        <w:ind w:right="20" w:firstLine="509"/>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The U.S. FDA, other regulatory agencies and industry organizations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71"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U.S. FDA and other regulatory agencies strictly regulate the promotional claims that may be made about prescription products. In particular, in general, the U.S. government’s position has been that a product may not be promoted for uses that are not approved by the U.S. FDA as reflected in the product’s approved labeling. The Federal government has levied large civil and criminal fines against companies for alleged improper promotion and has enjoined several companies from engaging in off-label promotion. The U.S. FDA has also requested that companies enter into consent decrees or permanent injunctions under which specified promotional conduct is changed or curtailed. Even though we received U.S. FDA marketing approval for VASCEPA for the MARINE indication and for cardiovascular risk reduction based on the REDUCE-IT study, and our settlement with the U.S. FDA affords us a degree of protection for other promotional efforts, physicians may still prescribe VASCEPA to their patients for use in the treatment of conditions that are not included as part of the indication statement in our U.S.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FCA, or other theories of liability. Government may also seek to hold us responsible for the non-compliance of our former co-promotion partner, Kowa America, or our commercialization partners outside the United States or other third-parties that we retain to help us implement our business plan.</w:t>
      </w:r>
    </w:p>
    <w:p>
      <w:pPr>
        <w:spacing w:after="0" w:line="77"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72"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are engaging in, anticompetitive practices or unfair methods of competition relating to VASCEPA. The New York State attorney general similarly issued a subpoena to us regarding the same subject matter on which the FTC CID is focused. The inquiries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 violated the U.S. Anti-Kickback Statute, the FCA or antitrust regulations we could be subject to significant civil and criminal fines and penalties.</w:t>
      </w:r>
    </w:p>
    <w:p>
      <w:pPr>
        <w:spacing w:after="0" w:line="224"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50"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U.S.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92" w:lineRule="exact"/>
        <w:rPr>
          <w:sz w:val="20"/>
          <w:szCs w:val="20"/>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efficacy during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manufacture sufficient quantities of qualified materials under cGMPs for use in clinical trials;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observe patients adequately after treatment;</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59" w:name="page60"/>
    <w:bookmarkEnd w:id="59"/>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for clinical trials or preclinical studies;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unforeseen safety issues in clinical trials or preclinical studies;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suspension, or termination of a trial by the institutional review board responsible for overseeing the study at a particular study site;</w:t>
      </w:r>
    </w:p>
    <w:p>
      <w:pPr>
        <w:spacing w:after="0" w:line="103"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to the requirements imposed by regulatory authorities on the extent, nature or timing of studies to be conducted on quality, safety and efficacy;</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related to patient data privacy;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 or “clinical holds” requiring suspension or termination of a trial;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or other social or government protocols affecting our clinical trial sites.</w:t>
      </w:r>
    </w:p>
    <w:p>
      <w:pPr>
        <w:spacing w:after="0" w:line="104"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U.S.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before the U.S. FDA approval of VASCEPA after review of the MARINE and ANCHOR trials and consideration of other data regarding mineral oil, no strong evidence for biological activity of mineral oil was identified by the agency.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U.S. FDA approved VASCEPA for use in the MARINE indication in July 2012, U.S. FDA did not dispute the veracity of the ANCHOR trial data and, in connection with the March 2016 agreement we reached with the U.S. FDA allowing us to promote the results of the ANCHOR study, the U.S. FDA did not seek to require that we include any qualification related to this earlier question regarding the mineral oil placebo. In addition, in connection with U.S.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U.S. FDA’s exploratory analysis indicated that the effect of LDL cholesterol values on the time to the primary endpoint was numerically small and unlikely to change the overall conclusion of treatment benefit. U.S.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 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12" w:lineRule="exact"/>
        <w:rPr>
          <w:sz w:val="20"/>
          <w:szCs w:val="20"/>
          <w:color w:val="auto"/>
        </w:rPr>
      </w:pPr>
    </w:p>
    <w:p>
      <w:pPr>
        <w:ind w:right="76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As we continue to build our infrastructure for commercializing VASCEPA, we may encounter difficulties in managing the scale of our operations successfully.</w:t>
      </w:r>
    </w:p>
    <w:p>
      <w:pPr>
        <w:spacing w:after="0" w:line="64"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 process of establishing, maintaining, expanding and streamlining a commercial infrastructure is difficult, expensive and time-consuming. We implemented a Go-to-Market strategy in an effort to optimize provider engagement and drive demand for VASCEPA in the United States by shifting reliance on sales force interactions with healthcare professionals to providing managed care and prescription access through an omnichannel platform. Accordingly, as announced on September 22, 2021 we reduced our U.S. field force to approximately 300 sales representatives. As we observe the results of the Go-to-Market strategy and as practices impacted by COVID-19 stabilize, we will continue to evaluate our needs, including the need to fill open positions, or expand or further streamline our sales force, as appropriate to meet our business needs. Our sales team promotes VASCEPA to a limited group of physicians and other healthcare professionals in select geographies in the United States and is not large enough to call upon all physicians.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0" w:name="page61"/>
    <w:bookmarkEnd w:id="60"/>
    <w:p>
      <w:pPr>
        <w:ind w:right="20" w:firstLine="509"/>
        <w:spacing w:after="0" w:line="258" w:lineRule="auto"/>
        <w:rPr>
          <w:sz w:val="20"/>
          <w:szCs w:val="20"/>
          <w:color w:val="auto"/>
        </w:rPr>
      </w:pPr>
      <w:r>
        <w:rPr>
          <w:rFonts w:ascii="Times New Roman" w:cs="Times New Roman" w:eastAsia="Times New Roman" w:hAnsi="Times New Roman"/>
          <w:sz w:val="17"/>
          <w:szCs w:val="17"/>
          <w:color w:val="auto"/>
        </w:rPr>
        <w:t>In addition to sales force reductions and the shift to omnichannel in the United States, we continue to work on our own and with our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and streamlining efforts will impose significant added responsibilities on members of management, including the need to identify, recruit, maintain and integrate the right number of employees. For example, in Europe we have built out our team subsequent to EC approval of the marketing authorization acceptance in 2021, with plans to continue to expand our European staff as deemed appropriate on a country by country basis. The time required to secure reimbursement tends to vary from country to country and cannot be reliably predicted at this time. While we believe that we have strong arguments regarding the cost effectiveness of VAZKEPA, the success of such reimbursement negotiations could have a significant impact on our ability to hire and retain personnel and realize the commercial opportunity of VAZKEPA in Europe. Our future financial performance and our ability to commercialize VASCEPA and to compete effectively will depend, in part, on our ability to manage our future growth effectively, and such efforts may be disrupted by ongoing or reinstated COVID-19 protocols. To that end, we must be able to manage our development efforts effectively, and hire, train, integrate and retain an appropriate level of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180"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life-cycle management, in large part, currently depends on our ability to develop, obtain regulatory approval and commercialize a fixed-dose combination of VASCEPA and yet to be disclosed statins.</w:t>
      </w:r>
    </w:p>
    <w:p>
      <w:pPr>
        <w:spacing w:after="0" w:line="64"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Specifically, our drug development efforts are subject to the risks and uncertainties inherent in any drug development program. Due to the risks and uncertainties involved in progressing through development and bioequivalence or even potential additional trials (as may be required by specific regulatory agencies), and the time and cost involved in obtaining regulatory approvals, among other factors, we cannot reasonably estimate the timing, completion dates and costs, or range of costs, of our drug development program, or of the successful development of any particular fixed-dose combination. The potential success of any fixed-dose combination will depend on a number of factors, including the following:</w:t>
      </w:r>
    </w:p>
    <w:p>
      <w:pPr>
        <w:spacing w:after="0" w:line="87"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manufacture a combination of VASCEPA and statin;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supply of necessary statin for use in the fixed-dose combination;</w:t>
      </w:r>
    </w:p>
    <w:p>
      <w:pPr>
        <w:spacing w:after="0" w:line="103"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any and all markets in which we intend to commercialize a fixed-dose combination of VASCEPA and a statin;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payor acceptance and market access for a fixed-dose combination product of VASCEPA and a statin;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market acceptance of a fixed-dose combination of VASCEPA and a statin.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39" w:lineRule="exact"/>
        <w:rPr>
          <w:sz w:val="20"/>
          <w:szCs w:val="20"/>
          <w:color w:val="auto"/>
        </w:rPr>
      </w:pPr>
    </w:p>
    <w:p>
      <w:pPr>
        <w:ind w:right="60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supply of product for the commercial market and clinical trials is dependent upon relationships with third-party manufacturers and suppliers.</w:t>
      </w:r>
    </w:p>
    <w:p>
      <w:pPr>
        <w:spacing w:after="0" w:line="63"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We have no in-house manufacturing capacity and rely on contract manufacturers for our clinical and commercial product supply. We cannot provide assurance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compete with us through supply to competitors, such as generic drug companies, through breach of our agreements or otherwise.</w:t>
      </w:r>
    </w:p>
    <w:p>
      <w:pPr>
        <w:spacing w:after="0" w:line="87"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Any manufacturing problem, natural or manmade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API, (drug substance) or encapsulated bulk product (drug product), it would have a material adverse effect on our ability to continue to commercialize VASCEPA.</w:t>
      </w:r>
    </w:p>
    <w:p>
      <w:pPr>
        <w:spacing w:after="0" w:line="87"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2"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multiple suppliers has been to expand manufacturing capacity, maintain competitive advantages, and mitigate the risk of reliance on any single supplier.</w:t>
      </w:r>
    </w:p>
    <w:p>
      <w:pPr>
        <w:spacing w:after="0" w:line="117" w:lineRule="exact"/>
        <w:rPr>
          <w:sz w:val="20"/>
          <w:szCs w:val="20"/>
          <w:color w:val="auto"/>
        </w:rPr>
      </w:pPr>
    </w:p>
    <w:p>
      <w:pPr>
        <w:ind w:right="20" w:firstLine="509"/>
        <w:spacing w:after="0" w:line="241" w:lineRule="auto"/>
        <w:rPr>
          <w:sz w:val="20"/>
          <w:szCs w:val="20"/>
          <w:color w:val="auto"/>
        </w:rPr>
      </w:pPr>
      <w:r>
        <w:rPr>
          <w:rFonts w:ascii="Times New Roman" w:cs="Times New Roman" w:eastAsia="Times New Roman" w:hAnsi="Times New Roman"/>
          <w:sz w:val="18"/>
          <w:szCs w:val="18"/>
          <w:color w:val="auto"/>
        </w:rPr>
        <w:t>Expanding manufacturing capacity and qualifying such capacity is complex and subject to numerous regulations and other operational challenges. We require supply capacity to support our direct commercialization of VASCEPA in the United States and VAZKEPA in Europe. We are also committed to providing supply to our commercial partners and distributors in Canada, China, the Middle East and North Africa, and we anticipate potential additional supply requirements as we pursue commercial opportunities in other countries. The resources of our suppliers vary and are limited; costs associated with projected expansion and qualification can be significant, and lead-times for supply purchases and capacity expansion are long requiring certain supply related decisions and commitment to be made in advance, for example, prior to commercial launch in China and in various European countries.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with certain of these expansion plans delayed due to COVID-19 and other market uncertainties. If no additional API supplier is approved by the U.S. FDA as part of an sNDA, our API supply will be limited to the API we purchase from previously approved suppliers. Similarly, the EMA has not initially approved use of each of our suppliers used for VASCEPA in the United States for VAZKEPA in the EU. While we believe that we have sufficient supply of VAZKEPA to support our initial launch plans in Europe, our supply in Europe will be limited until additional suppliers are qualified which qualifications may be delayed by COVID-19 and our exposure to manufacturing issues with our approved suppliers for the EU is less mitigated than is our objective by having more suppliers qualified.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92" w:lineRule="exact"/>
        <w:rPr>
          <w:sz w:val="20"/>
          <w:szCs w:val="20"/>
          <w:color w:val="auto"/>
        </w:rPr>
      </w:pPr>
    </w:p>
    <w:p>
      <w:pPr>
        <w:ind w:right="16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37"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we may be required to purchase more supply than needed to meet actual demand. In either case, such event could have a material adverse effect on our financial results and financial condition.</w:t>
      </w:r>
    </w:p>
    <w:p>
      <w:pPr>
        <w:spacing w:after="0" w:line="204"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37" w:lineRule="exact"/>
        <w:rPr>
          <w:sz w:val="20"/>
          <w:szCs w:val="20"/>
          <w:color w:val="auto"/>
        </w:rPr>
      </w:pPr>
    </w:p>
    <w:p>
      <w:pPr>
        <w:ind w:right="40" w:firstLine="509"/>
        <w:spacing w:after="0" w:line="241" w:lineRule="auto"/>
        <w:rPr>
          <w:sz w:val="20"/>
          <w:szCs w:val="20"/>
          <w:color w:val="auto"/>
        </w:rPr>
      </w:pPr>
      <w:r>
        <w:rPr>
          <w:rFonts w:ascii="Times New Roman" w:cs="Times New Roman" w:eastAsia="Times New Roman" w:hAnsi="Times New Roman"/>
          <w:sz w:val="18"/>
          <w:szCs w:val="18"/>
          <w:color w:val="auto"/>
        </w:rPr>
        <w:t>We sell VASCEPA principally to a limited number of major wholesalers, as well as selected regional wholesalers and mail order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2" w:name="page63"/>
    <w:bookmarkEnd w:id="62"/>
    <w:p>
      <w:pPr>
        <w:ind w:right="160" w:firstLine="509"/>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The manufacture, packaging and distribution of pharmaceutical products such as VASCEPA are subject to U.S. FDA regulations and those of similar foreign regulatory bodies. If we or our third-party manufacturers fail to satisfy these requirements, our product development and commercialization efforts may be materially harmed.</w:t>
      </w:r>
    </w:p>
    <w:p>
      <w:pPr>
        <w:spacing w:after="0" w:line="77"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manufacture, packaging and distribution of pharmaceutical products, such as VASCEPA, are regulated by the U.S. FDA and similar foreign regulatory bodies and must be conducted in accordance with the U.S. FDA’s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95"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Changes in the manufacturing process or procedure, including a change in the location where the product is manufactured or a change of a third-party manufacturer, may require prior U.S. FDA review and pre-approval of the manufacturing process and procedures in accordance with the U.S. FDA’s cGMPs. Any new facility may be subject to a pre-approval inspection by the U.S. FDA and would again require us to demonstrate product comparability to the U.S. FDA. If any third-party manufacturer with whom we contract fails to perform its obligations, we may be forced to manufacture the materials ourselves, for which we may not have the capabilities or resources, or enter into an agreement with a different third-party manufacturer, which we may not be able to do on reasonable terms, if at all. In either scenario, our clinical trials or commercial distribution could be delayed significantly as we establish alternative supply sources. In some cases, the technical skills required to manufacture our products or product candidates may be unique or proprietary to the original third-party manufacturer and we may have difficulty, or there may be contractual restrictions prohibiting us from, transferring such skills to a back-up or alternate supplier, or we may be unable to transfer such skills at all. In addition, if we are required to change third-party manufacturer for any reason, we will be required to verify that the new third-party manufacturer maintains facilities and procedures that comply with quality standards and with all applicable regulations. We will also need to verify, such as through a manufacturing comparability study, that any new manufacturing process will produce our product according to the specifications previously submitted to or approved by the U.S. FDA or another regulatory authority. The delays associated with the verification of a new third-party manufacturer could negatively affect our ability to develop product candidates or commercialize our products in a timely manner or within budget. Furthermore, a third-party manufacturer may possess technology related to the manufacture of our product candidate that such third-party manufacturer owns independently. This would increase our reliance on such third-party manufacturer or require us to obtain a license from such third-party manufacturer in order to have another third-party manufacturer manufacture our products or product candidates. In addition, in the case of the third-party manufacturers that supply our product candidates,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2" w:lineRule="exact"/>
        <w:rPr>
          <w:sz w:val="20"/>
          <w:szCs w:val="20"/>
          <w:color w:val="auto"/>
        </w:rPr>
      </w:pPr>
    </w:p>
    <w:p>
      <w:pPr>
        <w:jc w:val="both"/>
        <w:ind w:right="240" w:firstLine="509"/>
        <w:spacing w:after="0" w:line="258" w:lineRule="auto"/>
        <w:rPr>
          <w:sz w:val="20"/>
          <w:szCs w:val="20"/>
          <w:color w:val="auto"/>
        </w:rPr>
      </w:pPr>
      <w:r>
        <w:rPr>
          <w:rFonts w:ascii="Times New Roman" w:cs="Times New Roman" w:eastAsia="Times New Roman" w:hAnsi="Times New Roman"/>
          <w:sz w:val="18"/>
          <w:szCs w:val="18"/>
          <w:color w:val="auto"/>
        </w:rPr>
        <w:t>There are comparable foreign requirements under ICH guidelines. In addition, certain COVID-19 restrictions have affected Regulatory Agencies' ability to conduct facility inspections and may affect the timing of further approvals. This review may be costly and time consuming and could delay or prevent the launch of a product.</w:t>
      </w:r>
    </w:p>
    <w:p>
      <w:pPr>
        <w:spacing w:after="0" w:line="61" w:lineRule="exact"/>
        <w:rPr>
          <w:sz w:val="20"/>
          <w:szCs w:val="20"/>
          <w:color w:val="auto"/>
        </w:rPr>
      </w:pPr>
    </w:p>
    <w:p>
      <w:pPr>
        <w:ind w:right="140" w:firstLine="509"/>
        <w:spacing w:after="0" w:line="242" w:lineRule="auto"/>
        <w:rPr>
          <w:sz w:val="20"/>
          <w:szCs w:val="20"/>
          <w:color w:val="auto"/>
        </w:rPr>
      </w:pPr>
      <w:r>
        <w:rPr>
          <w:rFonts w:ascii="Times New Roman" w:cs="Times New Roman" w:eastAsia="Times New Roman" w:hAnsi="Times New Roman"/>
          <w:sz w:val="18"/>
          <w:szCs w:val="18"/>
          <w:color w:val="auto"/>
        </w:rPr>
        <w:t>Furthermore, the U.S.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Process validation includes stability testing, measurement of impurities and testing of other product specifications by validated test methods. If the U.S. FDA does not consider the result of the process validation or required testing to be satisfactory, the commercial supply of VASCEPA may be delayed, or we may not be able to supply sufficient quantities of VASCEPA to meet anticipated demand. On March 27, 2020, former President Trump signed into law the CARES Act in response to the COVID-19 pandemic. Throughout the COVID-19 pandemic, there has been public concern over the availability and accessibility of critical medical products, and the CARES Act enhances U.S. FDA’s existing authority with respect to drug shortage measures. Under the CARES Act, we must have in place a risk management plan that identifies and evaluates the risks to the supply of approved drugs for certain serious diseases or conditions for each establishment where the drug or API is manufactured. The risk management plan will be subject to U.S. FDA review during an inspection. If we experience shortages in the supply of our marketed products, our results could be materially impacted.</w:t>
      </w:r>
    </w:p>
    <w:p>
      <w:pPr>
        <w:spacing w:after="0" w:line="80" w:lineRule="exact"/>
        <w:rPr>
          <w:sz w:val="20"/>
          <w:szCs w:val="20"/>
          <w:color w:val="auto"/>
        </w:rPr>
      </w:pPr>
    </w:p>
    <w:p>
      <w:pPr>
        <w:ind w:right="260" w:firstLine="509"/>
        <w:spacing w:after="0" w:line="243" w:lineRule="auto"/>
        <w:rPr>
          <w:sz w:val="20"/>
          <w:szCs w:val="20"/>
          <w:color w:val="auto"/>
        </w:rPr>
      </w:pPr>
      <w:r>
        <w:rPr>
          <w:rFonts w:ascii="Times New Roman" w:cs="Times New Roman" w:eastAsia="Times New Roman" w:hAnsi="Times New Roman"/>
          <w:sz w:val="18"/>
          <w:szCs w:val="18"/>
          <w:color w:val="auto"/>
        </w:rPr>
        <w:t>The U.S.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 Furthermore, reductions in government operations due to pandemic mitigation efforts, or other factors, may delay timely regulatory review by U.S. FDA or similar foreign regulatory bodies. For example, since March 2020 when foreign and domestic inspections of facilities were largely placed on hold, the</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63" w:name="page64"/>
    <w:bookmarkEnd w:id="63"/>
    <w:p>
      <w:pPr>
        <w:ind w:right="20"/>
        <w:spacing w:after="0" w:line="242" w:lineRule="auto"/>
        <w:rPr>
          <w:sz w:val="20"/>
          <w:szCs w:val="20"/>
          <w:color w:val="auto"/>
        </w:rPr>
      </w:pPr>
      <w:r>
        <w:rPr>
          <w:rFonts w:ascii="Times New Roman" w:cs="Times New Roman" w:eastAsia="Times New Roman" w:hAnsi="Times New Roman"/>
          <w:sz w:val="18"/>
          <w:szCs w:val="18"/>
          <w:color w:val="auto"/>
        </w:rPr>
        <w:t>U.S. FDA has been working to resume routine surveillance, bioresearch monitoring and pre-approval inspections on a prioritized basis. Since April 2021, the U.S.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The U.S. FDA is continuing to complete mission-critical work, prioritize other higher-tiered inspectional needs (e.g., for-cause inspections), and carry out surveillance inspections using risk-based approaches for evaluating public health. Should the U.S. FDA determine that an inspection is necessary for approval and an inspection cannot be completed during the review cycle due to restrictions on travel, and the U.S.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U.S.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21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commercialization of VASCEPA outside the United States is substantially dependent on third parties and other circumstances outside our control.</w:t>
      </w:r>
    </w:p>
    <w:p>
      <w:pPr>
        <w:spacing w:after="0" w:line="50"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61"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In February 2015, we entered into a Development, Commercialization and Supply Agreement, or the DCS Agreement, with Edding, related to the development and commercialization of VASCEPA in the China Territory. Under the DCS Agreement, Edding is responsible for development and commercialization activities in the China Territory and associated expenses. Additionally, Edding is required to conduct clinical trials in the China Territory to secure regulatory approval in certain territories. In December 2017, Edding commenced a pivotal Phase 3 clinical trial aimed to demonstrate that VASCEPA lowers triglyceride levels and otherwise has beneficial effects in Chinese patients with severe hypertriglyceridemia (TG &gt;500 mg/dL), as we previously demonstrated with VASCEPA in the more diverse population studied in the MARINE study. In November 2020, we announced statistically significant positive topline results from Edding’s Phase 3 clinical trial of VASCEPA. On February 9, 2021, we announced that the regulatory review processes for approval of VASCEPA in Mainland China and Hong Kong have commenced. The Chinese National Medical Products Administration, or NMPA, has accepted for review the new drug application for VASCEPA, submitted by Edding, based on the results from the Phase 3 clinical trial and the results from our prior studies of VASCEPA. We expect to receive a decision from the NMPA in Mainland China in the second half of 2022. On February 23, 2022 the Hong Kong Department of Health completed their evaluation and approved the use of VASCEPA under the REDUCE-IT indication. Even though such results are similar to the MARINE study,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if the coronavirus pandemic continues or spreads, and if resources by regulators and industry professionals continue to be diverted to address the prolonged coronavirus pandemic. Any development and regulatory efforts in the China Territory may be negatively impacted by heightened political tension between China and the United States, including in connection with COVID-19 and other issues expressed between the countries regarding trade practices, tariffs and honoring intellectual property rights. If Edding is not able to effectively develop and commercialize VASCEPA in the China Territory, we may not be able to generate revenue from the DCS Agreement resulting from the sale of VASCEPA in the China Territory.</w:t>
      </w:r>
    </w:p>
    <w:p>
      <w:pPr>
        <w:spacing w:after="0" w:line="87"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8"/>
          <w:szCs w:val="18"/>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was approved under the MARINE indication in the following countries: Lebanon in March 2018, United Arab Emirates in July 2018, Qatar in December 2019, Bahrain in April 2021, Kuwait in December 2021 and Saudi Arabia in March 2022. VASCEPA was approved under the REDUCE-IT indication in the following countries: Qatar in April 2021, Lebanon in August 2021 and United Arab Emirates in October 2021. VASCEPA was launched in Lebanon and the United Arab Emirates in June 2018 and February 2019, respectively. VASCEPA is under registration in additional countries in the Middle East and North Africa regions. Commercialization across the Middle East and North Africa is subject to similar risks as in the China Territory, and has been negatively impacted by COVID-19 and the destabilized local economies in the region.</w:t>
      </w:r>
    </w:p>
    <w:p>
      <w:pPr>
        <w:spacing w:after="0" w:line="77" w:lineRule="exact"/>
        <w:rPr>
          <w:sz w:val="20"/>
          <w:szCs w:val="20"/>
          <w:color w:val="auto"/>
        </w:rPr>
      </w:pPr>
    </w:p>
    <w:p>
      <w:pPr>
        <w:ind w:right="200" w:firstLine="509"/>
        <w:spacing w:after="0" w:line="242" w:lineRule="auto"/>
        <w:rPr>
          <w:sz w:val="20"/>
          <w:szCs w:val="20"/>
          <w:color w:val="auto"/>
        </w:rPr>
      </w:pPr>
      <w:r>
        <w:rPr>
          <w:rFonts w:ascii="Times New Roman" w:cs="Times New Roman" w:eastAsia="Times New Roman" w:hAnsi="Times New Roman"/>
          <w:sz w:val="18"/>
          <w:szCs w:val="18"/>
          <w:color w:val="auto"/>
        </w:rPr>
        <w:t>In September 2017, we entered into an agreement with HLS Therapeutics Inc., or HLS, to register, commercialize and distribute VASCEPA in Canada. Under the agreement, HLS is responsible for regulatory and commercialization activities and associated costs. We are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4" w:name="page65"/>
    <w:bookmarkEnd w:id="64"/>
    <w:p>
      <w:pPr>
        <w:spacing w:after="0" w:line="250" w:lineRule="auto"/>
        <w:rPr>
          <w:sz w:val="20"/>
          <w:szCs w:val="20"/>
          <w:color w:val="auto"/>
        </w:rPr>
      </w:pPr>
      <w:r>
        <w:rPr>
          <w:rFonts w:ascii="Times New Roman" w:cs="Times New Roman" w:eastAsia="Times New Roman" w:hAnsi="Times New Roman"/>
          <w:sz w:val="18"/>
          <w:szCs w:val="18"/>
          <w:color w:val="auto"/>
        </w:rPr>
        <w:t>launched VASCEPA in Canada, with strong initial uptake before the impact of COVID-19 pandemic. In July 2020, Patented Medicine Prices Review Board confirmed VASCEPA price is compliant with current guidelines, and CADTH recommended reimbursement for VASCEPA in Canada in secondary prevention population. However, if HLS is not able to effectively commercialize VASCEPA in Canada through effective pricing (initially and over time), reimbursement or otherwise we may not be able to generate revenue from the sale of VASCEPA in Canada.</w:t>
      </w:r>
    </w:p>
    <w:p>
      <w:pPr>
        <w:spacing w:after="0" w:line="83"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Our efforts to launch and support commercialization of VAZKEPA on our own in Europe is a complex undertaking for a company that, other than our recent launch of VAZKEPA in Germany in September 2021, has not launched or otherwise commercialized a product in Europe and could be subject to significant risks of execution to our successful development and revenue generation of VAZKEPA in Europe. While various of our suppliers have been inspected and we do not anticipate supply availability limiting our launch in Europe, COVID-19 has limited the ability of suppliers to be inspected and not all of our suppliers have completed all of the requirements of the European regulatory authorities.</w:t>
      </w:r>
    </w:p>
    <w:p>
      <w:pPr>
        <w:spacing w:after="0" w:line="73" w:lineRule="exact"/>
        <w:rPr>
          <w:sz w:val="20"/>
          <w:szCs w:val="20"/>
          <w:color w:val="auto"/>
        </w:rPr>
      </w:pPr>
    </w:p>
    <w:p>
      <w:pPr>
        <w:ind w:right="100" w:firstLine="509"/>
        <w:spacing w:after="0" w:line="247" w:lineRule="auto"/>
        <w:rPr>
          <w:sz w:val="20"/>
          <w:szCs w:val="20"/>
          <w:color w:val="auto"/>
        </w:rPr>
      </w:pPr>
      <w:r>
        <w:rPr>
          <w:rFonts w:ascii="Times New Roman" w:cs="Times New Roman" w:eastAsia="Times New Roman" w:hAnsi="Times New Roman"/>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203"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6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60" w:lineRule="exact"/>
        <w:rPr>
          <w:sz w:val="20"/>
          <w:szCs w:val="20"/>
          <w:color w:val="auto"/>
        </w:rPr>
      </w:pPr>
    </w:p>
    <w:p>
      <w:pPr>
        <w:ind w:left="900" w:right="80" w:hanging="383"/>
        <w:spacing w:after="0" w:line="220"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FCA.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Violations are subject to significant civil and criminal fines and penalties for each violation, plus up to three times the renumeration involved, imprisonment, and exclusion from government healthcare workers;</w:t>
      </w:r>
    </w:p>
    <w:p>
      <w:pPr>
        <w:spacing w:after="0" w:line="72" w:lineRule="exact"/>
        <w:rPr>
          <w:rFonts w:ascii="Times New Roman" w:cs="Times New Roman" w:eastAsia="Times New Roman" w:hAnsi="Times New Roman"/>
          <w:sz w:val="18"/>
          <w:szCs w:val="18"/>
          <w:color w:val="auto"/>
        </w:rPr>
      </w:pPr>
    </w:p>
    <w:p>
      <w:pPr>
        <w:ind w:left="900" w:hanging="383"/>
        <w:spacing w:after="0" w:line="217"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penalties laws, including the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U.S. Anti-Kickback Statute constitutes a false or fraudulent claim under the FCA. When an entity is determined to have violated the FCA, the government may impose civil fines and penalties for each false claim, plus treble damages, and exclude the entity from participation in Medicare, Medicaid and other federal healthcare programs. Pharmaceutical and other healthcare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5" w:name="page66"/>
    <w:bookmarkEnd w:id="65"/>
    <w:p>
      <w:pPr>
        <w:ind w:left="900" w:right="280"/>
        <w:spacing w:after="0" w:line="250" w:lineRule="auto"/>
        <w:rPr>
          <w:sz w:val="20"/>
          <w:szCs w:val="20"/>
          <w:color w:val="auto"/>
        </w:rPr>
      </w:pPr>
      <w:r>
        <w:rPr>
          <w:rFonts w:ascii="Times New Roman" w:cs="Times New Roman" w:eastAsia="Times New Roman" w:hAnsi="Times New Roman"/>
          <w:sz w:val="18"/>
          <w:szCs w:val="18"/>
          <w:color w:val="auto"/>
        </w:rPr>
        <w:t>companies also are subject to other federal false claims laws, including, among others, federal criminal healthcare fraud and false statement statutes that extend to non-government health benefit programs;</w:t>
      </w:r>
    </w:p>
    <w:p>
      <w:pPr>
        <w:spacing w:after="0" w:line="55" w:lineRule="exact"/>
        <w:rPr>
          <w:sz w:val="20"/>
          <w:szCs w:val="20"/>
          <w:color w:val="auto"/>
        </w:rPr>
      </w:pPr>
    </w:p>
    <w:p>
      <w:pPr>
        <w:ind w:left="900" w:right="260" w:hanging="383"/>
        <w:spacing w:after="0" w:line="228"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77" w:lineRule="exact"/>
        <w:rPr>
          <w:rFonts w:ascii="Times New Roman" w:cs="Times New Roman" w:eastAsia="Times New Roman" w:hAnsi="Times New Roman"/>
          <w:sz w:val="18"/>
          <w:szCs w:val="18"/>
          <w:color w:val="auto"/>
        </w:rPr>
      </w:pPr>
    </w:p>
    <w:p>
      <w:pPr>
        <w:ind w:left="900" w:right="160" w:hanging="383"/>
        <w:spacing w:after="0" w:line="24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3" w:lineRule="exact"/>
        <w:rPr>
          <w:rFonts w:ascii="Times New Roman" w:cs="Times New Roman" w:eastAsia="Times New Roman" w:hAnsi="Times New Roman"/>
          <w:sz w:val="18"/>
          <w:szCs w:val="18"/>
          <w:color w:val="auto"/>
        </w:rPr>
      </w:pPr>
    </w:p>
    <w:p>
      <w:pPr>
        <w:ind w:left="900" w:hanging="383"/>
        <w:spacing w:after="0" w:line="245"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7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governmental price reporting laws, which require the calculation and reporting of complex pricing metrics in an accurate and timely manner to government programs;</w:t>
      </w:r>
    </w:p>
    <w:p>
      <w:pPr>
        <w:spacing w:after="0" w:line="40" w:lineRule="exact"/>
        <w:rPr>
          <w:rFonts w:ascii="Times New Roman" w:cs="Times New Roman" w:eastAsia="Times New Roman" w:hAnsi="Times New Roman"/>
          <w:sz w:val="18"/>
          <w:szCs w:val="18"/>
          <w:color w:val="auto"/>
        </w:rPr>
      </w:pPr>
    </w:p>
    <w:p>
      <w:pPr>
        <w:ind w:left="900" w:right="340" w:hanging="383"/>
        <w:spacing w:after="0" w:line="266"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67" w:lineRule="exact"/>
        <w:rPr>
          <w:rFonts w:ascii="Times New Roman" w:cs="Times New Roman" w:eastAsia="Times New Roman" w:hAnsi="Times New Roman"/>
          <w:sz w:val="18"/>
          <w:szCs w:val="18"/>
          <w:color w:val="auto"/>
        </w:rPr>
      </w:pPr>
    </w:p>
    <w:p>
      <w:pPr>
        <w:ind w:left="900" w:hanging="383"/>
        <w:spacing w:after="0" w:line="24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79"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 In addition, manufacturers and other parties involved in the drug supply chain for prescription drug products must also comply with product tracking and tracing requirements and for notifying U.S. FDA of counterfeit, diverted, stolen and intentionally adulterated products or products that are otherwise unfit for distribution in the United States.</w:t>
      </w:r>
    </w:p>
    <w:p>
      <w:pPr>
        <w:spacing w:after="0" w:line="83" w:lineRule="exact"/>
        <w:rPr>
          <w:sz w:val="20"/>
          <w:szCs w:val="20"/>
          <w:color w:val="auto"/>
        </w:rPr>
      </w:pPr>
    </w:p>
    <w:p>
      <w:pPr>
        <w:ind w:firstLine="509"/>
        <w:spacing w:after="0" w:line="241"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CID from the DOJ informing us that the DOJ is investigating whether aspects of our promotional speaker programs and copayment waiver program during the period from January 1, 2015 to the present violated the U.S. Anti-Kickback Statute and the FCA in relation to the sale and marketing of VASCEPA by us and our previous co-marketing partner, Kowa America. Similarly, in March 2021, the FTC issued a CID to us in connection with the FTC’s investigation of whether we have engaged in, or is engaging in, anticompetitive practices or unfair methods of competition relating to VASCEPA. The New York State attorney general similarly issued a subpoena to us regarding the same subject matter on which the FTC CID is focused. The investigations require us to produce documents and answer written questions, or interrogatories, relevant to specified time periods. We are cooperating with the government. We cannot predict when these investigations will be resolved, the outcome of the investigations or their potential impact on our business. Such investigations can be lengthy, costly and could materially affect and disrupt our business. If the government determines that we have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66" w:name="page67"/>
    <w:bookmarkEnd w:id="66"/>
    <w:p>
      <w:pPr>
        <w:spacing w:after="0" w:line="243" w:lineRule="auto"/>
        <w:rPr>
          <w:sz w:val="20"/>
          <w:szCs w:val="20"/>
          <w:color w:val="auto"/>
        </w:rPr>
      </w:pPr>
      <w:r>
        <w:rPr>
          <w:rFonts w:ascii="Times New Roman" w:cs="Times New Roman" w:eastAsia="Times New Roman" w:hAnsi="Times New Roman"/>
          <w:sz w:val="18"/>
          <w:szCs w:val="18"/>
          <w:color w:val="auto"/>
        </w:rPr>
        <w:t>violated the U.S. Anti-Kickback Statute, the FCA or antitrust regulations, we could be subject to significant civil and criminal fines and penalties. 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 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78"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83" w:lineRule="exact"/>
        <w:rPr>
          <w:sz w:val="20"/>
          <w:szCs w:val="20"/>
          <w:color w:val="auto"/>
        </w:rPr>
      </w:pPr>
    </w:p>
    <w:p>
      <w:pPr>
        <w:ind w:firstLine="509"/>
        <w:spacing w:after="0"/>
        <w:rPr>
          <w:sz w:val="20"/>
          <w:szCs w:val="20"/>
          <w:color w:val="auto"/>
        </w:rPr>
      </w:pPr>
      <w:r>
        <w:rPr>
          <w:rFonts w:ascii="Times New Roman" w:cs="Times New Roman" w:eastAsia="Times New Roman" w:hAnsi="Times New Roman"/>
          <w:sz w:val="18"/>
          <w:szCs w:val="18"/>
          <w:color w:val="auto"/>
        </w:rPr>
        <w:t>Third party patient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The U.S. government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 Further, it is possible that changes in insurer policies regarding co-pay coupons and/or the introduction and enactment of new legislation or regulatory measures impacting patients using affected products could have a material adverse effect on our sales, business and financial condition. For example, on December 31, 2020, CMS published a new rule, effective January 1, 2023, requiring manufacturers to ensure the full value of co-pay assistance is passed on to the patient or these dollars will count toward the Average Manufacturer Price and Best Price calculation of the drug. On May 21, 2021, PhRMA sued the HHS in the U.S. District Court for the District of Columbia, to stop the implementation of the rule claiming that the rule contradicts federal law surrounding Medicaid rebates. Although a number of these and other proposed measures may require authorization through additional legislation to become effective, and the current U.S. presidential administration may reverse or otherwise change these measures, both the current U.S. presidential administration and Congress have indicated that they will continue to seek new legislative measures to control drug costs. We cannot predict how the implementation of and any further changes to this rule will affect our business.</w:t>
      </w:r>
    </w:p>
    <w:p>
      <w:pPr>
        <w:spacing w:after="0" w:line="104" w:lineRule="exact"/>
        <w:rPr>
          <w:sz w:val="20"/>
          <w:szCs w:val="20"/>
          <w:color w:val="auto"/>
        </w:rPr>
      </w:pPr>
    </w:p>
    <w:p>
      <w:pPr>
        <w:ind w:right="480" w:firstLine="509"/>
        <w:spacing w:after="0" w:line="246" w:lineRule="auto"/>
        <w:rPr>
          <w:sz w:val="20"/>
          <w:szCs w:val="20"/>
          <w:color w:val="auto"/>
        </w:rPr>
      </w:pPr>
      <w:r>
        <w:rPr>
          <w:rFonts w:ascii="Times New Roman" w:cs="Times New Roman" w:eastAsia="Times New Roman" w:hAnsi="Times New Roman"/>
          <w:sz w:val="18"/>
          <w:szCs w:val="18"/>
          <w:color w:val="auto"/>
        </w:rPr>
        <w:t>In addition, with the approval and commercialization of any of our products outside the United States, we will also likely be subject to foreign equivalents of the healthcare laws mentioned above, among other foreign laws.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7" w:name="page68"/>
    <w:bookmarkEnd w:id="67"/>
    <w:p>
      <w:pPr>
        <w:ind w:right="4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37"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U.S.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patents, proprietary rights and confidentiality to protect the commercial potential of VASCEPA.</w:t>
      </w:r>
    </w:p>
    <w:p>
      <w:pPr>
        <w:spacing w:after="0" w:line="9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7"/>
          <w:szCs w:val="17"/>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w:t>
      </w:r>
    </w:p>
    <w:p>
      <w:pPr>
        <w:spacing w:after="0" w:line="1"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8"/>
          <w:szCs w:val="18"/>
          <w:color w:val="auto"/>
        </w:rPr>
        <w:t>were determined to be invalid as obvious by a district court in the United States, and we are pursuing an appeal process, it remains the case that our ability to successfully implement our business plan and to protect our products with our intellectual property will depend in large part on our ability to:</w:t>
      </w:r>
    </w:p>
    <w:p>
      <w:pPr>
        <w:spacing w:after="0" w:line="63" w:lineRule="exact"/>
        <w:rPr>
          <w:sz w:val="20"/>
          <w:szCs w:val="20"/>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defend and maintain patent protection and market exclusivity for our current and future products;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any trade secrets relating to our current and future products;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patented or patentable products and technologies; and</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third parties.</w:t>
      </w:r>
    </w:p>
    <w:p>
      <w:pPr>
        <w:spacing w:after="0" w:line="10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have prosecuted, and are currently prosecuting, multiple patent applications to protect the intellectual property developed during the VASCEPA development program. As of the date of this report, we had 124 patent applications in the United States that have been either issued or allowed and more than 30 additional patent applications are pending in the United States. Such 124 allowed and issued applications include the following:</w:t>
      </w:r>
    </w:p>
    <w:p>
      <w:pPr>
        <w:spacing w:after="0" w:line="61" w:lineRule="exact"/>
        <w:rPr>
          <w:sz w:val="20"/>
          <w:szCs w:val="20"/>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issued U.S. patent directed to a pharmaceutical composition of VASCEPA in a capsule that expires in 2030;</w:t>
      </w:r>
    </w:p>
    <w:p>
      <w:pPr>
        <w:spacing w:after="0" w:line="117" w:lineRule="exact"/>
        <w:rPr>
          <w:rFonts w:ascii="Times New Roman" w:cs="Times New Roman" w:eastAsia="Times New Roman" w:hAnsi="Times New Roman"/>
          <w:sz w:val="18"/>
          <w:szCs w:val="18"/>
          <w:color w:val="auto"/>
        </w:rPr>
      </w:pPr>
    </w:p>
    <w:p>
      <w:pPr>
        <w:ind w:left="900" w:right="40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 U.S. patents covering or related to the use of VASCEPA in either the MARINE or ANCHOR populations that have terms that expire in 2030 or later;</w:t>
      </w:r>
    </w:p>
    <w:p>
      <w:pPr>
        <w:spacing w:after="0" w:line="54"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U.S. patents covering or related to the use of VASCEPA in the REDUCE-IT population with terms expiring in 2033 or later;</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U.S. patents directed to a pharmaceutical composition comprised of free fatty acids with a term that expires in 2030;</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additional patents related to the use of a pharmaceutical composition comprised of free fatty acids to treat the ANCHOR patient population with a term that expires in 2030 or later;</w:t>
      </w:r>
    </w:p>
    <w:p>
      <w:pPr>
        <w:spacing w:after="0" w:line="54"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a pharmaceutical composition comprised of free fatty acids to treat the MARINE patient population with a term that expires in 2030;</w:t>
      </w:r>
    </w:p>
    <w:p>
      <w:pPr>
        <w:spacing w:after="0" w:line="40"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additional patents related to the use of a pharmaceutical composition comprised of free fatty acids to treat the REDUCE-IT population expiring 2033;</w:t>
      </w:r>
    </w:p>
    <w:p>
      <w:pPr>
        <w:spacing w:after="0" w:line="67" w:lineRule="exact"/>
        <w:rPr>
          <w:rFonts w:ascii="Times New Roman" w:cs="Times New Roman" w:eastAsia="Times New Roman" w:hAnsi="Times New Roman"/>
          <w:sz w:val="18"/>
          <w:szCs w:val="18"/>
          <w:color w:val="auto"/>
        </w:rPr>
      </w:pPr>
    </w:p>
    <w:p>
      <w:pPr>
        <w:ind w:left="900" w:right="240" w:hanging="383"/>
        <w:spacing w:after="0" w:line="266"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pharmaceutical composition comprised of free fatty acids and uses thereof to treat both the MARINE and ANCHOR patient populations with a term that expires in 2030;</w:t>
      </w:r>
    </w:p>
    <w:p>
      <w:pPr>
        <w:spacing w:after="0" w:line="54"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a pharmaceutical composition comprised of re-esterified EPA triglyceride to treat the REDUCE-IT population expiring 2033;</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related to a formulation of EPA/DHA and uses thereof with a term that expires in 2030;</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additional patents related to the use of VASCEPA to treat obesity with a term that expires in 2034;</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additional patent related to the use of VASCEPA to treat prostate cancer with a term that expires in 2037;</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8" w:name="page69"/>
    <w:bookmarkEnd w:id="68"/>
    <w:p>
      <w:pPr>
        <w:ind w:left="900" w:right="160" w:hanging="383"/>
        <w:spacing w:after="0" w:line="282" w:lineRule="auto"/>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additional patents covering a pharmaceutical composition comprised of EPA and a hydroxyl compound with a term that expires in 2034; and</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additional patents covering a new combination therapy comprised of EPA and another drug.</w:t>
      </w:r>
    </w:p>
    <w:p>
      <w:pPr>
        <w:spacing w:after="0" w:line="104"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6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We are the owner of the above-listed patents. We are also the exclusive licensee of certain patents owned by others covering products and products in development.</w:t>
      </w:r>
    </w:p>
    <w:p>
      <w:pPr>
        <w:spacing w:after="0" w:line="54"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7"/>
          <w:szCs w:val="17"/>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data protection afforded through Health Canada (until the end of 2027), in addition to separate patent protection with expiration dates that could extend into 2039. We are pursuing additional regulatory approvals for VASCEPA in Europe, China and the Middle East. In China and the Middle East, we are pursuing such regulatory approvals and subsequent commercialization of VASCEPA with commercial partners. The EC approval provides ten years of market protection in the EU. Furthermore, patent protection in Europe includes:</w:t>
      </w:r>
    </w:p>
    <w:p>
      <w:pPr>
        <w:spacing w:after="0" w:line="59"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One granted patent related to the use of a pharmaceutical composition comprised of 4g of 96% EPA ethyl ester to treat the REDUCE-IT population expiring 2033.</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Pending patent applications in Europe, if granted, may have the potential to extend exclusivity into 2039.</w:t>
      </w:r>
    </w:p>
    <w:p>
      <w:pPr>
        <w:spacing w:after="0" w:line="104" w:lineRule="exact"/>
        <w:rPr>
          <w:sz w:val="20"/>
          <w:szCs w:val="20"/>
          <w:color w:val="auto"/>
        </w:rPr>
      </w:pPr>
    </w:p>
    <w:p>
      <w:pPr>
        <w:ind w:right="20" w:firstLine="509"/>
        <w:spacing w:after="0" w:line="233" w:lineRule="auto"/>
        <w:rPr>
          <w:sz w:val="20"/>
          <w:szCs w:val="20"/>
          <w:color w:val="auto"/>
        </w:rPr>
      </w:pPr>
      <w:r>
        <w:rPr>
          <w:rFonts w:ascii="Times New Roman" w:cs="Times New Roman" w:eastAsia="Times New Roman" w:hAnsi="Times New Roman"/>
          <w:sz w:val="18"/>
          <w:szCs w:val="18"/>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 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83"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80" w:lineRule="exact"/>
        <w:rPr>
          <w:sz w:val="20"/>
          <w:szCs w:val="20"/>
          <w:color w:val="auto"/>
        </w:rPr>
      </w:pPr>
    </w:p>
    <w:p>
      <w:pPr>
        <w:ind w:right="80" w:firstLine="509"/>
        <w:spacing w:after="0" w:line="235" w:lineRule="auto"/>
        <w:rPr>
          <w:sz w:val="20"/>
          <w:szCs w:val="20"/>
          <w:color w:val="auto"/>
        </w:rPr>
      </w:pPr>
      <w:r>
        <w:rPr>
          <w:rFonts w:ascii="Times New Roman" w:cs="Times New Roman" w:eastAsia="Times New Roman" w:hAnsi="Times New Roman"/>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issued patents may not prevent competitors from competing with VASCEPA, even if we seek to enforce our patent rights.</w:t>
      </w:r>
    </w:p>
    <w:p>
      <w:pPr>
        <w:spacing w:after="0" w:line="10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plan to vigorously defend our rights under issued patents. For example, on November 30, 2020 we filed a patent infringement lawsuit against Hikma for making, selling, offering to sell and importing generic icosapent ethyl capsules in and into the United States in a manner that we allege has induced the infringement of patents covering the use of VASCEPA to reduce specified cardiovascular risk. On January 25, 2021, we expanded the scope of this patent infringement lawsuit to include a health care insurance provider, Health Net, LLC. On January 4, 2022, the district court hearing the case granted Hikma's motion to dismiss. We intend to</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69" w:name="page70"/>
    <w:bookmarkEnd w:id="69"/>
    <w:p>
      <w:pPr>
        <w:ind w:right="200"/>
        <w:spacing w:after="0" w:line="282" w:lineRule="auto"/>
        <w:rPr>
          <w:sz w:val="20"/>
          <w:szCs w:val="20"/>
          <w:color w:val="auto"/>
        </w:rPr>
      </w:pPr>
      <w:r>
        <w:rPr>
          <w:rFonts w:ascii="Times New Roman" w:cs="Times New Roman" w:eastAsia="Times New Roman" w:hAnsi="Times New Roman"/>
          <w:sz w:val="18"/>
          <w:szCs w:val="18"/>
          <w:color w:val="auto"/>
        </w:rPr>
        <w:t>appeal the decision of the district court when permitted and also intend to continue to vigorously pursue our ongoing litigation with Health Net, LLC, but cannot predict the outcome or the impact on our business.</w:t>
      </w:r>
    </w:p>
    <w:p>
      <w:pPr>
        <w:spacing w:after="0" w:line="40"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 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72" w:lineRule="exact"/>
        <w:rPr>
          <w:sz w:val="20"/>
          <w:szCs w:val="20"/>
          <w:color w:val="auto"/>
        </w:r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any of our pending patent applications relating to VASCEPA or its use will issue as patents.</w:t>
      </w:r>
    </w:p>
    <w:p>
      <w:pPr>
        <w:spacing w:after="0" w:line="108" w:lineRule="exact"/>
        <w:rPr>
          <w:sz w:val="20"/>
          <w:szCs w:val="20"/>
          <w:color w:val="auto"/>
        </w:rPr>
      </w:pPr>
    </w:p>
    <w:p>
      <w:pPr>
        <w:ind w:right="140" w:firstLine="509"/>
        <w:spacing w:after="0" w:line="244" w:lineRule="auto"/>
        <w:rPr>
          <w:sz w:val="20"/>
          <w:szCs w:val="20"/>
          <w:color w:val="auto"/>
        </w:rPr>
      </w:pPr>
      <w:r>
        <w:rPr>
          <w:rFonts w:ascii="Times New Roman" w:cs="Times New Roman" w:eastAsia="Times New Roman" w:hAnsi="Times New Roman"/>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our clinical trials. If granted, one or more of the resulting granted patents from REDUCE-IT, for example, would expire in 2039, beyond the 2030 and 2033 expiration dates of currently issued REDUCE-IT patents. However, no assurance can be given that any of our pending patent applications will be granted or, if they grant, that they will prevent competitors from competing with VASCEPA.</w:t>
      </w:r>
    </w:p>
    <w:p>
      <w:pPr>
        <w:spacing w:after="0" w:line="74"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95"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4"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ind w:right="320"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50" w:lineRule="exact"/>
        <w:rPr>
          <w:sz w:val="20"/>
          <w:szCs w:val="20"/>
          <w:color w:val="auto"/>
        </w:rPr>
      </w:pPr>
    </w:p>
    <w:p>
      <w:pPr>
        <w:ind w:right="40" w:firstLine="509"/>
        <w:spacing w:after="0" w:line="250" w:lineRule="auto"/>
        <w:rPr>
          <w:sz w:val="20"/>
          <w:szCs w:val="20"/>
          <w:color w:val="auto"/>
        </w:rPr>
      </w:pPr>
      <w:r>
        <w:rPr>
          <w:rFonts w:ascii="Times New Roman" w:cs="Times New Roman" w:eastAsia="Times New Roman" w:hAnsi="Times New Roman"/>
          <w:sz w:val="18"/>
          <w:szCs w:val="18"/>
          <w:color w:val="auto"/>
        </w:rPr>
        <w:t>In January 2022, we disclosed our 2022 financial outlook. Such outlook is based on estimates, assumptions and the judgment of management. Because of the inherent nature of estimates, including during the uncertainty of COVID-19’s impact on our business, we have suspended providing net revenue guidance and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200" w:lineRule="exact"/>
        <w:rPr>
          <w:sz w:val="20"/>
          <w:szCs w:val="20"/>
          <w:color w:val="auto"/>
        </w:rPr>
      </w:pPr>
    </w:p>
    <w:p>
      <w:pPr>
        <w:ind w:right="58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loss of key personnel could have an adverse effect on our business, particularly in light of our recent announcement of management succession plan.</w:t>
      </w:r>
    </w:p>
    <w:p>
      <w:pPr>
        <w:spacing w:after="0" w:line="63"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8"/>
          <w:szCs w:val="18"/>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and sales force, the departure of any key person could have a significant impact and would be potentially</w:t>
      </w: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0" w:name="page71"/>
    <w:bookmarkEnd w:id="70"/>
    <w:p>
      <w:pPr>
        <w:ind w:right="60"/>
        <w:spacing w:after="0" w:line="242" w:lineRule="auto"/>
        <w:rPr>
          <w:sz w:val="20"/>
          <w:szCs w:val="20"/>
          <w:color w:val="auto"/>
        </w:rPr>
      </w:pPr>
      <w:r>
        <w:rPr>
          <w:rFonts w:ascii="Times New Roman" w:cs="Times New Roman" w:eastAsia="Times New Roman" w:hAnsi="Times New Roman"/>
          <w:sz w:val="18"/>
          <w:szCs w:val="18"/>
          <w:color w:val="auto"/>
        </w:rPr>
        <w:t>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expand our commercialization efforts, particularly on a global scale, we may experience increased turnover among members of our senior management team. We may have difficulty identifying, attracting and integrating new executives to replace any such losses. As we prepare for commercialization in Europe, we need to rapidly hire employees and ensure that they are well trained and working cohesively with core values which are consistent with our existing operations and which, we believe, help improve our position for success. In the United States, employees are increasingly being recruited by other companies. While our business priorities emphasize continued promotion of VASCEPA in the United States, the current and potential threat of generic competition can create employee uncertainty which could lead to increased employee turnover.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00" w:lineRule="exact"/>
        <w:rPr>
          <w:sz w:val="20"/>
          <w:szCs w:val="20"/>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clinical research organizations or other contractors or consultants, may fail or suffer security breaches, which could result in a material disruption of our commercial, research and development and other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-214630</wp:posOffset>
            </wp:positionV>
            <wp:extent cx="64135"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9" w:lineRule="exact"/>
        <w:rPr>
          <w:sz w:val="20"/>
          <w:szCs w:val="20"/>
          <w:color w:val="auto"/>
        </w:rPr>
      </w:pPr>
    </w:p>
    <w:p>
      <w:pPr>
        <w:ind w:firstLine="509"/>
        <w:spacing w:after="0" w:line="217"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80"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 incur significant costs or divert significant internal resources as a result of any regulatory actions or private litigation. Any of the foregoing consequences may adversely affect our business and financial condition.</w:t>
      </w:r>
    </w:p>
    <w:p>
      <w:pPr>
        <w:spacing w:after="0" w:line="8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7"/>
          <w:szCs w:val="17"/>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potential product liability.</w:t>
      </w:r>
    </w:p>
    <w:p>
      <w:pPr>
        <w:spacing w:after="0" w:line="108"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71" w:name="page72"/>
    <w:bookmarkEnd w:id="71"/>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residence and/or tax laws could have a negative effect on our future profitability.</w:t>
      </w:r>
    </w:p>
    <w:p>
      <w:pPr>
        <w:spacing w:after="0" w:line="108"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8"/>
          <w:szCs w:val="18"/>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73" w:lineRule="exact"/>
        <w:rPr>
          <w:sz w:val="20"/>
          <w:szCs w:val="20"/>
          <w:color w:val="auto"/>
        </w:rPr>
      </w:pPr>
    </w:p>
    <w:p>
      <w:pPr>
        <w:ind w:right="60" w:firstLine="509"/>
        <w:spacing w:after="0" w:line="247" w:lineRule="auto"/>
        <w:rPr>
          <w:sz w:val="20"/>
          <w:szCs w:val="20"/>
          <w:color w:val="auto"/>
        </w:rPr>
      </w:pPr>
      <w:r>
        <w:rPr>
          <w:rFonts w:ascii="Times New Roman" w:cs="Times New Roman" w:eastAsia="Times New Roman" w:hAnsi="Times New Roman"/>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72"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72"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Our and our subsidiaries’ income tax returns are periodically examined by various tax authorities, including the Internal Revenue Service, or the IRS, and states. For example, the IRS began an examination of our 2018 U.S. income tax return in the first quarter of 2020. Although the outcome of tax audits is always uncertain and could result in significant cash tax payments, we do not believe the outcome of any ongoing or future audits will have a material adverse effect on our consolidated financial position or results of operations.</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our exposure to customer concentration risk.</w:t>
      </w:r>
    </w:p>
    <w:p>
      <w:pPr>
        <w:spacing w:after="0" w:line="108" w:lineRule="exact"/>
        <w:rPr>
          <w:sz w:val="20"/>
          <w:szCs w:val="20"/>
          <w:color w:val="auto"/>
        </w:rPr>
      </w:pPr>
    </w:p>
    <w:p>
      <w:pPr>
        <w:ind w:firstLine="509"/>
        <w:spacing w:after="0" w:line="235" w:lineRule="auto"/>
        <w:rPr>
          <w:sz w:val="20"/>
          <w:szCs w:val="20"/>
          <w:color w:val="auto"/>
        </w:rPr>
      </w:pPr>
      <w:r>
        <w:rPr>
          <w:rFonts w:ascii="Times New Roman" w:cs="Times New Roman" w:eastAsia="Times New Roman" w:hAnsi="Times New Roman"/>
          <w:sz w:val="18"/>
          <w:szCs w:val="18"/>
          <w:color w:val="auto"/>
        </w:rPr>
        <w:t>A significant portion of our sales are to wholesalers in the pharmaceutical industry. Three customers individually accounted for 10% or more of our U.S. gross product sales. Customers A, B, and C accounted for 21%, 39%, and 31%, respectively, of gross product sales for the three months ended March 31, 2022, and represented 29%, 37%, and 28%, respectively, of the gross accounts receivable balance as of March 31, 2022. Customers A, B, and C accounted for 27%, 35%, and 31%, respectively, of gross product sales for the three months ended March 31, 2021, and represented 35%, 36%, and 24%, respectively, of the gross accounts receivable balance as of March 31, 2021. We expect that we may have customer concentration risk as we enter additional countries.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anticipate that we will incur continued losses for an indefinite period of time.</w:t>
      </w:r>
    </w:p>
    <w:p>
      <w:pPr>
        <w:spacing w:after="0" w:line="108" w:lineRule="exact"/>
        <w:rPr>
          <w:sz w:val="20"/>
          <w:szCs w:val="20"/>
          <w:color w:val="auto"/>
        </w:rPr>
      </w:pPr>
    </w:p>
    <w:p>
      <w:pPr>
        <w:ind w:right="160" w:firstLine="509"/>
        <w:spacing w:after="0" w:line="233" w:lineRule="auto"/>
        <w:rPr>
          <w:sz w:val="20"/>
          <w:szCs w:val="20"/>
          <w:color w:val="auto"/>
        </w:rPr>
      </w:pPr>
      <w:r>
        <w:rPr>
          <w:rFonts w:ascii="Times New Roman" w:cs="Times New Roman" w:eastAsia="Times New Roman" w:hAnsi="Times New Roman"/>
          <w:sz w:val="18"/>
          <w:szCs w:val="18"/>
          <w:color w:val="auto"/>
        </w:rPr>
        <w:t>We have not yet reached sustained profitability. For the fiscal years ended December 31, 2021, we reported net income of approximately $7.7 million. For the fiscal years ended December 31, 2020 and 2019, we reported net losses of approximately $18.0 million and $22.6 million, and we had an accumulated deficit as of December 31, 2021 of $1.4 billion. For the three months ended March 31, 2022 and 2021, we reported losses of approximately $31.6 million and $1.6 million, respectively, and we had an accumulated deficit as of March 31, 2022 of $1.5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2" w:name="page73"/>
    <w:bookmarkEnd w:id="72"/>
    <w:p>
      <w:pPr>
        <w:ind w:right="20"/>
        <w:spacing w:after="0" w:line="266" w:lineRule="auto"/>
        <w:rPr>
          <w:sz w:val="20"/>
          <w:szCs w:val="20"/>
          <w:color w:val="auto"/>
        </w:rPr>
      </w:pPr>
      <w:r>
        <w:rPr>
          <w:rFonts w:ascii="Times New Roman" w:cs="Times New Roman" w:eastAsia="Times New Roman" w:hAnsi="Times New Roman"/>
          <w:sz w:val="18"/>
          <w:szCs w:val="18"/>
          <w:color w:val="auto"/>
        </w:rPr>
        <w:t>predict the magnitude of these future losses. Our historic losses, combined with expected future losses, have had and will continue to have an adverse effect on our cash resources, shareholders’ deficit and working capital.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Although we began generating revenue from VASCEPA in January 2013, we may never be consistently profitable for a full year.</w:t>
      </w:r>
    </w:p>
    <w:p>
      <w:pPr>
        <w:spacing w:after="0" w:line="94"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69"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8"/>
          <w:szCs w:val="18"/>
          <w:color w:val="auto"/>
        </w:rPr>
        <w:t>Even though VASCEPA has been approved by the U.S. FDA for marketing in the United States for two important indications, received marketing authorization in Europe and is approved in smaller jurisdictions, it may not gain enough market acceptance to support consistent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in the United States and our expected commercialization efforts in Europe. If we are unable to continue to generate robust product revenues, we will not become profitable on a sustained basis in the near term, if ever, and may be unable to continue operations without continued funding.</w:t>
      </w:r>
    </w:p>
    <w:p>
      <w:pPr>
        <w:spacing w:after="0" w:line="203"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3"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73"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and potential launches of additional generic versions of VASCEPA;</w:t>
      </w:r>
    </w:p>
    <w:p>
      <w:pPr>
        <w:spacing w:after="0" w:line="103"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and prolonged disruption to our business, or delays in resuming normal business activities, or reinstating restrictions after protocols have been lifted, from the COVID-19 pandemic;</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evolution of the medical community’s and the public’s perception of the REDUCE-IT study results;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VASCEPA, due to changes in prescriber sentiment, quarterly changes in distributor purchases, and other factors;</w:t>
      </w:r>
    </w:p>
    <w:p>
      <w:pPr>
        <w:spacing w:after="0" w:line="117" w:lineRule="exact"/>
        <w:rPr>
          <w:rFonts w:ascii="Times New Roman" w:cs="Times New Roman" w:eastAsia="Times New Roman" w:hAnsi="Times New Roman"/>
          <w:sz w:val="18"/>
          <w:szCs w:val="18"/>
          <w:color w:val="auto"/>
        </w:rPr>
      </w:pPr>
    </w:p>
    <w:p>
      <w:pPr>
        <w:jc w:val="both"/>
        <w:ind w:left="900" w:right="340" w:hanging="383"/>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coverage and reimbursement for VASCEPA is available from government and health administration authorities, private health insurers, managed care programs and other third-party payors and the timing and extent to which such coverage and reimbursement changes;</w:t>
      </w:r>
    </w:p>
    <w:p>
      <w:pPr>
        <w:spacing w:after="0" w:line="82" w:lineRule="exact"/>
        <w:rPr>
          <w:rFonts w:ascii="Times New Roman" w:cs="Times New Roman" w:eastAsia="Times New Roman" w:hAnsi="Times New Roman"/>
          <w:sz w:val="18"/>
          <w:szCs w:val="18"/>
          <w:color w:val="auto"/>
        </w:rPr>
      </w:pPr>
    </w:p>
    <w:p>
      <w:pPr>
        <w:ind w:left="900" w:right="480" w:hanging="383"/>
        <w:spacing w:after="0" w:line="266"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sales and marketing efforts to support VASCEPA sales, including our implemented Go-to-Market strategy, and the resulting effectiveness of those efforts;</w:t>
      </w:r>
    </w:p>
    <w:p>
      <w:pPr>
        <w:spacing w:after="0" w:line="54" w:lineRule="exact"/>
        <w:rPr>
          <w:rFonts w:ascii="Times New Roman" w:cs="Times New Roman" w:eastAsia="Times New Roman" w:hAnsi="Times New Roman"/>
          <w:sz w:val="18"/>
          <w:szCs w:val="18"/>
          <w:color w:val="auto"/>
        </w:rPr>
      </w:pPr>
    </w:p>
    <w:p>
      <w:pPr>
        <w:ind w:left="900" w:right="400" w:hanging="383"/>
        <w:spacing w:after="0" w:line="282"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our or our partners’ commercial or development activities, including as a result of political instability, civil unrest, terrorism, pandemics or other natural disasters, such as the coronavirus pandemic;</w:t>
      </w:r>
    </w:p>
    <w:p>
      <w:pPr>
        <w:spacing w:after="0" w:line="40" w:lineRule="exact"/>
        <w:rPr>
          <w:rFonts w:ascii="Times New Roman" w:cs="Times New Roman" w:eastAsia="Times New Roman" w:hAnsi="Times New Roman"/>
          <w:sz w:val="18"/>
          <w:szCs w:val="18"/>
          <w:color w:val="auto"/>
        </w:rPr>
      </w:pPr>
    </w:p>
    <w:p>
      <w:pPr>
        <w:ind w:left="900" w:right="180" w:hanging="383"/>
        <w:spacing w:after="0" w:line="250" w:lineRule="auto"/>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ability of efforts outside the United States, to develop, register and commercialize VASCEPA in Europe, the China Territory, several Middle Eastern and North African countries, and Canada, for example, including obtaining necessary regulatory approvals, favorable pricing and establishing marketing channels;</w:t>
      </w:r>
    </w:p>
    <w:p>
      <w:pPr>
        <w:spacing w:after="0" w:line="82"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developments regarding our intellectual property portfolio and regulatory exclusivity protections, if any;</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outcomes of litigation and other legal proceedings;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ongoing regulatory dialogue.</w:t>
      </w:r>
    </w:p>
    <w:p>
      <w:pPr>
        <w:spacing w:after="0" w:line="248" w:lineRule="exact"/>
        <w:rPr>
          <w:sz w:val="20"/>
          <w:szCs w:val="20"/>
          <w:color w:val="auto"/>
        </w:rPr>
      </w:pPr>
    </w:p>
    <w:p>
      <w:pPr>
        <w:ind w:left="260" w:right="3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50" w:lineRule="exact"/>
        <w:rPr>
          <w:sz w:val="20"/>
          <w:szCs w:val="20"/>
          <w:color w:val="auto"/>
        </w:rPr>
      </w:pPr>
    </w:p>
    <w:p>
      <w:pPr>
        <w:ind w:right="240" w:firstLine="509"/>
        <w:spacing w:after="0" w:line="247" w:lineRule="auto"/>
        <w:rPr>
          <w:sz w:val="20"/>
          <w:szCs w:val="20"/>
          <w:color w:val="auto"/>
        </w:rPr>
      </w:pPr>
      <w:r>
        <w:rPr>
          <w:rFonts w:ascii="Times New Roman" w:cs="Times New Roman" w:eastAsia="Times New Roman" w:hAnsi="Times New Roman"/>
          <w:sz w:val="18"/>
          <w:szCs w:val="18"/>
          <w:color w:val="auto"/>
        </w:rPr>
        <w:t>We currently operate with limited resources. We believe that our cash and cash equivalents balance of $219.2 million and short-term investment balance of $143.4 million as of March 31, 2022 will be sufficient to fund our projected operations for at least 12 months. We have based this estimate on assumptions that may prove to be wrong, and we could deplete our capital resources sooner</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3" w:name="page74"/>
    <w:bookmarkEnd w:id="73"/>
    <w:p>
      <w:pPr>
        <w:spacing w:after="0" w:line="245" w:lineRule="auto"/>
        <w:rPr>
          <w:sz w:val="20"/>
          <w:szCs w:val="20"/>
          <w:color w:val="auto"/>
        </w:rPr>
      </w:pPr>
      <w:r>
        <w:rPr>
          <w:rFonts w:ascii="Times New Roman" w:cs="Times New Roman" w:eastAsia="Times New Roman" w:hAnsi="Times New Roman"/>
          <w:sz w:val="18"/>
          <w:szCs w:val="18"/>
          <w:color w:val="auto"/>
        </w:rPr>
        <w:t>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VAZKEPA in Europe. If additional capital is required and we are unable to obtain additional capital on satisfactory terms, or at all, we may be forced to delay, limit or eliminate certain promotional activities. We anticipate that quarterly net cash outflows in future periods will be variable as a result of the timing of certain items, including our purchases of API, VASCEPA promotional and educational activities, including launch activities in Europe and the impact from COVID-19 on our operations and those of our customers and any current or potential generic competition.</w:t>
      </w:r>
    </w:p>
    <w:p>
      <w:pPr>
        <w:spacing w:after="0" w:line="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fully realize the market potential of VASCEPA, we may need to enter into a new strategic collaboration or raise additional capital.</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0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amount and consistency of revenue generated from the commercial sale of VASCEPA;</w:t>
      </w:r>
    </w:p>
    <w:p>
      <w:pPr>
        <w:spacing w:after="0" w:line="103"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commercializing VASCEPA in the United States, including expenditures such as potential direct-to-consumer advertising and increased sales force sizing, and for commercializing VAZKEPA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6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costs associated with litigation and other legal proceedings and governmental inquiries;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additional regulatory approvals for VASCEPA based on REDUCE-IT results internationally;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to develop internally, acquire or in-license new products, technologies or businesses;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any patent claims and other intellectual property rights.</w:t>
      </w:r>
    </w:p>
    <w:p>
      <w:pPr>
        <w:spacing w:after="0" w:line="10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If we require additional funds and adequate funds are not available to us in amounts or on terms acceptable to us or on a timely basis, or at all, our commercialization efforts for VASCEPA, and our business generally, may suffer materially.</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financial condition and results of operations.</w:t>
      </w:r>
    </w:p>
    <w:p>
      <w:pPr>
        <w:spacing w:after="0" w:line="108"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7"/>
          <w:szCs w:val="17"/>
          <w:color w:val="auto"/>
        </w:rPr>
        <w:t>Tax law and policies in the United States and Ireland are unsettled and may be subject to significant change, including based on adjustments in political perspectives and administration shifts.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6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61" w:lineRule="exact"/>
        <w:rPr>
          <w:sz w:val="20"/>
          <w:szCs w:val="20"/>
          <w:color w:val="auto"/>
        </w:rPr>
      </w:pPr>
    </w:p>
    <w:p>
      <w:pPr>
        <w:ind w:right="60" w:firstLine="509"/>
        <w:spacing w:after="0" w:line="242" w:lineRule="auto"/>
        <w:rPr>
          <w:sz w:val="20"/>
          <w:szCs w:val="20"/>
          <w:color w:val="auto"/>
        </w:rPr>
      </w:pPr>
      <w:r>
        <w:rPr>
          <w:rFonts w:ascii="Times New Roman" w:cs="Times New Roman" w:eastAsia="Times New Roman" w:hAnsi="Times New Roman"/>
          <w:sz w:val="18"/>
          <w:szCs w:val="18"/>
          <w:color w:val="auto"/>
        </w:rPr>
        <w:t>Changes in tax laws (including in response to the COVID-19 pandemic) or tax rulings, or changes in interpretations of existing laws, could cause us to be subject to additional income-based taxes and non-income taxes (such as payroll, sales, use, value-added, digital tax, net worth, property, and goods and services taxes), which in turn could materially affect our financial position and results of operations. In particular, there have been a number of significant changes to the U.S. federal income tax rules in recent years and additional tax reform proposed by the Biden administration may be enacted. The effect of any such tax reform is uncertain. As we continue to expand internationally, we will be subject to varied and complex tax regimes, and the tax laws of one jurisdiction may impact our expansion to or operations in other jurisdictions. Additionally, new, changed, modified, or newly interpreted or applied tax laws could increase our partners’ and our compliance, operating and other costs, as well as the costs of our products. As we expand the scale of our business activities, any changes in the taxation of such activities may increase our effective tax rate and harm our business, financial condition, and results of operations.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ADSs and Common Shares</w:t>
      </w:r>
    </w:p>
    <w:p>
      <w:pPr>
        <w:spacing w:after="0" w:line="2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and common shares may be volatile.</w:t>
      </w:r>
    </w:p>
    <w:p>
      <w:pPr>
        <w:spacing w:after="0" w:line="10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61"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18"/>
          <w:szCs w:val="18"/>
          <w:color w:val="auto"/>
        </w:rPr>
        <w:t>As of April 29, 2022, we had 397,008,153 common shares outstanding including 396,811,326 shares held as ADSs and 196,827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market price of our ADSs and common shares may also be affected by factors such as:</w:t>
      </w:r>
    </w:p>
    <w:p>
      <w:pPr>
        <w:spacing w:after="0" w:line="117" w:lineRule="exact"/>
        <w:rPr>
          <w:sz w:val="20"/>
          <w:szCs w:val="20"/>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ongoing patent prosecution efforts and any future patent or proprietary rights;</w:t>
      </w:r>
    </w:p>
    <w:p>
      <w:pPr>
        <w:spacing w:after="0" w:line="103"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developments in the United States affecting our VASCEPA promotional rights, and regulatory developments in other countries;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medical results relating to our products or our competitors’ products;</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interim failures or setbacks in product development;</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 by us or our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variations in our results of operations.</w:t>
      </w:r>
    </w:p>
    <w:p>
      <w:pPr>
        <w:spacing w:after="0" w:line="104"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8"/>
          <w:szCs w:val="18"/>
          <w:color w:val="auto"/>
        </w:rPr>
        <w:t>Further, the effects of Brexit are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04"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60"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accordance with the guidelines specified under Rule 10b5-1 under the Exchange Act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2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characterized as a passive foreign investment company there could be adverse consequences to U.S. investors.</w:t>
      </w:r>
    </w:p>
    <w:p>
      <w:pPr>
        <w:spacing w:after="0" w:line="108"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87"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Based on certain estimates of our gross income and gross assets, the latter determined by reference to the expected value of our ADSs and shares, we believe that we will not be classified as a PFIC for the taxable year ended December 31, 2021 and we do not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4" w:right="379" w:bottom="1440" w:gutter="0" w:footer="0" w:header="0"/>
        </w:sectPr>
      </w:pPr>
    </w:p>
    <w:bookmarkStart w:id="75" w:name="page76"/>
    <w:bookmarkEnd w:id="75"/>
    <w:p>
      <w:pPr>
        <w:ind w:right="40"/>
        <w:spacing w:after="0" w:line="250" w:lineRule="auto"/>
        <w:rPr>
          <w:sz w:val="20"/>
          <w:szCs w:val="20"/>
          <w:color w:val="auto"/>
        </w:rPr>
      </w:pPr>
      <w:r>
        <w:rPr>
          <w:rFonts w:ascii="Times New Roman" w:cs="Times New Roman" w:eastAsia="Times New Roman" w:hAnsi="Times New Roman"/>
          <w:sz w:val="18"/>
          <w:szCs w:val="18"/>
          <w:color w:val="auto"/>
        </w:rPr>
        <w:t>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cash dividends on the ordinary shares in the foreseeable future.</w:t>
      </w:r>
    </w:p>
    <w:p>
      <w:pPr>
        <w:spacing w:after="0" w:line="108" w:lineRule="exact"/>
        <w:rPr>
          <w:sz w:val="20"/>
          <w:szCs w:val="20"/>
          <w:color w:val="auto"/>
        </w:rPr>
      </w:pPr>
    </w:p>
    <w:p>
      <w:pPr>
        <w:ind w:right="220" w:firstLine="509"/>
        <w:spacing w:after="0" w:line="250" w:lineRule="auto"/>
        <w:rPr>
          <w:sz w:val="20"/>
          <w:szCs w:val="20"/>
          <w:color w:val="auto"/>
        </w:rPr>
      </w:pPr>
      <w:r>
        <w:rPr>
          <w:rFonts w:ascii="Times New Roman" w:cs="Times New Roman" w:eastAsia="Times New Roman" w:hAnsi="Times New Roman"/>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121" w:lineRule="exact"/>
        <w:rPr>
          <w:sz w:val="20"/>
          <w:szCs w:val="20"/>
          <w:color w:val="auto"/>
        </w:rPr>
      </w:pPr>
    </w:p>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2" w:lineRule="exact"/>
        <w:rPr>
          <w:sz w:val="20"/>
          <w:szCs w:val="20"/>
          <w:color w:val="auto"/>
        </w:rPr>
      </w:pPr>
    </w:p>
    <w:p>
      <w:pPr>
        <w:ind w:left="900" w:right="80" w:hanging="383"/>
        <w:spacing w:after="0" w:line="250"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82" w:lineRule="exact"/>
        <w:rPr>
          <w:rFonts w:ascii="Times New Roman" w:cs="Times New Roman" w:eastAsia="Times New Roman" w:hAnsi="Times New Roman"/>
          <w:sz w:val="18"/>
          <w:szCs w:val="18"/>
          <w:color w:val="auto"/>
        </w:rPr>
      </w:pPr>
    </w:p>
    <w:p>
      <w:pPr>
        <w:ind w:left="900" w:right="480" w:hanging="383"/>
        <w:spacing w:after="0" w:line="26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54" w:lineRule="exact"/>
        <w:rPr>
          <w:rFonts w:ascii="Times New Roman" w:cs="Times New Roman" w:eastAsia="Times New Roman" w:hAnsi="Times New Roman"/>
          <w:sz w:val="18"/>
          <w:szCs w:val="18"/>
          <w:color w:val="auto"/>
        </w:rPr>
      </w:pPr>
    </w:p>
    <w:p>
      <w:pPr>
        <w:ind w:left="900" w:right="260" w:hanging="383"/>
        <w:spacing w:after="0" w:line="280"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4" w:lineRule="exact"/>
        <w:rPr>
          <w:rFonts w:ascii="Times New Roman" w:cs="Times New Roman" w:eastAsia="Times New Roman" w:hAnsi="Times New Roman"/>
          <w:sz w:val="17"/>
          <w:szCs w:val="17"/>
          <w:color w:val="auto"/>
        </w:rPr>
      </w:pPr>
    </w:p>
    <w:p>
      <w:pPr>
        <w:ind w:left="900" w:right="180" w:hanging="383"/>
        <w:spacing w:after="0" w:line="246"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86" w:lineRule="exact"/>
        <w:rPr>
          <w:rFonts w:ascii="Times New Roman" w:cs="Times New Roman" w:eastAsia="Times New Roman" w:hAnsi="Times New Roman"/>
          <w:sz w:val="18"/>
          <w:szCs w:val="18"/>
          <w:color w:val="auto"/>
        </w:rPr>
      </w:pPr>
    </w:p>
    <w:p>
      <w:pPr>
        <w:ind w:left="900" w:right="20" w:hanging="383"/>
        <w:spacing w:after="0" w:line="245" w:lineRule="auto"/>
        <w:tabs>
          <w:tab w:leader="none" w:pos="9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73" w:lineRule="exact"/>
        <w:rPr>
          <w:rFonts w:ascii="Times New Roman" w:cs="Times New Roman" w:eastAsia="Times New Roman" w:hAnsi="Times New Roman"/>
          <w:sz w:val="18"/>
          <w:szCs w:val="18"/>
          <w:color w:val="auto"/>
        </w:rPr>
      </w:pPr>
    </w:p>
    <w:p>
      <w:pPr>
        <w:ind w:left="900" w:right="40" w:hanging="383"/>
        <w:spacing w:after="0" w:line="270"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51" w:lineRule="exact"/>
        <w:rPr>
          <w:rFonts w:ascii="Times New Roman" w:cs="Times New Roman" w:eastAsia="Times New Roman" w:hAnsi="Times New Roman"/>
          <w:sz w:val="17"/>
          <w:szCs w:val="17"/>
          <w:color w:val="auto"/>
        </w:rPr>
      </w:pPr>
    </w:p>
    <w:p>
      <w:pPr>
        <w:jc w:val="both"/>
        <w:ind w:left="900" w:hanging="383"/>
        <w:spacing w:after="0" w:line="259" w:lineRule="auto"/>
        <w:tabs>
          <w:tab w:leader="none" w:pos="9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w:t>
      </w:r>
    </w:p>
    <w:p>
      <w:pPr>
        <w:ind w:left="900"/>
        <w:spacing w:after="0"/>
        <w:rPr>
          <w:sz w:val="20"/>
          <w:szCs w:val="20"/>
          <w:color w:val="auto"/>
        </w:rPr>
      </w:pPr>
      <w:r>
        <w:rPr>
          <w:rFonts w:ascii="Times New Roman" w:cs="Times New Roman" w:eastAsia="Times New Roman" w:hAnsi="Times New Roman"/>
          <w:sz w:val="18"/>
          <w:szCs w:val="18"/>
          <w:color w:val="auto"/>
        </w:rPr>
        <w:t>certificate of incorporation or bylaws, but typically not below one-third of the shares entitled to vote at the meeting.</w:t>
      </w: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6" w:name="page77"/>
    <w:bookmarkEnd w:id="76"/>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Shareholder protections found in provisions under the UK City Code on Takeovers and Mergers, or the Takeover Code, do not apply to us.</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69" w:lineRule="exact"/>
        <w:rPr>
          <w:sz w:val="20"/>
          <w:szCs w:val="20"/>
          <w:color w:val="auto"/>
        </w:rPr>
      </w:pPr>
    </w:p>
    <w:p>
      <w:pPr>
        <w:ind w:left="900" w:right="60" w:hanging="383"/>
        <w:spacing w:after="0" w:line="258"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the potential offer.</w:t>
      </w:r>
    </w:p>
    <w:p>
      <w:pPr>
        <w:spacing w:after="0" w:line="61" w:lineRule="exact"/>
        <w:rPr>
          <w:rFonts w:ascii="Times New Roman" w:cs="Times New Roman" w:eastAsia="Times New Roman" w:hAnsi="Times New Roman"/>
          <w:sz w:val="18"/>
          <w:szCs w:val="18"/>
          <w:color w:val="auto"/>
        </w:rPr>
      </w:pPr>
    </w:p>
    <w:p>
      <w:pPr>
        <w:ind w:left="900" w:right="60" w:hanging="383"/>
        <w:spacing w:after="0" w:line="25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person or group of persons who are treated as “acting in concert” with each other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69" w:lineRule="exact"/>
        <w:rPr>
          <w:rFonts w:ascii="Times New Roman" w:cs="Times New Roman" w:eastAsia="Times New Roman" w:hAnsi="Times New Roman"/>
          <w:sz w:val="18"/>
          <w:szCs w:val="18"/>
          <w:color w:val="auto"/>
        </w:rPr>
      </w:pPr>
    </w:p>
    <w:p>
      <w:pPr>
        <w:ind w:left="900" w:right="20" w:hanging="383"/>
        <w:spacing w:after="0" w:line="264" w:lineRule="auto"/>
        <w:tabs>
          <w:tab w:leader="none" w:pos="9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interests in shares of any class representing 10% of shares of that class have been acquired for cash by an offeror (i.e., a bidder) during the offer period (i.e., broadly speaking, the period after the potential offer has been made public) and within 12 months prior to commencement of the offer period, the offer must be in cash or be accompanied by a cash alternative for all shareholders of that class at the highest price paid by the offeror in that period. Further, if an offeror acquires any interest in shares for cash during the offer period, the offer for the shares must be in cash or accompanied by a cash alternative at a price at least equal to the price paid for such shares during the offer period.</w:t>
      </w:r>
    </w:p>
    <w:p>
      <w:pPr>
        <w:spacing w:after="0" w:line="72" w:lineRule="exact"/>
        <w:rPr>
          <w:rFonts w:ascii="Times New Roman" w:cs="Times New Roman" w:eastAsia="Times New Roman" w:hAnsi="Times New Roman"/>
          <w:sz w:val="17"/>
          <w:szCs w:val="17"/>
          <w:color w:val="auto"/>
        </w:rPr>
      </w:pPr>
    </w:p>
    <w:p>
      <w:pPr>
        <w:ind w:left="900" w:right="4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54"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40" w:lineRule="exact"/>
        <w:rPr>
          <w:rFonts w:ascii="Times New Roman" w:cs="Times New Roman" w:eastAsia="Times New Roman" w:hAnsi="Times New Roman"/>
          <w:sz w:val="18"/>
          <w:szCs w:val="18"/>
          <w:color w:val="auto"/>
        </w:rPr>
      </w:pPr>
    </w:p>
    <w:p>
      <w:pPr>
        <w:ind w:left="900" w:right="16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must be given the same information.</w:t>
      </w:r>
    </w:p>
    <w:p>
      <w:pPr>
        <w:spacing w:after="0" w:line="10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of those parties issuing takeover circulars must include statements taking responsibility for the contents thereof.</w:t>
      </w:r>
    </w:p>
    <w:p>
      <w:pPr>
        <w:spacing w:after="0" w:line="103"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forecasts, quantified financial benefits statements and asset valuations must be made to specified standards and must be reported on by professional advisers.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inaccurate or unsubstantiated statements made in documents or to the media must be publicly corrected immediately.</w:t>
      </w:r>
    </w:p>
    <w:p>
      <w:pPr>
        <w:spacing w:after="0" w:line="103" w:lineRule="exact"/>
        <w:rPr>
          <w:rFonts w:ascii="Times New Roman" w:cs="Times New Roman" w:eastAsia="Times New Roman" w:hAnsi="Times New Roman"/>
          <w:sz w:val="18"/>
          <w:szCs w:val="18"/>
          <w:color w:val="auto"/>
        </w:rPr>
      </w:pPr>
    </w:p>
    <w:p>
      <w:pPr>
        <w:ind w:left="900" w:right="380" w:hanging="383"/>
        <w:spacing w:after="0" w:line="250"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during the course of an offer (or even before if the board of the offeree company is aware that an offer is imminent) by the offeree company, which might frustrate the offer are generally prohibited unless shareholders approve these plans (or the bidder consents to the proposed course of action). Frustrating actions would include, for example, issuing new shares, lengthening the notice period for directors under their service contract or agreeing to sell off material parts of the target group.</w:t>
      </w:r>
    </w:p>
    <w:p>
      <w:pPr>
        <w:spacing w:after="0" w:line="69"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6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both the offeror and the offeree company and the trustees of the offeree company’s pension scheme must be informed about an</w:t>
      </w:r>
    </w:p>
    <w:p>
      <w:pPr>
        <w:spacing w:after="0" w:line="27" w:lineRule="exact"/>
        <w:rPr>
          <w:sz w:val="20"/>
          <w:szCs w:val="20"/>
          <w:color w:val="auto"/>
        </w:rPr>
      </w:pPr>
    </w:p>
    <w:p>
      <w:pPr>
        <w:ind w:left="900" w:right="20"/>
        <w:spacing w:after="0" w:line="235" w:lineRule="auto"/>
        <w:rPr>
          <w:sz w:val="20"/>
          <w:szCs w:val="20"/>
          <w:color w:val="auto"/>
        </w:rPr>
      </w:pPr>
      <w:r>
        <w:rPr>
          <w:rFonts w:ascii="Times New Roman" w:cs="Times New Roman" w:eastAsia="Times New Roman" w:hAnsi="Times New Roman"/>
          <w:sz w:val="18"/>
          <w:szCs w:val="18"/>
          <w:color w:val="auto"/>
        </w:rPr>
        <w:t>offer. In addition, the offeree company’s employee representatives and pension scheme trustees have the right to have a separate opinion on the effects of the offer on employment and pension schemes appended to the offeree board of directors’ circular or published on a website.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3" w:right="359" w:bottom="1440" w:gutter="0" w:footer="0" w:header="0"/>
        </w:sectPr>
      </w:pPr>
    </w:p>
    <w:bookmarkStart w:id="77" w:name="page78"/>
    <w:bookmarkEnd w:id="7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shareholders may not be able to enforce civil liabilities against us.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7"/>
          <w:szCs w:val="17"/>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05" w:lineRule="exact"/>
        <w:rPr>
          <w:sz w:val="20"/>
          <w:szCs w:val="20"/>
          <w:color w:val="auto"/>
        </w:rPr>
      </w:pPr>
    </w:p>
    <w:p>
      <w:pPr>
        <w:ind w:left="260" w:right="320" w:firstLine="50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50" w:lineRule="exact"/>
        <w:rPr>
          <w:sz w:val="20"/>
          <w:szCs w:val="20"/>
          <w:color w:val="auto"/>
        </w:rPr>
      </w:pPr>
    </w:p>
    <w:p>
      <w:pPr>
        <w:ind w:right="200" w:firstLine="509"/>
        <w:spacing w:after="0" w:line="245" w:lineRule="auto"/>
        <w:rPr>
          <w:sz w:val="20"/>
          <w:szCs w:val="20"/>
          <w:color w:val="auto"/>
        </w:rPr>
      </w:pPr>
      <w:r>
        <w:rPr>
          <w:rFonts w:ascii="Times New Roman" w:cs="Times New Roman" w:eastAsia="Times New Roman" w:hAnsi="Times New Roman"/>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technological changes in our field of business create considerable uncertainty.</w:t>
      </w:r>
    </w:p>
    <w:p>
      <w:pPr>
        <w:spacing w:after="0" w:line="108" w:lineRule="exact"/>
        <w:rPr>
          <w:sz w:val="20"/>
          <w:szCs w:val="20"/>
          <w:color w:val="auto"/>
        </w:rPr>
      </w:pPr>
    </w:p>
    <w:p>
      <w:pPr>
        <w:ind w:right="20" w:firstLine="509"/>
        <w:spacing w:after="0" w:line="246" w:lineRule="auto"/>
        <w:rPr>
          <w:sz w:val="20"/>
          <w:szCs w:val="20"/>
          <w:color w:val="auto"/>
        </w:rPr>
      </w:pPr>
      <w:r>
        <w:rPr>
          <w:rFonts w:ascii="Times New Roman" w:cs="Times New Roman" w:eastAsia="Times New Roman" w:hAnsi="Times New Roman"/>
          <w:sz w:val="18"/>
          <w:szCs w:val="18"/>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18" w:lineRule="exact"/>
        <w:rPr>
          <w:sz w:val="20"/>
          <w:szCs w:val="20"/>
          <w:color w:val="auto"/>
        </w:rPr>
      </w:pPr>
    </w:p>
    <w:p>
      <w:pPr>
        <w:ind w:right="240"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83" w:lineRule="exact"/>
        <w:rPr>
          <w:sz w:val="20"/>
          <w:szCs w:val="20"/>
          <w:color w:val="auto"/>
        </w:rPr>
      </w:pPr>
    </w:p>
    <w:p>
      <w:pPr>
        <w:jc w:val="both"/>
        <w:ind w:right="160" w:firstLine="509"/>
        <w:spacing w:after="0" w:line="250" w:lineRule="auto"/>
        <w:rPr>
          <w:sz w:val="20"/>
          <w:szCs w:val="20"/>
          <w:color w:val="auto"/>
        </w:rPr>
      </w:pPr>
      <w:r>
        <w:rPr>
          <w:rFonts w:ascii="Times New Roman" w:cs="Times New Roman" w:eastAsia="Times New Roman" w:hAnsi="Times New Roman"/>
          <w:sz w:val="18"/>
          <w:szCs w:val="18"/>
          <w:color w:val="auto"/>
        </w:rPr>
        <w:t>If the UK and the EU are unable to implement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w:t>
      </w:r>
    </w:p>
    <w:p>
      <w:pPr>
        <w:spacing w:after="0" w:line="82"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w:t>
      </w:r>
    </w:p>
    <w:p>
      <w:pPr>
        <w:spacing w:after="0" w:line="73" w:lineRule="exact"/>
        <w:rPr>
          <w:sz w:val="20"/>
          <w:szCs w:val="20"/>
          <w:color w:val="auto"/>
        </w:rPr>
      </w:pPr>
    </w:p>
    <w:p>
      <w:pPr>
        <w:ind w:right="340" w:firstLine="509"/>
        <w:spacing w:after="0" w:line="245" w:lineRule="auto"/>
        <w:rPr>
          <w:sz w:val="20"/>
          <w:szCs w:val="20"/>
          <w:color w:val="auto"/>
        </w:rPr>
      </w:pPr>
      <w:r>
        <w:rPr>
          <w:rFonts w:ascii="Times New Roman" w:cs="Times New Roman" w:eastAsia="Times New Roman" w:hAnsi="Times New Roman"/>
          <w:sz w:val="18"/>
          <w:szCs w:val="18"/>
          <w:color w:val="auto"/>
        </w:rPr>
        <w:t>We may also face new regulatory costs and challenges that could have an adverse effect on our operations. The impact of the terms of the recent trade deal between the UK and EU are uncertain.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commercialization of our products in the UK. Any delay in commercializing our products in the UK and/or the EU</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78" w:name="page79"/>
    <w:bookmarkEnd w:id="78"/>
    <w:p>
      <w:pPr>
        <w:ind w:right="20"/>
        <w:spacing w:after="0" w:line="250" w:lineRule="auto"/>
        <w:rPr>
          <w:sz w:val="20"/>
          <w:szCs w:val="20"/>
          <w:color w:val="auto"/>
        </w:rPr>
      </w:pPr>
      <w:r>
        <w:rPr>
          <w:rFonts w:ascii="Times New Roman" w:cs="Times New Roman" w:eastAsia="Times New Roman" w:hAnsi="Times New Roman"/>
          <w:sz w:val="18"/>
          <w:szCs w:val="18"/>
          <w:color w:val="auto"/>
        </w:rPr>
        <w:t>could restrict our ability to generate revenue and achieve and sustain profitability.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Negative economic conditions would likely have a negative effect on our ability to obtain financing on acceptable terms.</w:t>
      </w:r>
    </w:p>
    <w:p>
      <w:pPr>
        <w:spacing w:after="0" w:line="108"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deterioration in financial markets and confidence in economies, particularly in light of the continued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shareholders, restrict our operations or require us to relinquish rights.</w:t>
      </w:r>
    </w:p>
    <w:p>
      <w:pPr>
        <w:spacing w:after="0" w:line="121"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82"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Potential business combinations or other strategic transactions may disrupt our business or divert management’s attention.</w:t>
      </w:r>
    </w:p>
    <w:p>
      <w:pPr>
        <w:spacing w:after="0" w:line="108"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48"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managerial resources from day-to-day operations;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from the counterparties to any such transaction, other third parties or our shareholders;</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misjudgment with respect to the value;</w:t>
      </w:r>
    </w:p>
    <w:p>
      <w:pPr>
        <w:spacing w:after="0" w:line="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transaction costs; or</w:t>
      </w:r>
    </w:p>
    <w:p>
      <w:pPr>
        <w:spacing w:after="0" w:line="7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successfully consummate any such transaction or collaboration.</w:t>
      </w:r>
    </w:p>
    <w:p>
      <w:pPr>
        <w:spacing w:after="0" w:line="10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7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purchased in the first quarter of 2022 are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Period</w:t>
            </w:r>
          </w:p>
        </w:tc>
        <w:tc>
          <w:tcPr>
            <w:tcW w:w="160" w:type="dxa"/>
            <w:vAlign w:val="bottom"/>
          </w:tcPr>
          <w:p>
            <w:pPr>
              <w:spacing w:after="0"/>
              <w:rPr>
                <w:sz w:val="13"/>
                <w:szCs w:val="13"/>
                <w:color w:val="auto"/>
              </w:rPr>
            </w:pPr>
          </w:p>
        </w:tc>
        <w:tc>
          <w:tcPr>
            <w:tcW w:w="168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right"/>
              <w:ind w:right="137"/>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1 - 31, 2022</w:t>
            </w:r>
          </w:p>
        </w:tc>
        <w:tc>
          <w:tcPr>
            <w:tcW w:w="16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February 1 - 28, 2022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1 - 31, 2022</w:t>
            </w: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18,591</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161,083</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-153670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-153670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380" w:right="120" w:hanging="372"/>
        <w:spacing w:after="0" w:line="211" w:lineRule="auto"/>
        <w:tabs>
          <w:tab w:leader="none" w:pos="326"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Represents shares withheld to satisfy tax withholding amounts due from employees related to the receipt of stock which resulted from the exercise or vesting of equity awards.</w:t>
      </w: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79" w:name="page80"/>
    <w:bookmarkEnd w:id="7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44"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report.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3"/>
          </w:tcPr>
          <w:p>
            <w:pPr>
              <w:jc w:val="center"/>
              <w:ind w:right="42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060" w:type="dxa"/>
            <w:vAlign w:val="bottom"/>
          </w:tcPr>
          <w:p>
            <w:pPr>
              <w:ind w:left="19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5180" w:type="dxa"/>
            <w:vAlign w:val="bottom"/>
            <w:gridSpan w:val="3"/>
            <w:vMerge w:val="restart"/>
          </w:tcPr>
          <w:p>
            <w:pPr>
              <w:jc w:val="center"/>
              <w:ind w:right="42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8"/>
              </w:rPr>
              <w:t>D</w:t>
            </w:r>
          </w:p>
        </w:tc>
        <w:tc>
          <w:tcPr>
            <w:tcW w:w="0" w:type="dxa"/>
            <w:vAlign w:val="bottom"/>
          </w:tcPr>
          <w:p>
            <w:pPr>
              <w:spacing w:after="0"/>
              <w:rPr>
                <w:sz w:val="1"/>
                <w:szCs w:val="1"/>
                <w:color w:val="auto"/>
              </w:rPr>
            </w:pPr>
          </w:p>
        </w:tc>
      </w:tr>
      <w:tr>
        <w:trPr>
          <w:trHeight w:val="131"/>
        </w:trPr>
        <w:tc>
          <w:tcPr>
            <w:tcW w:w="5180" w:type="dxa"/>
            <w:vAlign w:val="bottom"/>
            <w:gridSpan w:val="3"/>
            <w:vMerge w:val="continue"/>
          </w:tcPr>
          <w:p>
            <w:pPr>
              <w:spacing w:after="0"/>
              <w:rPr>
                <w:sz w:val="11"/>
                <w:szCs w:val="11"/>
                <w:color w:val="auto"/>
              </w:rPr>
            </w:pPr>
          </w:p>
        </w:tc>
        <w:tc>
          <w:tcPr>
            <w:tcW w:w="6060" w:type="dxa"/>
            <w:vAlign w:val="bottom"/>
          </w:tcPr>
          <w:p>
            <w:pPr>
              <w:ind w:left="4600"/>
              <w:spacing w:after="0" w:line="131" w:lineRule="exact"/>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80" w:type="dxa"/>
            <w:vAlign w:val="bottom"/>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0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w:t>
            </w:r>
          </w:p>
        </w:tc>
        <w:tc>
          <w:tcPr>
            <w:tcW w:w="0" w:type="dxa"/>
            <w:vAlign w:val="bottom"/>
          </w:tcPr>
          <w:p>
            <w:pPr>
              <w:spacing w:after="0"/>
              <w:rPr>
                <w:sz w:val="1"/>
                <w:szCs w:val="1"/>
                <w:color w:val="auto"/>
              </w:rPr>
            </w:pPr>
          </w:p>
        </w:tc>
      </w:tr>
      <w:tr>
        <w:trPr>
          <w:trHeight w:val="187"/>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vMerge w:val="continue"/>
          </w:tcPr>
          <w:p>
            <w:pPr>
              <w:spacing w:after="0"/>
              <w:rPr>
                <w:sz w:val="16"/>
                <w:szCs w:val="16"/>
                <w:color w:val="auto"/>
              </w:rPr>
            </w:pPr>
          </w:p>
        </w:tc>
        <w:tc>
          <w:tcPr>
            <w:tcW w:w="6060" w:type="dxa"/>
            <w:vAlign w:val="bottom"/>
          </w:tcPr>
          <w:p>
            <w:pPr>
              <w:spacing w:after="0"/>
              <w:rPr>
                <w:sz w:val="16"/>
                <w:szCs w:val="16"/>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shd w:val="clear" w:color="auto" w:fill="000000"/>
          </w:tcPr>
          <w:p>
            <w:pPr>
              <w:spacing w:after="0" w:line="20" w:lineRule="exact"/>
              <w:rPr>
                <w:sz w:val="1"/>
                <w:szCs w:val="1"/>
                <w:color w:val="auto"/>
              </w:rPr>
            </w:pPr>
          </w:p>
        </w:tc>
        <w:tc>
          <w:tcPr>
            <w:tcW w:w="60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sectPr>
          <w:pgSz w:w="11900" w:h="16838" w:orient="portrait"/>
          <w:cols w:equalWidth="0" w:num="1">
            <w:col w:w="11340"/>
          </w:cols>
          <w:pgMar w:left="320" w:top="644" w:right="239" w:bottom="1440" w:gutter="0" w:footer="0" w:header="0"/>
        </w:sectPr>
      </w:pP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0000FF"/>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-635</wp:posOffset>
            </wp:positionV>
            <wp:extent cx="2000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7"/>
        </w:trPr>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0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140" w:type="dxa"/>
            <w:vAlign w:val="bottom"/>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(Principal Executive Officer) pursuant to Section 302 of</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000" w:type="dxa"/>
            <w:vAlign w:val="bottom"/>
            <w:tcBorders>
              <w:top w:val="single" w:sz="8" w:color="0000FF"/>
            </w:tcBorders>
            <w:gridSpan w:val="8"/>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Senior Vice President and Chief</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560" w:type="dxa"/>
            <w:vAlign w:val="bottom"/>
            <w:tcBorders>
              <w:left w:val="single" w:sz="8" w:color="0000EE"/>
            </w:tcBorders>
            <w:gridSpan w:val="3"/>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7"/>
              </w:rPr>
              <w:t>Financial Officer (Principal Financial Officer and</w:t>
            </w:r>
          </w:p>
        </w:tc>
        <w:tc>
          <w:tcPr>
            <w:tcW w:w="120" w:type="dxa"/>
            <w:vAlign w:val="bottom"/>
            <w:vMerge w:val="continue"/>
          </w:tcPr>
          <w:p>
            <w:pPr>
              <w:spacing w:after="0"/>
              <w:rPr>
                <w:sz w:val="14"/>
                <w:szCs w:val="14"/>
                <w:color w:val="auto"/>
              </w:rPr>
            </w:pPr>
          </w:p>
        </w:tc>
        <w:tc>
          <w:tcPr>
            <w:tcW w:w="5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color w:val="0000FF"/>
              </w:rPr>
              <w:t>302 of</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20" w:type="dxa"/>
            <w:vAlign w:val="bottom"/>
            <w:tcBorders>
              <w:top w:val="single" w:sz="8" w:color="0000FF"/>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Principal Accounting Officer) pursuant to Section</w:t>
            </w:r>
          </w:p>
        </w:tc>
        <w:tc>
          <w:tcPr>
            <w:tcW w:w="520" w:type="dxa"/>
            <w:vAlign w:val="bottom"/>
            <w:tcBorders>
              <w:bottom w:val="single" w:sz="8" w:color="0000FF"/>
            </w:tcBorders>
            <w:gridSpan w:val="6"/>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0" w:type="dxa"/>
            <w:vAlign w:val="bottom"/>
            <w:tcBorders>
              <w:bottom w:val="single" w:sz="8" w:color="0000EE"/>
            </w:tcBorders>
          </w:tcPr>
          <w:p>
            <w:pPr>
              <w:spacing w:after="0"/>
              <w:rPr>
                <w:sz w:val="14"/>
                <w:szCs w:val="14"/>
                <w:color w:val="auto"/>
              </w:rPr>
            </w:pPr>
          </w:p>
        </w:tc>
        <w:tc>
          <w:tcPr>
            <w:tcW w:w="2060" w:type="dxa"/>
            <w:vAlign w:val="bottom"/>
            <w:gridSpan w:val="9"/>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41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President and Chief Executive Officer</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7"/>
              </w:rPr>
              <w:t>Filed herewith</w:t>
            </w:r>
          </w:p>
        </w:tc>
        <w:tc>
          <w:tcPr>
            <w:tcW w:w="0" w:type="dxa"/>
            <w:vAlign w:val="bottom"/>
          </w:tcPr>
          <w:p>
            <w:pPr>
              <w:spacing w:after="0"/>
              <w:rPr>
                <w:sz w:val="1"/>
                <w:szCs w:val="1"/>
                <w:color w:val="auto"/>
              </w:rPr>
            </w:pPr>
          </w:p>
        </w:tc>
      </w:tr>
      <w:tr>
        <w:trPr>
          <w:trHeight w:val="20"/>
        </w:trPr>
        <w:tc>
          <w:tcPr>
            <w:tcW w:w="2560" w:type="dxa"/>
            <w:vAlign w:val="bottom"/>
            <w:tcBorders>
              <w:left w:val="single" w:sz="8" w:color="0000EE"/>
            </w:tcBorders>
            <w:gridSpan w:val="3"/>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gridSpan w:val="2"/>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9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w w:val="97"/>
              </w:rPr>
              <w:t>(Principal Executive Officer) and Senior Vice President</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40" w:type="dxa"/>
            <w:vAlign w:val="bottom"/>
            <w:tcBorders>
              <w:top w:val="single" w:sz="8" w:color="0000FF"/>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and Chief Financial Officer (Principal Financial Officer</w:t>
            </w:r>
          </w:p>
        </w:tc>
        <w:tc>
          <w:tcPr>
            <w:tcW w:w="20" w:type="dxa"/>
            <w:vAlign w:val="bottom"/>
            <w:tcBorders>
              <w:bottom w:val="single" w:sz="8" w:color="0000FF"/>
            </w:tcBorders>
          </w:tcPr>
          <w:p>
            <w:pPr>
              <w:spacing w:after="0"/>
              <w:rPr>
                <w:sz w:val="14"/>
                <w:szCs w:val="14"/>
                <w:color w:val="auto"/>
              </w:rPr>
            </w:pPr>
          </w:p>
        </w:tc>
        <w:tc>
          <w:tcPr>
            <w:tcW w:w="8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6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and Principal Accounting Officer) pursuant to Section</w:t>
            </w:r>
          </w:p>
        </w:tc>
        <w:tc>
          <w:tcPr>
            <w:tcW w:w="80" w:type="dxa"/>
            <w:vAlign w:val="bottom"/>
            <w:gridSpan w:val="2"/>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60" w:type="dxa"/>
            <w:vAlign w:val="bottom"/>
            <w:tcBorders>
              <w:top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906 of Sarbanes-Oxley Act of 2002</w:t>
            </w:r>
          </w:p>
        </w:tc>
        <w:tc>
          <w:tcPr>
            <w:tcW w:w="180" w:type="dxa"/>
            <w:vAlign w:val="bottom"/>
            <w:gridSpan w:val="4"/>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60" w:type="dxa"/>
            <w:vAlign w:val="bottom"/>
            <w:tcBorders>
              <w:left w:val="single" w:sz="8" w:color="0000EE"/>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2">
            <w:col w:w="420" w:space="600"/>
            <w:col w:w="10320"/>
          </w:cols>
          <w:pgMar w:left="320" w:top="644"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30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0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Filed herewith</w:t>
            </w:r>
          </w:p>
        </w:tc>
      </w:tr>
      <w:tr>
        <w:trPr>
          <w:trHeight w:val="234"/>
        </w:trPr>
        <w:tc>
          <w:tcPr>
            <w:tcW w:w="86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20" w:type="dxa"/>
            <w:vAlign w:val="bottom"/>
          </w:tcPr>
          <w:p>
            <w:pPr>
              <w:spacing w:after="0"/>
              <w:rPr>
                <w:sz w:val="20"/>
                <w:szCs w:val="20"/>
                <w:color w:val="auto"/>
              </w:rPr>
            </w:pPr>
          </w:p>
        </w:tc>
      </w:tr>
      <w:tr>
        <w:trPr>
          <w:trHeight w:val="30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6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20" w:type="dxa"/>
            <w:vAlign w:val="bottom"/>
          </w:tcPr>
          <w:p>
            <w:pPr>
              <w:spacing w:after="0"/>
              <w:rPr>
                <w:sz w:val="20"/>
                <w:szCs w:val="20"/>
                <w:color w:val="auto"/>
              </w:rPr>
            </w:pPr>
          </w:p>
        </w:tc>
      </w:tr>
      <w:tr>
        <w:trPr>
          <w:trHeight w:val="30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6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Document</w:t>
            </w:r>
          </w:p>
        </w:tc>
        <w:tc>
          <w:tcPr>
            <w:tcW w:w="6120" w:type="dxa"/>
            <w:vAlign w:val="bottom"/>
          </w:tcPr>
          <w:p>
            <w:pPr>
              <w:spacing w:after="0"/>
              <w:rPr>
                <w:sz w:val="20"/>
                <w:szCs w:val="20"/>
                <w:color w:val="auto"/>
              </w:rPr>
            </w:pPr>
          </w:p>
        </w:tc>
      </w:tr>
      <w:tr>
        <w:trPr>
          <w:trHeight w:val="30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34"/>
        </w:trPr>
        <w:tc>
          <w:tcPr>
            <w:tcW w:w="86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Linkbase Document</w:t>
            </w:r>
          </w:p>
        </w:tc>
        <w:tc>
          <w:tcPr>
            <w:tcW w:w="6120" w:type="dxa"/>
            <w:vAlign w:val="bottom"/>
          </w:tcPr>
          <w:p>
            <w:pPr>
              <w:spacing w:after="0"/>
              <w:rPr>
                <w:sz w:val="20"/>
                <w:szCs w:val="20"/>
                <w:color w:val="auto"/>
              </w:rPr>
            </w:pPr>
          </w:p>
        </w:tc>
      </w:tr>
      <w:tr>
        <w:trPr>
          <w:trHeight w:val="306"/>
        </w:trPr>
        <w:tc>
          <w:tcPr>
            <w:tcW w:w="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6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89"/>
        </w:trPr>
        <w:tc>
          <w:tcPr>
            <w:tcW w:w="860" w:type="dxa"/>
            <w:vAlign w:val="bottom"/>
          </w:tcPr>
          <w:p>
            <w:pPr>
              <w:spacing w:after="0"/>
              <w:rPr>
                <w:sz w:val="16"/>
                <w:szCs w:val="16"/>
                <w:color w:val="auto"/>
              </w:rPr>
            </w:pPr>
          </w:p>
        </w:tc>
        <w:tc>
          <w:tcPr>
            <w:tcW w:w="4260" w:type="dxa"/>
            <w:vAlign w:val="bottom"/>
          </w:tcPr>
          <w:p>
            <w:pPr>
              <w:ind w:left="160"/>
              <w:spacing w:after="0" w:line="189" w:lineRule="exact"/>
              <w:rPr>
                <w:sz w:val="20"/>
                <w:szCs w:val="20"/>
                <w:color w:val="auto"/>
              </w:rPr>
            </w:pPr>
            <w:r>
              <w:rPr>
                <w:rFonts w:ascii="Times New Roman" w:cs="Times New Roman" w:eastAsia="Times New Roman" w:hAnsi="Times New Roman"/>
                <w:sz w:val="18"/>
                <w:szCs w:val="18"/>
                <w:color w:val="auto"/>
              </w:rPr>
              <w:t>(formatted as inline XBRL with applicable taxonomy</w:t>
            </w:r>
          </w:p>
        </w:tc>
        <w:tc>
          <w:tcPr>
            <w:tcW w:w="6120" w:type="dxa"/>
            <w:vAlign w:val="bottom"/>
          </w:tcPr>
          <w:p>
            <w:pPr>
              <w:spacing w:after="0"/>
              <w:rPr>
                <w:sz w:val="16"/>
                <w:szCs w:val="16"/>
                <w:color w:val="auto"/>
              </w:rPr>
            </w:pPr>
          </w:p>
        </w:tc>
      </w:tr>
      <w:tr>
        <w:trPr>
          <w:trHeight w:val="234"/>
        </w:trPr>
        <w:tc>
          <w:tcPr>
            <w:tcW w:w="86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extension information contained in Exhibit 101)</w:t>
            </w:r>
          </w:p>
        </w:tc>
        <w:tc>
          <w:tcPr>
            <w:tcW w:w="6120" w:type="dxa"/>
            <w:vAlign w:val="bottom"/>
          </w:tcPr>
          <w:p>
            <w:pPr>
              <w:spacing w:after="0"/>
              <w:rPr>
                <w:sz w:val="20"/>
                <w:szCs w:val="20"/>
                <w:color w:val="auto"/>
              </w:rPr>
            </w:pPr>
          </w:p>
        </w:tc>
      </w:tr>
      <w:tr>
        <w:trPr>
          <w:trHeight w:val="837"/>
        </w:trPr>
        <w:tc>
          <w:tcPr>
            <w:tcW w:w="8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81</w:t>
            </w:r>
          </w:p>
        </w:tc>
      </w:tr>
      <w:tr>
        <w:trPr>
          <w:trHeight w:val="115"/>
        </w:trPr>
        <w:tc>
          <w:tcPr>
            <w:tcW w:w="86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6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40"/>
          </w:cols>
          <w:pgMar w:left="320" w:top="644" w:right="239" w:bottom="1440" w:gutter="0" w:footer="0" w:header="0"/>
          <w:type w:val="continuous"/>
        </w:sectPr>
      </w:pPr>
    </w:p>
    <w:bookmarkStart w:id="81" w:name="page82"/>
    <w:bookmarkEnd w:id="8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AMARIN CORPORATION PLC</w:t>
      </w:r>
    </w:p>
    <w:p>
      <w:pPr>
        <w:spacing w:after="0" w:line="266" w:lineRule="exact"/>
        <w:rPr>
          <w:sz w:val="20"/>
          <w:szCs w:val="20"/>
          <w:color w:val="auto"/>
        </w:rPr>
      </w:pPr>
    </w:p>
    <w:p>
      <w:pPr>
        <w:ind w:left="6780"/>
        <w:spacing w:after="0"/>
        <w:tabs>
          <w:tab w:leader="none" w:pos="7220" w:val="left"/>
        </w:tabs>
        <w:rPr>
          <w:sz w:val="20"/>
          <w:szCs w:val="20"/>
          <w:color w:val="auto"/>
        </w:rPr>
      </w:pPr>
      <w:r>
        <w:rPr>
          <w:rFonts w:ascii="Times New Roman" w:cs="Times New Roman" w:eastAsia="Times New Roman" w:hAnsi="Times New Roman"/>
          <w:sz w:val="18"/>
          <w:szCs w:val="18"/>
          <w:color w:val="auto"/>
        </w:rPr>
        <w:t>By:</w:t>
        <w:tab/>
        <w:t>/s/ 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Karim Mikhail</w:t>
      </w:r>
    </w:p>
    <w:p>
      <w:pPr>
        <w:spacing w:after="0" w:line="220"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2022</w:t>
      </w:r>
    </w:p>
    <w:p>
      <w:pPr>
        <w:spacing w:after="0" w:line="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44" w:right="5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Karim Mikhail, certify that:</w:t>
      </w:r>
    </w:p>
    <w:p>
      <w:pPr>
        <w:spacing w:after="0" w:line="104" w:lineRule="exact"/>
        <w:rPr>
          <w:sz w:val="20"/>
          <w:szCs w:val="20"/>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7580" w:val="left"/>
          <w:tab w:leader="none" w:pos="79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Karim Mikhail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Karim Mikhail</w:t>
      </w:r>
    </w:p>
    <w:p>
      <w:pPr>
        <w:spacing w:after="0" w:line="6"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7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Kalb, certify that:</w:t>
      </w:r>
    </w:p>
    <w:p>
      <w:pPr>
        <w:spacing w:after="0" w:line="104"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Amarin Corporation plc;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50"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2" w:lineRule="exact"/>
        <w:rPr>
          <w:rFonts w:ascii="Times New Roman" w:cs="Times New Roman" w:eastAsia="Times New Roman" w:hAnsi="Times New Roman"/>
          <w:sz w:val="18"/>
          <w:szCs w:val="18"/>
          <w:color w:val="auto"/>
        </w:rPr>
      </w:pPr>
    </w:p>
    <w:p>
      <w:pPr>
        <w:ind w:left="520" w:right="360" w:hanging="512"/>
        <w:spacing w:after="0" w:line="266"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520" w:right="260" w:hanging="512"/>
        <w:spacing w:after="0" w:line="258"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1" w:lineRule="exact"/>
        <w:rPr>
          <w:rFonts w:ascii="Times New Roman" w:cs="Times New Roman" w:eastAsia="Times New Roman" w:hAnsi="Times New Roman"/>
          <w:sz w:val="18"/>
          <w:szCs w:val="18"/>
          <w:color w:val="auto"/>
        </w:rPr>
      </w:pPr>
    </w:p>
    <w:p>
      <w:pPr>
        <w:ind w:left="1020" w:right="80" w:hanging="479"/>
        <w:spacing w:after="0" w:line="258"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1" w:lineRule="exact"/>
        <w:rPr>
          <w:rFonts w:ascii="Times New Roman" w:cs="Times New Roman" w:eastAsia="Times New Roman" w:hAnsi="Times New Roman"/>
          <w:sz w:val="18"/>
          <w:szCs w:val="18"/>
          <w:color w:val="auto"/>
        </w:rPr>
      </w:pPr>
    </w:p>
    <w:p>
      <w:pPr>
        <w:ind w:left="1020" w:right="320" w:hanging="479"/>
        <w:spacing w:after="0" w:line="258"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1" w:lineRule="exact"/>
        <w:rPr>
          <w:rFonts w:ascii="Times New Roman" w:cs="Times New Roman" w:eastAsia="Times New Roman" w:hAnsi="Times New Roman"/>
          <w:sz w:val="18"/>
          <w:szCs w:val="18"/>
          <w:color w:val="auto"/>
        </w:rPr>
      </w:pPr>
    </w:p>
    <w:p>
      <w:pPr>
        <w:ind w:left="1020" w:right="480" w:hanging="479"/>
        <w:spacing w:after="0" w:line="266"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020" w:right="120" w:hanging="479"/>
        <w:spacing w:after="0" w:line="250"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2"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37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020" w:right="540" w:hanging="479"/>
        <w:spacing w:after="0" w:line="266" w:lineRule="auto"/>
        <w:tabs>
          <w:tab w:leader="none" w:pos="8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20"/>
        <w:spacing w:after="0"/>
        <w:tabs>
          <w:tab w:leader="none" w:pos="7680" w:val="left"/>
          <w:tab w:leader="none" w:pos="8040" w:val="left"/>
        </w:tabs>
        <w:rPr>
          <w:sz w:val="20"/>
          <w:szCs w:val="20"/>
          <w:color w:val="auto"/>
        </w:rPr>
      </w:pPr>
      <w:r>
        <w:rPr>
          <w:rFonts w:ascii="Times New Roman" w:cs="Times New Roman" w:eastAsia="Times New Roman" w:hAnsi="Times New Roman"/>
          <w:sz w:val="18"/>
          <w:szCs w:val="18"/>
          <w:color w:val="auto"/>
        </w:rPr>
        <w:t>Date: May 4, 2022</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Michael W. Kalb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7"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Michael W. Kalb</w:t>
      </w:r>
    </w:p>
    <w:p>
      <w:pPr>
        <w:spacing w:after="0" w:line="2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192"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and Section 1350 of Chapter 63 of Title 18 of the United States Code (18 U.S.C. §1350), Karim Mikhail,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164" w:lineRule="exact"/>
        <w:rPr>
          <w:sz w:val="20"/>
          <w:szCs w:val="20"/>
          <w:color w:val="auto"/>
        </w:rPr>
      </w:pPr>
    </w:p>
    <w:p>
      <w:pPr>
        <w:ind w:right="460" w:firstLine="8"/>
        <w:spacing w:after="0" w:line="266"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2022, to which this Certification is attached as Exhibit 32.1 (the “Quarterly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right="480" w:firstLine="8"/>
        <w:spacing w:after="0" w:line="266" w:lineRule="auto"/>
        <w:tabs>
          <w:tab w:leader="none" w:pos="3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Karim Mikhail</w:t>
            </w: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55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Karim Mikhail</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5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4, 2022</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Michael W. Kalb</w:t>
            </w:r>
          </w:p>
        </w:tc>
        <w:tc>
          <w:tcPr>
            <w:tcW w:w="0" w:type="dxa"/>
            <w:vAlign w:val="bottom"/>
          </w:tcPr>
          <w:p>
            <w:pPr>
              <w:spacing w:after="0"/>
              <w:rPr>
                <w:sz w:val="1"/>
                <w:szCs w:val="1"/>
                <w:color w:val="auto"/>
              </w:rPr>
            </w:pPr>
          </w:p>
        </w:tc>
      </w:tr>
      <w:tr>
        <w:trPr>
          <w:trHeight w:val="191"/>
        </w:trPr>
        <w:tc>
          <w:tcPr>
            <w:tcW w:w="5720" w:type="dxa"/>
            <w:vAlign w:val="bottom"/>
            <w:vMerge w:val="continue"/>
          </w:tcPr>
          <w:p>
            <w:pPr>
              <w:spacing w:after="0"/>
              <w:rPr>
                <w:sz w:val="16"/>
                <w:szCs w:val="16"/>
                <w:color w:val="auto"/>
              </w:rPr>
            </w:pPr>
          </w:p>
        </w:tc>
        <w:tc>
          <w:tcPr>
            <w:tcW w:w="55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W. Kalb</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16"/>
                <w:szCs w:val="16"/>
                <w:color w:val="auto"/>
              </w:rPr>
            </w:pPr>
          </w:p>
        </w:tc>
        <w:tc>
          <w:tcPr>
            <w:tcW w:w="5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234"/>
        </w:trPr>
        <w:tc>
          <w:tcPr>
            <w:tcW w:w="5720" w:type="dxa"/>
            <w:vAlign w:val="bottom"/>
          </w:tcPr>
          <w:p>
            <w:pPr>
              <w:spacing w:after="0"/>
              <w:rPr>
                <w:sz w:val="20"/>
                <w:szCs w:val="20"/>
                <w:color w:val="auto"/>
              </w:rPr>
            </w:pPr>
          </w:p>
        </w:tc>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85" w:name="page86"/>
    <w:bookmarkEnd w:id="8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2"/>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2022-05-04T06:11:42Z</dcterms:created>
  <dcterms:modified xsi:type="dcterms:W3CDTF">2022-05-04T06:11:42Z</dcterms:modified>
</cp:coreProperties>
</file>