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212725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60" w:right="44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Amarin Corporation plc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199390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1020" w:type="dxa"/>
        <w:tblCellMar>
          <w:top w:w="0" w:type="dxa"/>
          <w:left w:w="0" w:type="dxa"/>
          <w:bottom w:w="0" w:type="dxa"/>
          <w:right w:w="0" w:type="dxa"/>
        </w:tblCellMar>
      </w:tblPr>
      <w:tr>
        <w:trPr>
          <w:trHeight w:val="218"/>
        </w:trPr>
        <w:tc>
          <w:tcPr>
            <w:tcW w:w="5360" w:type="dxa"/>
            <w:vAlign w:val="bottom"/>
          </w:tcPr>
          <w:p>
            <w:pPr>
              <w:jc w:val="center"/>
              <w:ind w:right="1544"/>
              <w:spacing w:after="0"/>
              <w:rPr>
                <w:sz w:val="20"/>
                <w:szCs w:val="20"/>
                <w:color w:val="auto"/>
              </w:rPr>
            </w:pPr>
            <w:r>
              <w:rPr>
                <w:rFonts w:ascii="Arial" w:cs="Arial" w:eastAsia="Arial" w:hAnsi="Arial"/>
                <w:sz w:val="18"/>
                <w:szCs w:val="18"/>
                <w:b w:val="1"/>
                <w:bCs w:val="1"/>
                <w:color w:val="auto"/>
                <w:w w:val="88"/>
              </w:rPr>
              <w:t>England and Wales</w:t>
            </w:r>
          </w:p>
        </w:tc>
        <w:tc>
          <w:tcPr>
            <w:tcW w:w="2920" w:type="dxa"/>
            <w:vAlign w:val="bottom"/>
          </w:tcPr>
          <w:p>
            <w:pPr>
              <w:jc w:val="center"/>
              <w:ind w:left="1544"/>
              <w:spacing w:after="0"/>
              <w:rPr>
                <w:sz w:val="20"/>
                <w:szCs w:val="20"/>
                <w:color w:val="auto"/>
              </w:rPr>
            </w:pPr>
            <w:r>
              <w:rPr>
                <w:rFonts w:ascii="Arial" w:cs="Arial" w:eastAsia="Arial" w:hAnsi="Arial"/>
                <w:sz w:val="18"/>
                <w:szCs w:val="18"/>
                <w:b w:val="1"/>
                <w:bCs w:val="1"/>
                <w:color w:val="auto"/>
                <w:w w:val="89"/>
              </w:rPr>
              <w:t>Not applicable</w:t>
            </w:r>
          </w:p>
        </w:tc>
      </w:tr>
      <w:tr>
        <w:trPr>
          <w:trHeight w:val="149"/>
        </w:trPr>
        <w:tc>
          <w:tcPr>
            <w:tcW w:w="5360" w:type="dxa"/>
            <w:vAlign w:val="bottom"/>
          </w:tcPr>
          <w:p>
            <w:pPr>
              <w:jc w:val="center"/>
              <w:ind w:right="15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20" w:type="dxa"/>
            <w:vAlign w:val="bottom"/>
          </w:tcPr>
          <w:p>
            <w:pPr>
              <w:jc w:val="center"/>
              <w:ind w:left="15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360" w:type="dxa"/>
            <w:vAlign w:val="bottom"/>
          </w:tcPr>
          <w:p>
            <w:pPr>
              <w:jc w:val="center"/>
              <w:ind w:right="1544"/>
              <w:spacing w:after="0"/>
              <w:rPr>
                <w:sz w:val="20"/>
                <w:szCs w:val="20"/>
                <w:color w:val="auto"/>
              </w:rPr>
            </w:pPr>
            <w:r>
              <w:rPr>
                <w:rFonts w:ascii="Arial" w:cs="Arial" w:eastAsia="Arial" w:hAnsi="Arial"/>
                <w:sz w:val="14"/>
                <w:szCs w:val="14"/>
                <w:b w:val="1"/>
                <w:bCs w:val="1"/>
                <w:color w:val="auto"/>
                <w:w w:val="89"/>
              </w:rPr>
              <w:t>Incorporation or Organization)</w:t>
            </w:r>
          </w:p>
        </w:tc>
        <w:tc>
          <w:tcPr>
            <w:tcW w:w="2920" w:type="dxa"/>
            <w:vAlign w:val="bottom"/>
          </w:tcPr>
          <w:p>
            <w:pPr>
              <w:jc w:val="center"/>
              <w:ind w:left="154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5360" w:type="dxa"/>
            <w:vAlign w:val="bottom"/>
          </w:tcPr>
          <w:p>
            <w:pPr>
              <w:jc w:val="center"/>
              <w:ind w:right="1544"/>
              <w:spacing w:after="0"/>
              <w:rPr>
                <w:sz w:val="20"/>
                <w:szCs w:val="20"/>
                <w:color w:val="auto"/>
              </w:rPr>
            </w:pPr>
            <w:r>
              <w:rPr>
                <w:rFonts w:ascii="Arial" w:cs="Arial" w:eastAsia="Arial" w:hAnsi="Arial"/>
                <w:sz w:val="18"/>
                <w:szCs w:val="18"/>
                <w:b w:val="1"/>
                <w:bCs w:val="1"/>
                <w:color w:val="auto"/>
                <w:w w:val="88"/>
              </w:rPr>
              <w:t>2 Pembroke House, Upper Pembroke Street 28-32</w:t>
            </w:r>
          </w:p>
        </w:tc>
        <w:tc>
          <w:tcPr>
            <w:tcW w:w="2920" w:type="dxa"/>
            <w:vAlign w:val="bottom"/>
          </w:tcPr>
          <w:p>
            <w:pPr>
              <w:jc w:val="center"/>
              <w:ind w:left="1544"/>
              <w:spacing w:after="0"/>
              <w:rPr>
                <w:sz w:val="20"/>
                <w:szCs w:val="20"/>
                <w:color w:val="auto"/>
              </w:rPr>
            </w:pPr>
            <w:r>
              <w:rPr>
                <w:rFonts w:ascii="Arial" w:cs="Arial" w:eastAsia="Arial" w:hAnsi="Arial"/>
                <w:sz w:val="18"/>
                <w:szCs w:val="18"/>
                <w:b w:val="1"/>
                <w:bCs w:val="1"/>
                <w:color w:val="auto"/>
                <w:w w:val="92"/>
              </w:rPr>
              <w:t>Dublin 2, Ireland</w:t>
            </w:r>
          </w:p>
        </w:tc>
      </w:tr>
      <w:tr>
        <w:trPr>
          <w:trHeight w:val="174"/>
        </w:trPr>
        <w:tc>
          <w:tcPr>
            <w:tcW w:w="5360" w:type="dxa"/>
            <w:vAlign w:val="bottom"/>
          </w:tcPr>
          <w:p>
            <w:pPr>
              <w:jc w:val="center"/>
              <w:ind w:right="154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920" w:type="dxa"/>
            <w:vAlign w:val="bottom"/>
          </w:tcPr>
          <w:p>
            <w:pPr>
              <w:jc w:val="center"/>
              <w:ind w:left="1544"/>
              <w:spacing w:after="0"/>
              <w:rPr>
                <w:sz w:val="20"/>
                <w:szCs w:val="20"/>
                <w:color w:val="auto"/>
              </w:rPr>
            </w:pPr>
            <w:r>
              <w:rPr>
                <w:rFonts w:ascii="Arial" w:cs="Arial" w:eastAsia="Arial" w:hAnsi="Arial"/>
                <w:sz w:val="14"/>
                <w:szCs w:val="14"/>
                <w:b w:val="1"/>
                <w:bCs w:val="1"/>
                <w:color w:val="auto"/>
                <w:w w:val="89"/>
              </w:rPr>
              <w:t>(Zip Code)</w:t>
            </w:r>
          </w:p>
        </w:tc>
      </w:tr>
    </w:tbl>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7"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9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5920" w:type="dxa"/>
            <w:vAlign w:val="bottom"/>
          </w:tcPr>
          <w:p>
            <w:pPr>
              <w:ind w:left="5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2600" w:type="dxa"/>
            <w:vAlign w:val="bottom"/>
          </w:tcPr>
          <w:p>
            <w:pPr>
              <w:ind w:left="12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8080" w:type="dxa"/>
            <w:vAlign w:val="bottom"/>
            <w:gridSpan w:val="2"/>
          </w:tcPr>
          <w:p>
            <w:pPr>
              <w:spacing w:after="0" w:line="207" w:lineRule="exact"/>
              <w:rPr>
                <w:sz w:val="20"/>
                <w:szCs w:val="20"/>
                <w:color w:val="auto"/>
              </w:rPr>
            </w:pPr>
            <w:r>
              <w:rPr>
                <w:rFonts w:ascii="Arial" w:cs="Arial" w:eastAsia="Arial" w:hAnsi="Arial"/>
                <w:sz w:val="18"/>
                <w:szCs w:val="18"/>
                <w:color w:val="auto"/>
                <w:w w:val="91"/>
              </w:rPr>
              <w:t xml:space="preserve">Indicate by check mark whether the registrant is a shell company (as defined in Rule 12b-2 of the Act).  YES </w:t>
            </w:r>
            <w:r>
              <w:rPr>
                <w:rFonts w:ascii="MS PGothic" w:cs="MS PGothic" w:eastAsia="MS PGothic" w:hAnsi="MS PGothic"/>
                <w:sz w:val="18"/>
                <w:szCs w:val="18"/>
                <w:color w:val="auto"/>
                <w:w w:val="91"/>
              </w:rPr>
              <w:t>☐</w:t>
            </w:r>
          </w:p>
        </w:tc>
        <w:tc>
          <w:tcPr>
            <w:tcW w:w="2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740" w:type="dxa"/>
            <w:vAlign w:val="bottom"/>
          </w:tcPr>
          <w:p>
            <w:pPr>
              <w:spacing w:after="0"/>
              <w:rPr>
                <w:sz w:val="24"/>
                <w:szCs w:val="24"/>
                <w:color w:val="auto"/>
              </w:rPr>
            </w:pPr>
          </w:p>
        </w:tc>
      </w:tr>
    </w:tbl>
    <w:p>
      <w:pPr>
        <w:spacing w:after="0" w:line="109" w:lineRule="exact"/>
        <w:rPr>
          <w:sz w:val="24"/>
          <w:szCs w:val="24"/>
          <w:color w:val="auto"/>
        </w:rPr>
      </w:pPr>
    </w:p>
    <w:p>
      <w:pPr>
        <w:ind w:right="500"/>
        <w:spacing w:after="0" w:line="268" w:lineRule="auto"/>
        <w:rPr>
          <w:sz w:val="20"/>
          <w:szCs w:val="20"/>
          <w:color w:val="auto"/>
        </w:rPr>
      </w:pPr>
      <w:r>
        <w:rPr>
          <w:rFonts w:ascii="Arial" w:cs="Arial" w:eastAsia="Arial" w:hAnsi="Arial"/>
          <w:sz w:val="18"/>
          <w:szCs w:val="18"/>
          <w:color w:val="auto"/>
        </w:rPr>
        <w:t>148,429,704 shares held as American Depository Shares (ADS), each representing one Ordinary Share, 50 pence par value per share, and 390,564 ordinary shares, were outstanding as of August 2,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40" w:type="dxa"/>
            <w:vAlign w:val="bottom"/>
            <w:gridSpan w:val="10"/>
            <w:vMerge w:val="restart"/>
          </w:tcPr>
          <w:p>
            <w:pPr>
              <w:jc w:val="center"/>
              <w:ind w:right="3640"/>
              <w:spacing w:after="0"/>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PART I –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40" w:type="dxa"/>
            <w:vAlign w:val="bottom"/>
            <w:gridSpan w:val="10"/>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5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20" w:type="dxa"/>
            <w:vAlign w:val="bottom"/>
            <w:gridSpan w:val="5"/>
          </w:tcPr>
          <w:p>
            <w:pPr>
              <w:spacing w:after="0"/>
              <w:rPr>
                <w:sz w:val="20"/>
                <w:szCs w:val="20"/>
                <w:color w:val="auto"/>
              </w:rPr>
            </w:pPr>
            <w:r>
              <w:rPr>
                <w:rFonts w:ascii="Arial" w:cs="Arial" w:eastAsia="Arial" w:hAnsi="Arial"/>
                <w:sz w:val="18"/>
                <w:szCs w:val="18"/>
                <w:color w:val="auto"/>
              </w:rPr>
              <w:t>Financial Statements:</w:t>
            </w:r>
          </w:p>
        </w:tc>
        <w:tc>
          <w:tcPr>
            <w:tcW w:w="2400" w:type="dxa"/>
            <w:vAlign w:val="bottom"/>
            <w:tcBorders>
              <w:top w:val="single" w:sz="8" w:color="0000EE"/>
            </w:tcBorders>
            <w:gridSpan w:val="5"/>
          </w:tcPr>
          <w:p>
            <w:pPr>
              <w:spacing w:after="0"/>
              <w:rPr>
                <w:sz w:val="24"/>
                <w:szCs w:val="24"/>
                <w:color w:val="auto"/>
              </w:rPr>
            </w:pPr>
          </w:p>
        </w:tc>
        <w:tc>
          <w:tcPr>
            <w:tcW w:w="364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60" w:type="dxa"/>
            <w:vAlign w:val="bottom"/>
            <w:gridSpan w:val="15"/>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June 30, 2012 and December 31, 2011</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60" w:type="dxa"/>
            <w:vAlign w:val="bottom"/>
            <w:gridSpan w:val="1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and six months ended June 30, 2012 and 2011</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740" w:type="dxa"/>
            <w:vAlign w:val="bottom"/>
            <w:tcBorders>
              <w:top w:val="single" w:sz="8" w:color="0000EE"/>
            </w:tcBorders>
            <w:gridSpan w:val="14"/>
          </w:tcPr>
          <w:p>
            <w:pPr>
              <w:spacing w:after="0" w:line="19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 of Changes in (Deficit) Equity at June 30, 2012 and June 30, 2011</w:t>
              </w:r>
            </w:hyperlink>
          </w:p>
        </w:tc>
        <w:tc>
          <w:tcPr>
            <w:tcW w:w="17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180" w:type="dxa"/>
            <w:vAlign w:val="bottom"/>
            <w:tcBorders>
              <w:top w:val="single" w:sz="8" w:color="0000EE"/>
            </w:tcBorders>
            <w:gridSpan w:val="13"/>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Cash Flows for the six months ended June 30, 2012 and 2011</w:t>
              </w:r>
            </w:hyperlink>
          </w:p>
        </w:tc>
        <w:tc>
          <w:tcPr>
            <w:tcW w:w="22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Notes to Condensed Consolidated Financial Statements</w:t>
              </w:r>
            </w:hyperlink>
          </w:p>
        </w:tc>
        <w:tc>
          <w:tcPr>
            <w:tcW w:w="3200" w:type="dxa"/>
            <w:vAlign w:val="bottom"/>
            <w:tcBorders>
              <w:top w:val="single" w:sz="8" w:color="0000EE"/>
            </w:tcBorders>
            <w:gridSpan w:val="5"/>
          </w:tcPr>
          <w:p>
            <w:pPr>
              <w:spacing w:after="0"/>
              <w:rPr>
                <w:sz w:val="17"/>
                <w:szCs w:val="17"/>
                <w:color w:val="auto"/>
              </w:rPr>
            </w:pPr>
          </w:p>
        </w:tc>
        <w:tc>
          <w:tcPr>
            <w:tcW w:w="23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5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Management’s Discussion and Analysis of Financial Condition and Results of Operations</w:t>
              </w:r>
            </w:hyperlink>
          </w:p>
        </w:tc>
        <w:tc>
          <w:tcPr>
            <w:tcW w:w="316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5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Quantitative and Qualitative Disclosures about Market Risk</w:t>
              </w:r>
            </w:hyperlink>
          </w:p>
        </w:tc>
        <w:tc>
          <w:tcPr>
            <w:tcW w:w="526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5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460" w:type="dxa"/>
            <w:vAlign w:val="bottom"/>
            <w:gridSpan w:val="1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31"/>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Borders>
              <w:bottom w:val="single" w:sz="8" w:color="0000EE"/>
            </w:tcBorders>
            <w:gridSpan w:val="3"/>
          </w:tcPr>
          <w:p>
            <w:pPr>
              <w:jc w:val="center"/>
              <w:ind w:right="20"/>
              <w:spacing w:after="0"/>
              <w:rPr>
                <w:rFonts w:ascii="Arial" w:cs="Arial" w:eastAsia="Arial" w:hAnsi="Arial"/>
                <w:sz w:val="18"/>
                <w:szCs w:val="18"/>
                <w:b w:val="1"/>
                <w:bCs w:val="1"/>
                <w:color w:val="0000EE"/>
                <w:w w:val="94"/>
              </w:rPr>
            </w:pPr>
            <w:hyperlink w:anchor="page21">
              <w:r>
                <w:rPr>
                  <w:rFonts w:ascii="Arial" w:cs="Arial" w:eastAsia="Arial" w:hAnsi="Arial"/>
                  <w:sz w:val="18"/>
                  <w:szCs w:val="18"/>
                  <w:b w:val="1"/>
                  <w:bCs w:val="1"/>
                  <w:color w:val="0000EE"/>
                  <w:w w:val="94"/>
                </w:rPr>
                <w:t>PART II – Other Information</w:t>
              </w:r>
            </w:hyperlink>
          </w:p>
        </w:tc>
        <w:tc>
          <w:tcPr>
            <w:tcW w:w="370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5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21">
              <w:r>
                <w:rPr>
                  <w:rFonts w:ascii="Arial" w:cs="Arial" w:eastAsia="Arial" w:hAnsi="Arial"/>
                  <w:sz w:val="18"/>
                  <w:szCs w:val="18"/>
                  <w:color w:val="0000EE"/>
                  <w:w w:val="85"/>
                </w:rPr>
                <w:t>Legal Proceedings</w:t>
              </w:r>
            </w:hyperlink>
          </w:p>
        </w:tc>
        <w:tc>
          <w:tcPr>
            <w:tcW w:w="816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58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21">
              <w:r>
                <w:rPr>
                  <w:rFonts w:ascii="Arial" w:cs="Arial" w:eastAsia="Arial" w:hAnsi="Arial"/>
                  <w:sz w:val="18"/>
                  <w:szCs w:val="18"/>
                  <w:color w:val="0000EE"/>
                  <w:w w:val="85"/>
                </w:rPr>
                <w:t>Risk Factors</w:t>
              </w:r>
            </w:hyperlink>
          </w:p>
        </w:tc>
        <w:tc>
          <w:tcPr>
            <w:tcW w:w="858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58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460" w:type="dxa"/>
            <w:vAlign w:val="bottom"/>
            <w:gridSpan w:val="1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31"/>
        </w:trPr>
        <w:tc>
          <w:tcPr>
            <w:tcW w:w="1580" w:type="dxa"/>
            <w:vAlign w:val="bottom"/>
            <w:gridSpan w:val="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1"/>
          <w:szCs w:val="11"/>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1"/>
          <w:szCs w:val="11"/>
          <w:b w:val="1"/>
          <w:bCs w:val="1"/>
          <w:color w:val="auto"/>
        </w:rPr>
        <w:t>ORPORATION</w:t>
      </w:r>
      <w:r>
        <w:rPr>
          <w:rFonts w:ascii="Arial" w:cs="Arial" w:eastAsia="Arial" w:hAnsi="Arial"/>
          <w:sz w:val="18"/>
          <w:szCs w:val="18"/>
          <w:b w:val="1"/>
          <w:bCs w:val="1"/>
          <w:color w:val="auto"/>
        </w:rPr>
        <w:t xml:space="preserve"> </w:t>
      </w:r>
      <w:r>
        <w:rPr>
          <w:rFonts w:ascii="Arial" w:cs="Arial" w:eastAsia="Arial" w:hAnsi="Arial"/>
          <w:sz w:val="13"/>
          <w:szCs w:val="13"/>
          <w:b w:val="1"/>
          <w:bCs w:val="1"/>
          <w:color w:val="auto"/>
        </w:rPr>
        <w:t>P</w:t>
      </w:r>
      <w:r>
        <w:rPr>
          <w:rFonts w:ascii="Arial" w:cs="Arial" w:eastAsia="Arial" w:hAnsi="Arial"/>
          <w:sz w:val="11"/>
          <w:szCs w:val="11"/>
          <w:b w:val="1"/>
          <w:bCs w:val="1"/>
          <w:color w:val="auto"/>
        </w:rPr>
        <w:t>LC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June 30,</w:t>
            </w:r>
          </w:p>
        </w:tc>
        <w:tc>
          <w:tcPr>
            <w:tcW w:w="22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20" w:type="dxa"/>
            <w:vAlign w:val="bottom"/>
            <w:shd w:val="clear" w:color="auto" w:fill="CCEEFF"/>
          </w:tcPr>
          <w:p>
            <w:pPr>
              <w:ind w:left="4080"/>
              <w:spacing w:after="0" w:line="196" w:lineRule="exact"/>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250,255</w:t>
            </w:r>
          </w:p>
        </w:tc>
        <w:tc>
          <w:tcPr>
            <w:tcW w:w="3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Deferred tax asset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8720" w:type="dxa"/>
            <w:vAlign w:val="bottom"/>
          </w:tcPr>
          <w:p>
            <w:pPr>
              <w:ind w:left="1280"/>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257,221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118,972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and equipment, net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Deferred tax asset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10,851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 term assets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ASSETS</w:t>
            </w: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8720" w:type="dxa"/>
            <w:vAlign w:val="bottom"/>
            <w:vMerge w:val="continue"/>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271,175</w:t>
            </w:r>
          </w:p>
        </w:tc>
        <w:tc>
          <w:tcPr>
            <w:tcW w:w="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126,379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40"/>
              <w:spacing w:after="0"/>
              <w:rPr>
                <w:sz w:val="20"/>
                <w:szCs w:val="20"/>
                <w:color w:val="auto"/>
              </w:rPr>
            </w:pPr>
            <w:r>
              <w:rPr>
                <w:rFonts w:ascii="Arial" w:cs="Arial" w:eastAsia="Arial" w:hAnsi="Arial"/>
                <w:sz w:val="18"/>
                <w:szCs w:val="18"/>
                <w:b w:val="1"/>
                <w:bCs w:val="1"/>
                <w:color w:val="auto"/>
              </w:rPr>
              <w:t>LIABILITIES AND STOCKHOLDERS’ EQUITY (DEFICIT)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8,429</w:t>
            </w:r>
          </w:p>
        </w:tc>
        <w:tc>
          <w:tcPr>
            <w:tcW w:w="3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9,070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17,499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8,452</w:t>
            </w:r>
          </w:p>
        </w:tc>
        <w:tc>
          <w:tcPr>
            <w:tcW w:w="0" w:type="dxa"/>
            <w:vAlign w:val="bottom"/>
          </w:tcPr>
          <w:p>
            <w:pPr>
              <w:spacing w:after="0"/>
              <w:rPr>
                <w:sz w:val="1"/>
                <w:szCs w:val="1"/>
                <w:color w:val="auto"/>
              </w:rPr>
            </w:pPr>
          </w:p>
        </w:tc>
      </w:tr>
      <w:tr>
        <w:trPr>
          <w:trHeight w:val="438"/>
        </w:trPr>
        <w:tc>
          <w:tcPr>
            <w:tcW w:w="874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 derivative liability</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Long term debt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127,438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8720" w:type="dxa"/>
            <w:vAlign w:val="bottom"/>
          </w:tcPr>
          <w:p>
            <w:pPr>
              <w:ind w:left="1280"/>
              <w:spacing w:after="0"/>
              <w:rPr>
                <w:sz w:val="20"/>
                <w:szCs w:val="20"/>
                <w:color w:val="auto"/>
              </w:rPr>
            </w:pPr>
            <w:r>
              <w:rPr>
                <w:rFonts w:ascii="Arial" w:cs="Arial" w:eastAsia="Arial" w:hAnsi="Arial"/>
                <w:sz w:val="18"/>
                <w:szCs w:val="18"/>
                <w:color w:val="auto"/>
              </w:rPr>
              <w:t>Total liabilities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265,855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132,341</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8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Stockholders’ Deficit: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Common stock, £0.50 par, unlimited authorized; 148,132,553 issued, 148,112,474 outstanding at June 30, 2012;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135,832,542 issued, 135,812,463 outstanding at December 31, 2011</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122,844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593,341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449,393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20,079 shares at June 30, 2012 and December 31, 2011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(710,648)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(568,459)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stockholders’ equity (deficit)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vMerge w:val="restart"/>
          </w:tcPr>
          <w:p>
            <w:pPr>
              <w:ind w:left="1280"/>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8720" w:type="dxa"/>
            <w:vAlign w:val="bottom"/>
            <w:vMerge w:val="continue"/>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271,175</w:t>
            </w:r>
          </w:p>
        </w:tc>
        <w:tc>
          <w:tcPr>
            <w:tcW w:w="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126,379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20" w:type="dxa"/>
            <w:vAlign w:val="bottom"/>
            <w:vMerge w:val="restart"/>
          </w:tcPr>
          <w:p>
            <w:pPr>
              <w:jc w:val="center"/>
              <w:ind w:left="2572"/>
              <w:spacing w:after="0"/>
              <w:rPr>
                <w:sz w:val="20"/>
                <w:szCs w:val="20"/>
                <w:color w:val="auto"/>
              </w:rPr>
            </w:pPr>
            <w:r>
              <w:rPr>
                <w:rFonts w:ascii="Arial" w:cs="Arial" w:eastAsia="Arial" w:hAnsi="Arial"/>
                <w:sz w:val="18"/>
                <w:szCs w:val="18"/>
                <w:color w:val="auto"/>
                <w:w w:val="86"/>
              </w:rPr>
              <w:t>See notes to condensed consolidated financial statements.</w:t>
            </w: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87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740" w:type="dxa"/>
            <w:vAlign w:val="bottom"/>
            <w:gridSpan w:val="2"/>
          </w:tcPr>
          <w:p>
            <w:pPr>
              <w:jc w:val="right"/>
              <w:ind w:right="2892"/>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1"/>
          <w:szCs w:val="11"/>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1"/>
          <w:szCs w:val="11"/>
          <w:b w:val="1"/>
          <w:bCs w:val="1"/>
          <w:color w:val="auto"/>
        </w:rPr>
        <w:t>ORPORATION</w:t>
      </w:r>
      <w:r>
        <w:rPr>
          <w:rFonts w:ascii="Arial" w:cs="Arial" w:eastAsia="Arial" w:hAnsi="Arial"/>
          <w:sz w:val="18"/>
          <w:szCs w:val="18"/>
          <w:b w:val="1"/>
          <w:bCs w:val="1"/>
          <w:color w:val="auto"/>
        </w:rPr>
        <w:t xml:space="preserve"> </w:t>
      </w:r>
      <w:r>
        <w:rPr>
          <w:rFonts w:ascii="Arial" w:cs="Arial" w:eastAsia="Arial" w:hAnsi="Arial"/>
          <w:sz w:val="13"/>
          <w:szCs w:val="13"/>
          <w:b w:val="1"/>
          <w:bCs w:val="1"/>
          <w:color w:val="auto"/>
        </w:rPr>
        <w:t>P</w:t>
      </w:r>
      <w:r>
        <w:rPr>
          <w:rFonts w:ascii="Arial" w:cs="Arial" w:eastAsia="Arial" w:hAnsi="Arial"/>
          <w:sz w:val="11"/>
          <w:szCs w:val="11"/>
          <w:b w:val="1"/>
          <w:bCs w:val="1"/>
          <w:color w:val="auto"/>
        </w:rPr>
        <w:t>LC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20" w:type="dxa"/>
            <w:vAlign w:val="bottom"/>
            <w:gridSpan w:val="5"/>
          </w:tcPr>
          <w:p>
            <w:pPr>
              <w:ind w:left="20"/>
              <w:spacing w:after="0"/>
              <w:rPr>
                <w:sz w:val="20"/>
                <w:szCs w:val="20"/>
                <w:color w:val="auto"/>
              </w:rPr>
            </w:pPr>
            <w:r>
              <w:rPr>
                <w:rFonts w:ascii="Arial" w:cs="Arial" w:eastAsia="Arial" w:hAnsi="Arial"/>
                <w:sz w:val="14"/>
                <w:szCs w:val="14"/>
                <w:b w:val="1"/>
                <w:bCs w:val="1"/>
                <w:color w:val="auto"/>
                <w:w w:val="84"/>
              </w:rPr>
              <w:t>Three months ended June 30,</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ind w:left="2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52"/>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2600" w:type="dxa"/>
            <w:vAlign w:val="bottom"/>
            <w:gridSpan w:val="2"/>
            <w:shd w:val="clear" w:color="auto" w:fill="CCEEFF"/>
          </w:tcPr>
          <w:p>
            <w:pPr>
              <w:ind w:left="2460"/>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Research and development</w:t>
            </w:r>
          </w:p>
        </w:tc>
        <w:tc>
          <w:tcPr>
            <w:tcW w:w="2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14,066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5,189</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18,822</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9,638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920" w:type="dxa"/>
            <w:vAlign w:val="bottom"/>
          </w:tcPr>
          <w:p>
            <w:pPr>
              <w:ind w:left="420"/>
              <w:spacing w:after="0"/>
              <w:rPr>
                <w:sz w:val="20"/>
                <w:szCs w:val="20"/>
                <w:color w:val="auto"/>
              </w:rPr>
            </w:pPr>
            <w:r>
              <w:rPr>
                <w:rFonts w:ascii="Arial" w:cs="Arial" w:eastAsia="Arial" w:hAnsi="Arial"/>
                <w:sz w:val="14"/>
                <w:szCs w:val="14"/>
                <w:color w:val="auto"/>
              </w:rPr>
              <w:t>Marketing, general and administrative</w:t>
            </w:r>
          </w:p>
        </w:tc>
        <w:tc>
          <w:tcPr>
            <w:tcW w:w="2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13,635</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10,025</w:t>
            </w:r>
          </w:p>
        </w:tc>
        <w:tc>
          <w:tcPr>
            <w:tcW w:w="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27,662</w:t>
            </w:r>
          </w:p>
        </w:tc>
        <w:tc>
          <w:tcPr>
            <w:tcW w:w="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97"/>
              </w:rPr>
              <w:t>12,751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operating expenses</w:t>
            </w:r>
          </w:p>
        </w:tc>
        <w:tc>
          <w:tcPr>
            <w:tcW w:w="24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27,701</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15,214</w:t>
            </w:r>
          </w:p>
        </w:tc>
        <w:tc>
          <w:tcPr>
            <w:tcW w:w="5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79"/>
              </w:rPr>
              <w:t>46,484</w:t>
            </w:r>
          </w:p>
        </w:tc>
        <w:tc>
          <w:tcPr>
            <w:tcW w:w="5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3"/>
              </w:rPr>
              <w:t>22,389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4"/>
        </w:trPr>
        <w:tc>
          <w:tcPr>
            <w:tcW w:w="4940" w:type="dxa"/>
            <w:vAlign w:val="bottom"/>
            <w:gridSpan w:val="2"/>
          </w:tcPr>
          <w:p>
            <w:pPr>
              <w:spacing w:after="0"/>
              <w:rPr>
                <w:sz w:val="20"/>
                <w:szCs w:val="20"/>
                <w:color w:val="auto"/>
              </w:rPr>
            </w:pPr>
            <w:r>
              <w:rPr>
                <w:rFonts w:ascii="Arial" w:cs="Arial" w:eastAsia="Arial" w:hAnsi="Arial"/>
                <w:sz w:val="14"/>
                <w:szCs w:val="14"/>
                <w:color w:val="auto"/>
              </w:rPr>
              <w:t>Operating loss</w:t>
            </w:r>
          </w:p>
        </w:tc>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27,701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15,214</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46,484</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color w:val="auto"/>
                <w:w w:val="93"/>
              </w:rPr>
              <w:t>22,389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49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on change in fair value of derivative liability</w:t>
            </w:r>
          </w:p>
        </w:tc>
        <w:tc>
          <w:tcPr>
            <w:tcW w:w="2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18,930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185,359</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85,139</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2"/>
              </w:rPr>
              <w:t>160,017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Interest expense (income), net</w:t>
            </w: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4,317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8,268</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expense (income), net</w:t>
            </w:r>
          </w:p>
        </w:tc>
        <w:tc>
          <w:tcPr>
            <w:tcW w:w="24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5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5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40" w:type="dxa"/>
            <w:vAlign w:val="bottom"/>
            <w:gridSpan w:val="2"/>
          </w:tcPr>
          <w:p>
            <w:pPr>
              <w:spacing w:after="0" w:line="155" w:lineRule="exact"/>
              <w:rPr>
                <w:sz w:val="20"/>
                <w:szCs w:val="20"/>
                <w:color w:val="auto"/>
              </w:rPr>
            </w:pPr>
            <w:r>
              <w:rPr>
                <w:rFonts w:ascii="Arial" w:cs="Arial" w:eastAsia="Arial" w:hAnsi="Arial"/>
                <w:sz w:val="14"/>
                <w:szCs w:val="14"/>
                <w:color w:val="auto"/>
              </w:rPr>
              <w:t>Loss from operations before taxes</w:t>
            </w:r>
          </w:p>
        </w:tc>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2"/>
              <w:spacing w:after="0" w:line="155" w:lineRule="exact"/>
              <w:rPr>
                <w:sz w:val="20"/>
                <w:szCs w:val="20"/>
                <w:color w:val="auto"/>
              </w:rPr>
            </w:pPr>
            <w:r>
              <w:rPr>
                <w:rFonts w:ascii="Arial" w:cs="Arial" w:eastAsia="Arial" w:hAnsi="Arial"/>
                <w:sz w:val="14"/>
                <w:szCs w:val="14"/>
                <w:color w:val="auto"/>
              </w:rPr>
              <w:t>51,000</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200,468</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94"/>
              </w:rPr>
              <w:t>139,875</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2"/>
              <w:spacing w:after="0" w:line="155" w:lineRule="exact"/>
              <w:rPr>
                <w:sz w:val="20"/>
                <w:szCs w:val="20"/>
                <w:color w:val="auto"/>
              </w:rPr>
            </w:pPr>
            <w:r>
              <w:rPr>
                <w:rFonts w:ascii="Arial" w:cs="Arial" w:eastAsia="Arial" w:hAnsi="Arial"/>
                <w:sz w:val="14"/>
                <w:szCs w:val="14"/>
                <w:color w:val="auto"/>
                <w:w w:val="82"/>
              </w:rPr>
              <w:t>182,223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24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2,904</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1,635</w:t>
            </w:r>
          </w:p>
        </w:tc>
        <w:tc>
          <w:tcPr>
            <w:tcW w:w="5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2,314</w:t>
            </w:r>
          </w:p>
        </w:tc>
        <w:tc>
          <w:tcPr>
            <w:tcW w:w="5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1,586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40" w:type="dxa"/>
            <w:vAlign w:val="bottom"/>
            <w:gridSpan w:val="2"/>
          </w:tcPr>
          <w:p>
            <w:pPr>
              <w:spacing w:after="0" w:line="155" w:lineRule="exact"/>
              <w:rPr>
                <w:sz w:val="20"/>
                <w:szCs w:val="20"/>
                <w:color w:val="auto"/>
              </w:rPr>
            </w:pPr>
            <w:r>
              <w:rPr>
                <w:rFonts w:ascii="Arial" w:cs="Arial" w:eastAsia="Arial" w:hAnsi="Arial"/>
                <w:sz w:val="14"/>
                <w:szCs w:val="14"/>
                <w:color w:val="auto"/>
              </w:rPr>
              <w:t>Net loss</w:t>
            </w:r>
          </w:p>
        </w:tc>
        <w:tc>
          <w:tcPr>
            <w:tcW w:w="2460" w:type="dxa"/>
            <w:vAlign w:val="bottom"/>
          </w:tcPr>
          <w:p>
            <w:pPr>
              <w:jc w:val="right"/>
              <w:ind w:right="92"/>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53,904</w:t>
            </w:r>
          </w:p>
        </w:tc>
        <w:tc>
          <w:tcPr>
            <w:tcW w:w="3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202,103</w:t>
            </w:r>
          </w:p>
        </w:tc>
        <w:tc>
          <w:tcPr>
            <w:tcW w:w="5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94"/>
              </w:rPr>
              <w:t>142,189</w:t>
            </w:r>
          </w:p>
        </w:tc>
        <w:tc>
          <w:tcPr>
            <w:tcW w:w="500" w:type="dxa"/>
            <w:vAlign w:val="bottom"/>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0"/>
              </w:rPr>
              <w:t>183,809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9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Loss per share:</w:t>
            </w:r>
          </w:p>
        </w:tc>
        <w:tc>
          <w:tcPr>
            <w:tcW w:w="2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20" w:type="dxa"/>
            <w:vAlign w:val="bottom"/>
          </w:tcPr>
          <w:p>
            <w:pPr>
              <w:ind w:left="420"/>
              <w:spacing w:after="0"/>
              <w:rPr>
                <w:sz w:val="20"/>
                <w:szCs w:val="20"/>
                <w:color w:val="auto"/>
              </w:rPr>
            </w:pPr>
            <w:r>
              <w:rPr>
                <w:rFonts w:ascii="Arial" w:cs="Arial" w:eastAsia="Arial" w:hAnsi="Arial"/>
                <w:sz w:val="14"/>
                <w:szCs w:val="14"/>
                <w:color w:val="auto"/>
              </w:rPr>
              <w:t>Basic and diluted</w:t>
            </w:r>
          </w:p>
        </w:tc>
        <w:tc>
          <w:tcPr>
            <w:tcW w:w="24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0.38</w:t>
            </w: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1.58</w:t>
            </w:r>
          </w:p>
        </w:tc>
        <w:tc>
          <w:tcPr>
            <w:tcW w:w="5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1.03</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1.46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vMerge w:val="restart"/>
          </w:tcPr>
          <w:p>
            <w:pPr>
              <w:spacing w:after="0"/>
              <w:rPr>
                <w:sz w:val="13"/>
                <w:szCs w:val="13"/>
                <w:color w:val="auto"/>
              </w:rPr>
            </w:pPr>
          </w:p>
        </w:tc>
        <w:tc>
          <w:tcPr>
            <w:tcW w:w="49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shares:</w:t>
            </w:r>
          </w:p>
        </w:tc>
        <w:tc>
          <w:tcPr>
            <w:tcW w:w="2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20" w:type="dxa"/>
            <w:vAlign w:val="bottom"/>
          </w:tcPr>
          <w:p>
            <w:pPr>
              <w:ind w:left="420"/>
              <w:spacing w:after="0"/>
              <w:rPr>
                <w:sz w:val="20"/>
                <w:szCs w:val="20"/>
                <w:color w:val="auto"/>
              </w:rPr>
            </w:pPr>
            <w:r>
              <w:rPr>
                <w:rFonts w:ascii="Arial" w:cs="Arial" w:eastAsia="Arial" w:hAnsi="Arial"/>
                <w:sz w:val="14"/>
                <w:szCs w:val="14"/>
                <w:color w:val="auto"/>
              </w:rPr>
              <w:t>Basic and diluted</w:t>
            </w: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140,550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128,360</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4"/>
              </w:rPr>
              <w:t>138,280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125,907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1"/>
          <w:szCs w:val="11"/>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1"/>
          <w:szCs w:val="11"/>
          <w:b w:val="1"/>
          <w:bCs w:val="1"/>
          <w:color w:val="auto"/>
        </w:rPr>
        <w:t>ORPORATION</w:t>
      </w:r>
      <w:r>
        <w:rPr>
          <w:rFonts w:ascii="Arial" w:cs="Arial" w:eastAsia="Arial" w:hAnsi="Arial"/>
          <w:sz w:val="18"/>
          <w:szCs w:val="18"/>
          <w:b w:val="1"/>
          <w:bCs w:val="1"/>
          <w:color w:val="auto"/>
        </w:rPr>
        <w:t xml:space="preserve"> </w:t>
      </w:r>
      <w:r>
        <w:rPr>
          <w:rFonts w:ascii="Arial" w:cs="Arial" w:eastAsia="Arial" w:hAnsi="Arial"/>
          <w:sz w:val="13"/>
          <w:szCs w:val="13"/>
          <w:b w:val="1"/>
          <w:bCs w:val="1"/>
          <w:color w:val="auto"/>
        </w:rPr>
        <w:t>P</w:t>
      </w:r>
      <w:r>
        <w:rPr>
          <w:rFonts w:ascii="Arial" w:cs="Arial" w:eastAsia="Arial" w:hAnsi="Arial"/>
          <w:sz w:val="11"/>
          <w:szCs w:val="11"/>
          <w:b w:val="1"/>
          <w:bCs w:val="1"/>
          <w:color w:val="auto"/>
        </w:rPr>
        <w:t>LC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 (DEFICIT)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196"/>
              <w:spacing w:after="0" w:line="149" w:lineRule="exact"/>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Treasury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296"/>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December 31, 2011</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135,832,542</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113,321</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449,393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center"/>
              <w:ind w:left="356"/>
              <w:spacing w:after="0"/>
              <w:rPr>
                <w:sz w:val="20"/>
                <w:szCs w:val="20"/>
                <w:color w:val="auto"/>
              </w:rPr>
            </w:pPr>
            <w:r>
              <w:rPr>
                <w:rFonts w:ascii="Arial" w:cs="Arial" w:eastAsia="Arial" w:hAnsi="Arial"/>
                <w:sz w:val="18"/>
                <w:szCs w:val="18"/>
                <w:b w:val="1"/>
                <w:bCs w:val="1"/>
                <w:color w:val="auto"/>
                <w:w w:val="90"/>
              </w:rPr>
              <w:t>(217)</w:t>
            </w: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93"/>
              </w:rPr>
              <w:t>(568,459)</w:t>
            </w: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(5,962)</w:t>
            </w:r>
          </w:p>
        </w:tc>
        <w:tc>
          <w:tcPr>
            <w:tcW w:w="0" w:type="dxa"/>
            <w:vAlign w:val="bottom"/>
          </w:tcPr>
          <w:p>
            <w:pPr>
              <w:spacing w:after="0"/>
              <w:rPr>
                <w:sz w:val="1"/>
                <w:szCs w:val="1"/>
                <w:color w:val="auto"/>
              </w:rPr>
            </w:pPr>
          </w:p>
        </w:tc>
      </w:tr>
      <w:tr>
        <w:trPr>
          <w:trHeight w:val="322"/>
        </w:trPr>
        <w:tc>
          <w:tcPr>
            <w:tcW w:w="3900" w:type="dxa"/>
            <w:vAlign w:val="bottom"/>
            <w:gridSpan w:val="3"/>
          </w:tcPr>
          <w:p>
            <w:pPr>
              <w:spacing w:after="0"/>
              <w:rPr>
                <w:sz w:val="20"/>
                <w:szCs w:val="20"/>
                <w:color w:val="auto"/>
              </w:rPr>
            </w:pPr>
            <w:r>
              <w:rPr>
                <w:rFonts w:ascii="Arial" w:cs="Arial" w:eastAsia="Arial" w:hAnsi="Arial"/>
                <w:sz w:val="18"/>
                <w:szCs w:val="18"/>
                <w:color w:val="auto"/>
              </w:rPr>
              <w:t>Warrants exercised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9,812,622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7,569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7,361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left="396"/>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14,930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of fair value of warrants exercised from</w:t>
            </w:r>
          </w:p>
        </w:tc>
        <w:tc>
          <w:tcPr>
            <w:tcW w:w="1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liabilities to equity</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92,282</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left="396"/>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Conversion option of exchangeable notes</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22,898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22,898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2,485,647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396"/>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6,678</w:t>
            </w:r>
          </w:p>
        </w:tc>
        <w:tc>
          <w:tcPr>
            <w:tcW w:w="0" w:type="dxa"/>
            <w:vAlign w:val="bottom"/>
          </w:tcPr>
          <w:p>
            <w:pPr>
              <w:spacing w:after="0"/>
              <w:rPr>
                <w:sz w:val="1"/>
                <w:szCs w:val="1"/>
                <w:color w:val="auto"/>
              </w:rPr>
            </w:pPr>
          </w:p>
        </w:tc>
      </w:tr>
      <w:tr>
        <w:trPr>
          <w:trHeight w:val="322"/>
        </w:trPr>
        <w:tc>
          <w:tcPr>
            <w:tcW w:w="3900" w:type="dxa"/>
            <w:vAlign w:val="bottom"/>
            <w:gridSpan w:val="3"/>
          </w:tcPr>
          <w:p>
            <w:pPr>
              <w:spacing w:after="0"/>
              <w:rPr>
                <w:sz w:val="20"/>
                <w:szCs w:val="20"/>
                <w:color w:val="auto"/>
              </w:rPr>
            </w:pPr>
            <w:r>
              <w:rPr>
                <w:rFonts w:ascii="Arial" w:cs="Arial" w:eastAsia="Arial" w:hAnsi="Arial"/>
                <w:sz w:val="18"/>
                <w:szCs w:val="18"/>
                <w:color w:val="auto"/>
                <w:w w:val="91"/>
              </w:rPr>
              <w:t>Tax benefits realized from stock-based compensation</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7,960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left="396"/>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7,960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for services</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396"/>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2"/>
        </w:trPr>
        <w:tc>
          <w:tcPr>
            <w:tcW w:w="3900" w:type="dxa"/>
            <w:vAlign w:val="bottom"/>
            <w:gridSpan w:val="3"/>
          </w:tcPr>
          <w:p>
            <w:pPr>
              <w:spacing w:after="0"/>
              <w:rPr>
                <w:sz w:val="20"/>
                <w:szCs w:val="20"/>
                <w:color w:val="auto"/>
              </w:rPr>
            </w:pPr>
            <w:r>
              <w:rPr>
                <w:rFonts w:ascii="Arial" w:cs="Arial" w:eastAsia="Arial" w:hAnsi="Arial"/>
                <w:sz w:val="18"/>
                <w:szCs w:val="18"/>
                <w:color w:val="auto"/>
              </w:rPr>
              <w:t>Share based compensation</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8,709</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left="396"/>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8,709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center"/>
              <w:ind w:left="496"/>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3"/>
              </w:rPr>
              <w:t>(142,189)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(142,189)</w:t>
            </w:r>
          </w:p>
        </w:tc>
        <w:tc>
          <w:tcPr>
            <w:tcW w:w="0" w:type="dxa"/>
            <w:vAlign w:val="bottom"/>
          </w:tcPr>
          <w:p>
            <w:pPr>
              <w:spacing w:after="0"/>
              <w:rPr>
                <w:sz w:val="1"/>
                <w:szCs w:val="1"/>
                <w:color w:val="auto"/>
              </w:rPr>
            </w:pPr>
          </w:p>
        </w:tc>
      </w:tr>
      <w:tr>
        <w:trPr>
          <w:trHeight w:val="20"/>
        </w:trPr>
        <w:tc>
          <w:tcPr>
            <w:tcW w:w="3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At June 30, 2012</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148,132,553</w:t>
            </w:r>
          </w:p>
        </w:tc>
        <w:tc>
          <w:tcPr>
            <w:tcW w:w="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122,844</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593,341</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ind w:left="600"/>
              <w:spacing w:after="0"/>
              <w:rPr>
                <w:sz w:val="20"/>
                <w:szCs w:val="20"/>
                <w:color w:val="auto"/>
              </w:rPr>
            </w:pPr>
            <w:r>
              <w:rPr>
                <w:rFonts w:ascii="Arial" w:cs="Arial" w:eastAsia="Arial" w:hAnsi="Arial"/>
                <w:sz w:val="18"/>
                <w:szCs w:val="18"/>
                <w:b w:val="1"/>
                <w:bCs w:val="1"/>
                <w:color w:val="auto"/>
                <w:w w:val="95"/>
              </w:rPr>
              <w:t>(217)</w:t>
            </w:r>
          </w:p>
        </w:tc>
        <w:tc>
          <w:tcPr>
            <w:tcW w:w="2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ind w:left="280"/>
              <w:spacing w:after="0"/>
              <w:rPr>
                <w:sz w:val="20"/>
                <w:szCs w:val="20"/>
                <w:color w:val="auto"/>
              </w:rPr>
            </w:pPr>
            <w:r>
              <w:rPr>
                <w:rFonts w:ascii="Arial" w:cs="Arial" w:eastAsia="Arial" w:hAnsi="Arial"/>
                <w:sz w:val="18"/>
                <w:szCs w:val="18"/>
                <w:b w:val="1"/>
                <w:bCs w:val="1"/>
                <w:color w:val="auto"/>
                <w:w w:val="93"/>
              </w:rPr>
              <w:t>(710,648)</w:t>
            </w:r>
          </w:p>
        </w:tc>
        <w:tc>
          <w:tcPr>
            <w:tcW w:w="3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6"/>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Additional</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88"/>
              </w:rPr>
              <w:t>Common</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Treasury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156"/>
              <w:spacing w:after="0"/>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gridSpan w:val="2"/>
          </w:tcPr>
          <w:p>
            <w:pPr>
              <w:spacing w:after="0"/>
              <w:rPr>
                <w:sz w:val="4"/>
                <w:szCs w:val="4"/>
                <w:color w:val="auto"/>
              </w:rPr>
            </w:pPr>
          </w:p>
        </w:tc>
        <w:tc>
          <w:tcPr>
            <w:tcW w:w="9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December 31, 2010</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106,856,731</w:t>
            </w: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90,465</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206,718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w w:val="90"/>
              </w:rPr>
              <w:t>(217)</w:t>
            </w:r>
          </w:p>
        </w:tc>
        <w:tc>
          <w:tcPr>
            <w:tcW w:w="1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90"/>
              </w:rPr>
              <w:t>(499,333)</w:t>
            </w:r>
          </w:p>
        </w:tc>
        <w:tc>
          <w:tcPr>
            <w:tcW w:w="10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(202,367)</w:t>
            </w:r>
          </w:p>
        </w:tc>
        <w:tc>
          <w:tcPr>
            <w:tcW w:w="0" w:type="dxa"/>
            <w:vAlign w:val="bottom"/>
          </w:tcPr>
          <w:p>
            <w:pPr>
              <w:spacing w:after="0"/>
              <w:rPr>
                <w:sz w:val="1"/>
                <w:szCs w:val="1"/>
                <w:color w:val="auto"/>
              </w:rPr>
            </w:pPr>
          </w:p>
        </w:tc>
      </w:tr>
      <w:tr>
        <w:trPr>
          <w:trHeight w:val="322"/>
        </w:trPr>
        <w:tc>
          <w:tcPr>
            <w:tcW w:w="3900" w:type="dxa"/>
            <w:vAlign w:val="bottom"/>
            <w:gridSpan w:val="3"/>
          </w:tcPr>
          <w:p>
            <w:pPr>
              <w:spacing w:after="0"/>
              <w:rPr>
                <w:sz w:val="20"/>
                <w:szCs w:val="20"/>
                <w:color w:val="auto"/>
              </w:rPr>
            </w:pPr>
            <w:r>
              <w:rPr>
                <w:rFonts w:ascii="Arial" w:cs="Arial" w:eastAsia="Arial" w:hAnsi="Arial"/>
                <w:sz w:val="18"/>
                <w:szCs w:val="18"/>
                <w:color w:val="auto"/>
              </w:rPr>
              <w:t>Warrants exercised</w:t>
            </w:r>
          </w:p>
        </w:tc>
        <w:tc>
          <w:tcPr>
            <w:tcW w:w="1100" w:type="dxa"/>
            <w:vAlign w:val="bottom"/>
          </w:tcPr>
          <w:p>
            <w:pPr>
              <w:jc w:val="right"/>
              <w:spacing w:after="0"/>
              <w:rPr>
                <w:sz w:val="20"/>
                <w:szCs w:val="20"/>
                <w:color w:val="auto"/>
              </w:rPr>
            </w:pPr>
            <w:r>
              <w:rPr>
                <w:rFonts w:ascii="Arial" w:cs="Arial" w:eastAsia="Arial" w:hAnsi="Arial"/>
                <w:sz w:val="18"/>
                <w:szCs w:val="18"/>
                <w:color w:val="auto"/>
              </w:rPr>
              <w:t>10,330,642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8,289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6,641</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14,930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of fair value of warrants exercised from</w:t>
            </w:r>
          </w:p>
        </w:tc>
        <w:tc>
          <w:tcPr>
            <w:tcW w:w="1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liabilities to equity</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108,458</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108,458</w:t>
            </w:r>
          </w:p>
        </w:tc>
        <w:tc>
          <w:tcPr>
            <w:tcW w:w="0" w:type="dxa"/>
            <w:vAlign w:val="bottom"/>
          </w:tcPr>
          <w:p>
            <w:pPr>
              <w:spacing w:after="0"/>
              <w:rPr>
                <w:sz w:val="1"/>
                <w:szCs w:val="1"/>
                <w:color w:val="auto"/>
              </w:rPr>
            </w:pPr>
          </w:p>
        </w:tc>
      </w:tr>
      <w:tr>
        <w:trPr>
          <w:trHeight w:val="322"/>
        </w:trPr>
        <w:tc>
          <w:tcPr>
            <w:tcW w:w="3900" w:type="dxa"/>
            <w:vAlign w:val="bottom"/>
            <w:gridSpan w:val="3"/>
          </w:tcPr>
          <w:p>
            <w:pPr>
              <w:spacing w:after="0"/>
              <w:rPr>
                <w:sz w:val="20"/>
                <w:szCs w:val="20"/>
                <w:color w:val="auto"/>
              </w:rPr>
            </w:pPr>
            <w:r>
              <w:rPr>
                <w:rFonts w:ascii="Arial" w:cs="Arial" w:eastAsia="Arial" w:hAnsi="Arial"/>
                <w:sz w:val="18"/>
                <w:szCs w:val="18"/>
                <w:color w:val="auto"/>
              </w:rPr>
              <w:t>Shares issued in January financing</w:t>
            </w:r>
          </w:p>
        </w:tc>
        <w:tc>
          <w:tcPr>
            <w:tcW w:w="1100" w:type="dxa"/>
            <w:vAlign w:val="bottom"/>
          </w:tcPr>
          <w:p>
            <w:pPr>
              <w:jc w:val="right"/>
              <w:spacing w:after="0"/>
              <w:rPr>
                <w:sz w:val="20"/>
                <w:szCs w:val="20"/>
                <w:color w:val="auto"/>
              </w:rPr>
            </w:pPr>
            <w:r>
              <w:rPr>
                <w:rFonts w:ascii="Arial" w:cs="Arial" w:eastAsia="Arial" w:hAnsi="Arial"/>
                <w:sz w:val="18"/>
                <w:szCs w:val="18"/>
                <w:color w:val="auto"/>
              </w:rPr>
              <w:t>13,800,000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10,723</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87,931</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98,654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2,164,647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322"/>
        </w:trPr>
        <w:tc>
          <w:tcPr>
            <w:tcW w:w="3900" w:type="dxa"/>
            <w:vAlign w:val="bottom"/>
            <w:gridSpan w:val="3"/>
          </w:tcPr>
          <w:p>
            <w:pPr>
              <w:spacing w:after="0"/>
              <w:rPr>
                <w:sz w:val="20"/>
                <w:szCs w:val="20"/>
                <w:color w:val="auto"/>
              </w:rPr>
            </w:pPr>
            <w:r>
              <w:rPr>
                <w:rFonts w:ascii="Arial" w:cs="Arial" w:eastAsia="Arial" w:hAnsi="Arial"/>
                <w:sz w:val="18"/>
                <w:szCs w:val="18"/>
                <w:color w:val="auto"/>
              </w:rPr>
              <w:t>Tax benefits from stock-based compensation</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1,061</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for services</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22"/>
        </w:trPr>
        <w:tc>
          <w:tcPr>
            <w:tcW w:w="3900" w:type="dxa"/>
            <w:vAlign w:val="bottom"/>
            <w:gridSpan w:val="3"/>
          </w:tcPr>
          <w:p>
            <w:pPr>
              <w:spacing w:after="0"/>
              <w:rPr>
                <w:sz w:val="20"/>
                <w:szCs w:val="20"/>
                <w:color w:val="auto"/>
              </w:rPr>
            </w:pPr>
            <w:r>
              <w:rPr>
                <w:rFonts w:ascii="Arial" w:cs="Arial" w:eastAsia="Arial" w:hAnsi="Arial"/>
                <w:sz w:val="18"/>
                <w:szCs w:val="18"/>
                <w:color w:val="auto"/>
              </w:rPr>
              <w:t>Share based compensation</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3,360</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for the period</w:t>
            </w:r>
          </w:p>
        </w:tc>
        <w:tc>
          <w:tcPr>
            <w:tcW w:w="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(183,809)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At June 30, 2011</w:t>
            </w:r>
          </w:p>
        </w:tc>
        <w:tc>
          <w:tcPr>
            <w:tcW w:w="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133,163,830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111,231</w:t>
            </w:r>
          </w:p>
        </w:tc>
        <w:tc>
          <w:tcPr>
            <w:tcW w:w="14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417,413</w:t>
            </w:r>
          </w:p>
        </w:tc>
        <w:tc>
          <w:tcPr>
            <w:tcW w:w="160" w:type="dxa"/>
            <w:vAlign w:val="bottom"/>
          </w:tcPr>
          <w:p>
            <w:pPr>
              <w:spacing w:after="0"/>
              <w:rPr>
                <w:sz w:val="24"/>
                <w:szCs w:val="24"/>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center"/>
              <w:ind w:left="396"/>
              <w:spacing w:after="0"/>
              <w:rPr>
                <w:sz w:val="20"/>
                <w:szCs w:val="20"/>
                <w:color w:val="auto"/>
              </w:rPr>
            </w:pPr>
            <w:r>
              <w:rPr>
                <w:rFonts w:ascii="Arial" w:cs="Arial" w:eastAsia="Arial" w:hAnsi="Arial"/>
                <w:sz w:val="18"/>
                <w:szCs w:val="18"/>
                <w:b w:val="1"/>
                <w:bCs w:val="1"/>
                <w:color w:val="auto"/>
                <w:w w:val="90"/>
              </w:rPr>
              <w:t>(217)</w:t>
            </w:r>
          </w:p>
        </w:tc>
        <w:tc>
          <w:tcPr>
            <w:tcW w:w="2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tcPr>
          <w:p>
            <w:pPr>
              <w:ind w:left="240"/>
              <w:spacing w:after="0"/>
              <w:rPr>
                <w:sz w:val="20"/>
                <w:szCs w:val="20"/>
                <w:color w:val="auto"/>
              </w:rPr>
            </w:pPr>
            <w:r>
              <w:rPr>
                <w:rFonts w:ascii="Arial" w:cs="Arial" w:eastAsia="Arial" w:hAnsi="Arial"/>
                <w:sz w:val="18"/>
                <w:szCs w:val="18"/>
                <w:b w:val="1"/>
                <w:bCs w:val="1"/>
                <w:color w:val="auto"/>
                <w:w w:val="98"/>
              </w:rPr>
              <w:t>(683,142)</w:t>
            </w:r>
          </w:p>
        </w:tc>
        <w:tc>
          <w:tcPr>
            <w:tcW w:w="3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(154,715)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7880" w:type="dxa"/>
            <w:vAlign w:val="bottom"/>
            <w:gridSpan w:val="15"/>
          </w:tcPr>
          <w:p>
            <w:pPr>
              <w:jc w:val="center"/>
              <w:ind w:left="3412"/>
              <w:spacing w:after="0"/>
              <w:rPr>
                <w:sz w:val="20"/>
                <w:szCs w:val="20"/>
                <w:color w:val="auto"/>
              </w:rPr>
            </w:pPr>
            <w:r>
              <w:rPr>
                <w:rFonts w:ascii="Arial" w:cs="Arial" w:eastAsia="Arial" w:hAnsi="Arial"/>
                <w:sz w:val="18"/>
                <w:szCs w:val="18"/>
                <w:color w:val="auto"/>
                <w:w w:val="86"/>
              </w:rPr>
              <w:t>See notes to condensed consolidated financial statements.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center"/>
              <w:ind w:right="116"/>
              <w:spacing w:after="0"/>
              <w:rPr>
                <w:sz w:val="20"/>
                <w:szCs w:val="20"/>
                <w:color w:val="auto"/>
              </w:rPr>
            </w:pPr>
            <w:r>
              <w:rPr>
                <w:rFonts w:ascii="Arial" w:cs="Arial" w:eastAsia="Arial" w:hAnsi="Arial"/>
                <w:sz w:val="18"/>
                <w:szCs w:val="18"/>
                <w:color w:val="auto"/>
                <w:w w:val="79"/>
              </w:rPr>
              <w:t>3</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1"/>
          <w:szCs w:val="11"/>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1"/>
          <w:szCs w:val="11"/>
          <w:b w:val="1"/>
          <w:bCs w:val="1"/>
          <w:color w:val="auto"/>
        </w:rPr>
        <w:t>ORPORATION</w:t>
      </w:r>
      <w:r>
        <w:rPr>
          <w:rFonts w:ascii="Arial" w:cs="Arial" w:eastAsia="Arial" w:hAnsi="Arial"/>
          <w:sz w:val="18"/>
          <w:szCs w:val="18"/>
          <w:b w:val="1"/>
          <w:bCs w:val="1"/>
          <w:color w:val="auto"/>
        </w:rPr>
        <w:t xml:space="preserve"> </w:t>
      </w:r>
      <w:r>
        <w:rPr>
          <w:rFonts w:ascii="Arial" w:cs="Arial" w:eastAsia="Arial" w:hAnsi="Arial"/>
          <w:sz w:val="13"/>
          <w:szCs w:val="13"/>
          <w:b w:val="1"/>
          <w:bCs w:val="1"/>
          <w:color w:val="auto"/>
        </w:rPr>
        <w:t>P</w:t>
      </w:r>
      <w:r>
        <w:rPr>
          <w:rFonts w:ascii="Arial" w:cs="Arial" w:eastAsia="Arial" w:hAnsi="Arial"/>
          <w:sz w:val="11"/>
          <w:szCs w:val="11"/>
          <w:b w:val="1"/>
          <w:bCs w:val="1"/>
          <w:color w:val="auto"/>
        </w:rPr>
        <w:t>LC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61"/>
        </w:trPr>
        <w:tc>
          <w:tcPr>
            <w:tcW w:w="9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0"/>
              </w:rPr>
              <w:t>(142,189)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(183,809)</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income to net cash used in operating activities: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8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9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3,360</w:t>
            </w:r>
          </w:p>
        </w:tc>
      </w:tr>
      <w:tr>
        <w:trPr>
          <w:trHeight w:val="216"/>
        </w:trPr>
        <w:tc>
          <w:tcPr>
            <w:tcW w:w="9180" w:type="dxa"/>
            <w:vAlign w:val="bottom"/>
          </w:tcPr>
          <w:p>
            <w:pPr>
              <w:ind w:left="440"/>
              <w:spacing w:after="0"/>
              <w:rPr>
                <w:sz w:val="20"/>
                <w:szCs w:val="20"/>
                <w:color w:val="auto"/>
              </w:rPr>
            </w:pPr>
            <w:r>
              <w:rPr>
                <w:rFonts w:ascii="Arial" w:cs="Arial" w:eastAsia="Arial" w:hAnsi="Arial"/>
                <w:sz w:val="18"/>
                <w:szCs w:val="18"/>
                <w:color w:val="auto"/>
              </w:rPr>
              <w:t>Stock-based compensation—warrants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4,232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4,356</w:t>
            </w:r>
          </w:p>
        </w:tc>
      </w:tr>
      <w:tr>
        <w:trPr>
          <w:trHeight w:val="216"/>
        </w:trPr>
        <w:tc>
          <w:tcPr>
            <w:tcW w:w="9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Shares issued for services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9180" w:type="dxa"/>
            <w:vAlign w:val="bottom"/>
          </w:tcPr>
          <w:p>
            <w:pPr>
              <w:ind w:left="440"/>
              <w:spacing w:after="0"/>
              <w:rPr>
                <w:sz w:val="20"/>
                <w:szCs w:val="20"/>
                <w:color w:val="auto"/>
              </w:rPr>
            </w:pPr>
            <w:r>
              <w:rPr>
                <w:rFonts w:ascii="Arial" w:cs="Arial" w:eastAsia="Arial" w:hAnsi="Arial"/>
                <w:sz w:val="18"/>
                <w:szCs w:val="18"/>
                <w:color w:val="auto"/>
              </w:rPr>
              <w:t>Excess tax benefit from stock-based awards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(7,960)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(1,061)</w:t>
            </w:r>
          </w:p>
        </w:tc>
      </w:tr>
      <w:tr>
        <w:trPr>
          <w:trHeight w:val="216"/>
        </w:trPr>
        <w:tc>
          <w:tcPr>
            <w:tcW w:w="9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 payable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80" w:type="dxa"/>
            <w:vAlign w:val="bottom"/>
          </w:tcPr>
          <w:p>
            <w:pPr>
              <w:ind w:left="440"/>
              <w:spacing w:after="0"/>
              <w:rPr>
                <w:sz w:val="20"/>
                <w:szCs w:val="20"/>
                <w:color w:val="auto"/>
              </w:rPr>
            </w:pPr>
            <w:r>
              <w:rPr>
                <w:rFonts w:ascii="Arial" w:cs="Arial" w:eastAsia="Arial" w:hAnsi="Arial"/>
                <w:sz w:val="18"/>
                <w:szCs w:val="18"/>
                <w:color w:val="auto"/>
              </w:rPr>
              <w:t>Amortization of debt discount and debt issuance costs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6,020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change in fair value of derivative liability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160,017</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r>
      <w:tr>
        <w:trPr>
          <w:trHeight w:val="216"/>
        </w:trPr>
        <w:tc>
          <w:tcPr>
            <w:tcW w:w="9180" w:type="dxa"/>
            <w:vAlign w:val="bottom"/>
          </w:tcPr>
          <w:p>
            <w:pPr>
              <w:ind w:left="440"/>
              <w:spacing w:after="0"/>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(5,533)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8"/>
                <w:szCs w:val="18"/>
                <w:color w:val="auto"/>
              </w:rPr>
            </w:pPr>
          </w:p>
        </w:tc>
      </w:tr>
      <w:tr>
        <w:trPr>
          <w:trHeight w:val="216"/>
        </w:trPr>
        <w:tc>
          <w:tcPr>
            <w:tcW w:w="9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lease liability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9180" w:type="dxa"/>
            <w:vAlign w:val="bottom"/>
          </w:tcPr>
          <w:p>
            <w:pPr>
              <w:ind w:left="440"/>
              <w:spacing w:after="0"/>
              <w:rPr>
                <w:sz w:val="20"/>
                <w:szCs w:val="20"/>
                <w:color w:val="auto"/>
              </w:rPr>
            </w:pPr>
            <w:r>
              <w:rPr>
                <w:rFonts w:ascii="Arial" w:cs="Arial" w:eastAsia="Arial" w:hAnsi="Arial"/>
                <w:sz w:val="18"/>
                <w:szCs w:val="18"/>
                <w:color w:val="auto"/>
              </w:rPr>
              <w:t>Accounts payable and other liabilities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14,505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(2,303)</w:t>
            </w:r>
          </w:p>
        </w:tc>
      </w:tr>
      <w:tr>
        <w:trPr>
          <w:trHeight w:val="223"/>
        </w:trPr>
        <w:tc>
          <w:tcPr>
            <w:tcW w:w="9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(19,586)</w:t>
            </w:r>
          </w:p>
        </w:tc>
      </w:tr>
      <w:tr>
        <w:trPr>
          <w:trHeight w:val="437"/>
        </w:trPr>
        <w:tc>
          <w:tcPr>
            <w:tcW w:w="9180" w:type="dxa"/>
            <w:vAlign w:val="bottom"/>
          </w:tcPr>
          <w:p>
            <w:pPr>
              <w:ind w:left="2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Purchases of equipment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Purchase of long term investment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9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437"/>
        </w:trPr>
        <w:tc>
          <w:tcPr>
            <w:tcW w:w="9180" w:type="dxa"/>
            <w:vAlign w:val="bottom"/>
          </w:tcPr>
          <w:p>
            <w:pPr>
              <w:ind w:left="22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 of transaction costs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98,654</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6,678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4,954</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warrants, net of transaction costs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14,930</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Excess tax benefit from stock-based awards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7,960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1,061</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exchangeable debt, net of transaction costs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144,316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Payments under capital leases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9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173,864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119,599</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133,653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100,004</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116,602</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31,442</w:t>
            </w:r>
          </w:p>
        </w:tc>
        <w:tc>
          <w:tcPr>
            <w:tcW w:w="100" w:type="dxa"/>
            <w:vAlign w:val="bottom"/>
            <w:shd w:val="clear" w:color="auto" w:fill="CCEEFF"/>
          </w:tcPr>
          <w:p>
            <w:pPr>
              <w:spacing w:after="0"/>
              <w:rPr>
                <w:sz w:val="18"/>
                <w:szCs w:val="18"/>
                <w:color w:val="auto"/>
              </w:rPr>
            </w:pPr>
          </w:p>
        </w:tc>
      </w:tr>
      <w:tr>
        <w:trPr>
          <w:trHeight w:val="446"/>
        </w:trPr>
        <w:tc>
          <w:tcPr>
            <w:tcW w:w="918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250,255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131,446</w:t>
            </w:r>
          </w:p>
        </w:tc>
      </w:tr>
      <w:tr>
        <w:trPr>
          <w:trHeight w:val="21"/>
        </w:trPr>
        <w:tc>
          <w:tcPr>
            <w:tcW w:w="9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7"/>
        </w:trPr>
        <w:tc>
          <w:tcPr>
            <w:tcW w:w="9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80" w:type="dxa"/>
            <w:vAlign w:val="bottom"/>
          </w:tcPr>
          <w:p>
            <w:pPr>
              <w:ind w:left="440"/>
              <w:spacing w:after="0"/>
              <w:rPr>
                <w:sz w:val="20"/>
                <w:szCs w:val="20"/>
                <w:color w:val="auto"/>
              </w:rPr>
            </w:pPr>
            <w:r>
              <w:rPr>
                <w:rFonts w:ascii="Arial" w:cs="Arial" w:eastAsia="Arial" w:hAnsi="Arial"/>
                <w:sz w:val="18"/>
                <w:szCs w:val="18"/>
                <w:color w:val="auto"/>
              </w:rPr>
              <w:t>Cash paid during the year for:</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1"/>
        </w:trPr>
        <w:tc>
          <w:tcPr>
            <w:tcW w:w="9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9180" w:type="dxa"/>
            <w:vAlign w:val="bottom"/>
          </w:tcPr>
          <w:p>
            <w:pPr>
              <w:ind w:left="880"/>
              <w:spacing w:after="0"/>
              <w:rPr>
                <w:sz w:val="20"/>
                <w:szCs w:val="20"/>
                <w:color w:val="auto"/>
              </w:rPr>
            </w:pPr>
            <w:r>
              <w:rPr>
                <w:rFonts w:ascii="Arial" w:cs="Arial" w:eastAsia="Arial" w:hAnsi="Arial"/>
                <w:sz w:val="18"/>
                <w:szCs w:val="18"/>
                <w:color w:val="auto"/>
              </w:rPr>
              <w:t>Income taxes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r>
      <w:tr>
        <w:trPr>
          <w:trHeight w:val="21"/>
        </w:trPr>
        <w:tc>
          <w:tcPr>
            <w:tcW w:w="9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7"/>
        </w:trPr>
        <w:tc>
          <w:tcPr>
            <w:tcW w:w="9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Non-cash transactions: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9180" w:type="dxa"/>
            <w:vAlign w:val="bottom"/>
          </w:tcPr>
          <w:p>
            <w:pPr>
              <w:ind w:left="880"/>
              <w:spacing w:after="0"/>
              <w:rPr>
                <w:sz w:val="20"/>
                <w:szCs w:val="20"/>
                <w:color w:val="auto"/>
              </w:rPr>
            </w:pPr>
            <w:r>
              <w:rPr>
                <w:rFonts w:ascii="Arial" w:cs="Arial" w:eastAsia="Arial" w:hAnsi="Arial"/>
                <w:sz w:val="18"/>
                <w:szCs w:val="18"/>
                <w:color w:val="auto"/>
              </w:rPr>
              <w:t>Transfer from derivative liability to equity, fair value of warrants exercised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92,282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108,458</w:t>
            </w:r>
          </w:p>
        </w:tc>
      </w:tr>
      <w:tr>
        <w:trPr>
          <w:trHeight w:val="21"/>
        </w:trPr>
        <w:tc>
          <w:tcPr>
            <w:tcW w:w="9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59320"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9320" cy="5588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1"/>
          <w:szCs w:val="11"/>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1"/>
          <w:szCs w:val="11"/>
          <w:b w:val="1"/>
          <w:bCs w:val="1"/>
          <w:color w:val="auto"/>
        </w:rPr>
        <w:t>ORPORATION</w:t>
      </w:r>
      <w:r>
        <w:rPr>
          <w:rFonts w:ascii="Arial" w:cs="Arial" w:eastAsia="Arial" w:hAnsi="Arial"/>
          <w:sz w:val="18"/>
          <w:szCs w:val="18"/>
          <w:b w:val="1"/>
          <w:bCs w:val="1"/>
          <w:color w:val="auto"/>
        </w:rPr>
        <w:t xml:space="preserve"> </w:t>
      </w:r>
      <w:r>
        <w:rPr>
          <w:rFonts w:ascii="Arial" w:cs="Arial" w:eastAsia="Arial" w:hAnsi="Arial"/>
          <w:sz w:val="13"/>
          <w:szCs w:val="13"/>
          <w:b w:val="1"/>
          <w:bCs w:val="1"/>
          <w:color w:val="auto"/>
        </w:rPr>
        <w:t>P</w:t>
      </w:r>
      <w:r>
        <w:rPr>
          <w:rFonts w:ascii="Arial" w:cs="Arial" w:eastAsia="Arial" w:hAnsi="Arial"/>
          <w:sz w:val="11"/>
          <w:szCs w:val="11"/>
          <w:b w:val="1"/>
          <w:bCs w:val="1"/>
          <w:color w:val="auto"/>
        </w:rPr>
        <w:t>LC</w:t>
      </w:r>
    </w:p>
    <w:p>
      <w:pPr>
        <w:spacing w:after="0" w:line="144"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our ordinary shares may also be referred to as “common shares” or “common stock.”</w:t>
      </w:r>
    </w:p>
    <w:p>
      <w:pPr>
        <w:spacing w:after="0" w:line="246" w:lineRule="exact"/>
        <w:rPr>
          <w:sz w:val="20"/>
          <w:szCs w:val="20"/>
          <w:color w:val="auto"/>
        </w:rPr>
      </w:pPr>
    </w:p>
    <w:p>
      <w:pPr>
        <w:ind w:left="240" w:right="7580" w:hanging="232"/>
        <w:spacing w:after="0" w:line="347" w:lineRule="auto"/>
        <w:tabs>
          <w:tab w:leader="none" w:pos="45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Business and Basis of Presentation </w:t>
      </w:r>
      <w:r>
        <w:rPr>
          <w:rFonts w:ascii="Arial" w:cs="Arial" w:eastAsia="Arial" w:hAnsi="Arial"/>
          <w:sz w:val="18"/>
          <w:szCs w:val="18"/>
          <w:b w:val="1"/>
          <w:bCs w:val="1"/>
          <w:i w:val="1"/>
          <w:iCs w:val="1"/>
          <w:u w:val="single" w:color="auto"/>
          <w:color w:val="auto"/>
        </w:rPr>
        <w:t>Nature of Business</w:t>
      </w:r>
    </w:p>
    <w:p>
      <w:pPr>
        <w:spacing w:after="0" w:line="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Amarin Corporation plc, “Amarin” or the “Company”, is a public limited company with its primary stock market listing in the United States on the NASDAQ Global Market. Amarin was originally incorporated in England as a private limited company on March 1, 1989 under the Companies Act 1985, and re-registered in England as a public limited company on March 19, 1993.</w:t>
      </w:r>
    </w:p>
    <w:p>
      <w:pPr>
        <w:spacing w:after="0" w:line="11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Amarin is a biopharmaceutical company with expertise in lipid science focused on the commercialization and development of therapeutics to improve cardiovascular health. On July 26, 2012, the Company received FDA approval to market and sell its lead product Vascepa</w:t>
      </w:r>
      <w:r>
        <w:rPr>
          <w:rFonts w:ascii="Arial" w:cs="Arial" w:eastAsia="Arial" w:hAnsi="Arial"/>
          <w:sz w:val="11"/>
          <w:szCs w:val="11"/>
          <w:color w:val="auto"/>
        </w:rPr>
        <w:t>TM</w:t>
      </w:r>
      <w:r>
        <w:rPr>
          <w:rFonts w:ascii="Arial" w:cs="Arial" w:eastAsia="Arial" w:hAnsi="Arial"/>
          <w:sz w:val="18"/>
          <w:szCs w:val="18"/>
          <w:color w:val="auto"/>
        </w:rPr>
        <w:t xml:space="preserve"> (icosapent ethyl) capsules (formerly known as AMR101) as an adjunct to diet to reduce triglyceride levels in adult patients with severe (TG </w:t>
      </w:r>
      <w:r>
        <w:rPr>
          <w:rFonts w:ascii="Arial" w:cs="Arial" w:eastAsia="Arial" w:hAnsi="Arial"/>
          <w:sz w:val="18"/>
          <w:szCs w:val="18"/>
          <w:u w:val="single" w:color="auto"/>
          <w:color w:val="auto"/>
        </w:rPr>
        <w:t>&gt;</w:t>
      </w:r>
      <w:r>
        <w:rPr>
          <w:rFonts w:ascii="Arial" w:cs="Arial" w:eastAsia="Arial" w:hAnsi="Arial"/>
          <w:sz w:val="18"/>
          <w:szCs w:val="18"/>
          <w:color w:val="auto"/>
        </w:rPr>
        <w:t>500mg/dL) hypertriglyceridemia. Amarin is also developing Vascepa for the treatment of patients with high triglyceride levels who are also on statin therapy for elevated LDL-C levels, or what the Company refers to as mixed dislipidemia. Triglycerides are fats in the blood.</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9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accompanying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Prior to 2004, the Company was in the business of selling a previous biopharmaceutical compound, which has since been discontinued. The Company’s current focus is on the commercialization and development of Vascepa, which received approval from the FDA on July 26, 2012. The Company is not considered a development stage business, as the release and sale of the previous product represented the exit of the Company from the development stage.</w:t>
      </w:r>
    </w:p>
    <w:p>
      <w:pPr>
        <w:spacing w:after="0" w:line="8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At June 30, 2012, the Company had cash and cash equivalents of $250.3 million. The Company’s consolidated balance sheet also includes a significant derivative liability (see footnote 3—Warrants and Derivative Liability) reflecting the fair value of outstanding warrants to purchase shares of the Company’s common stock. This liability can only be settled in shares of the Company’s stock and, as such, would only result in cash inflows upon the exercise of the warrants—not a cash outflow. Accordingly, this warrant derivative liability presents neither a short nor long-term claim on the liquid assets of the Company.</w:t>
      </w:r>
    </w:p>
    <w:p>
      <w:pPr>
        <w:spacing w:after="0" w:line="8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January 9, 2012, Amarin, through its wholly-owned subsidiary Corsicanto Limited, a private limited company incorporated under the laws of Ireland, completed a private placement of $150.0 million in aggregate principal amount of its 3.5% exchangeable senior notes due 2032 resulting in net proceeds to the Company of $144.3 million. The notes are the senior unsecured obligations of Corsicanto Limited and are guaranteed by Amarin. In July 2012 Amarin made its initial interest payment on the notes in the aggregate amount of $2.7 million.</w:t>
      </w:r>
    </w:p>
    <w:p>
      <w:pPr>
        <w:spacing w:after="0" w:line="116"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The Company believes its cash and cash equivalents will be sufficient to fund its projected operations for at least the next twelve months, including advancement of the REDUCE-IT cardiovascular outcomes study, preparation for and commercial launch of Vascepa, working capital and other general corporate activities.</w:t>
      </w:r>
    </w:p>
    <w:p>
      <w:pPr>
        <w:spacing w:after="0" w:line="43" w:lineRule="exact"/>
        <w:rPr>
          <w:sz w:val="20"/>
          <w:szCs w:val="20"/>
          <w:color w:val="auto"/>
        </w:rPr>
      </w:pPr>
    </w:p>
    <w:p>
      <w:pPr>
        <w:ind w:left="240" w:right="8600" w:hanging="232"/>
        <w:spacing w:after="0" w:line="417" w:lineRule="auto"/>
        <w:tabs>
          <w:tab w:leader="none" w:pos="458"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w:t>
      </w:r>
      <w:r>
        <w:rPr>
          <w:rFonts w:ascii="Arial" w:cs="Arial" w:eastAsia="Arial" w:hAnsi="Arial"/>
          <w:sz w:val="15"/>
          <w:szCs w:val="15"/>
          <w:b w:val="1"/>
          <w:bCs w:val="1"/>
          <w:i w:val="1"/>
          <w:iCs w:val="1"/>
          <w:u w:val="single" w:color="auto"/>
          <w:color w:val="auto"/>
        </w:rPr>
        <w:t>Cash and Cash Equivalents</w:t>
      </w:r>
    </w:p>
    <w:p>
      <w:pPr>
        <w:spacing w:after="0" w:line="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Cash and cash equivalents consist of cash, deposits held at call with banks, and short-term highly liquid instruments with remaining maturities at the date of purchase of 90 days or less.</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90" w:lineRule="exact"/>
        <w:rPr>
          <w:sz w:val="20"/>
          <w:szCs w:val="20"/>
          <w:color w:val="auto"/>
        </w:rPr>
      </w:pPr>
    </w:p>
    <w:p>
      <w:pPr>
        <w:jc w:val="both"/>
        <w:ind w:right="280"/>
        <w:spacing w:after="0" w:line="298" w:lineRule="auto"/>
        <w:rPr>
          <w:sz w:val="20"/>
          <w:szCs w:val="20"/>
          <w:color w:val="auto"/>
        </w:rPr>
      </w:pPr>
      <w:r>
        <w:rPr>
          <w:rFonts w:ascii="Arial" w:cs="Arial" w:eastAsia="Arial" w:hAnsi="Arial"/>
          <w:sz w:val="16"/>
          <w:szCs w:val="16"/>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Marketing, General and Administrative Costs</w:t>
      </w:r>
    </w:p>
    <w:p>
      <w:pPr>
        <w:spacing w:after="0" w:line="90"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Warrant related expense from non-cash changes in fair value of the derivative liability associated with warrants issued in October 2009 to former officers of Amarin is recorded as compensation expense and classified as part of marketing, general and administrative costs, net of warrants exercised.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1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Net Loss per Share</w:t>
      </w:r>
    </w:p>
    <w:p>
      <w:pPr>
        <w:spacing w:after="0" w:line="9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anti-dilutive such that basic net loss per share and diluted net loss per share are equal.</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Stock-based compensation cost, apart from that described under “Marketing, General, and Administrative costs” with respect to certain warrant-related expenses, is measured at the grant date, based on the then-fair value of the award, and is recognized as compensation cost over the requisite service period. Compensation expense is reduced for awards not expected to vest.</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Derivative financial liabilities are recorded at fair value, with gains and losses arising for changes in fair value recognized in the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The warrants are valued using a Black-Scholes option pricing model or a Monte Carlo simulation depending on the nature of instrument.</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the terms of warrants that initially require the warrants to be classified as derivative financial liabilities lapse, the derivative financial liability is reclassified out of financial liabilities into equity at its fair value on that date. At settlement date, if the instruments are settled in shares the carrying value of the warrants are derecognized and transferred to equity at their fair value at that date. The cash proceeds received from exercises of warrants are recorded in common stock and additional paid-in capital.</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Debt instruments are initially recorded at fair value, with coupon interest and amortization of debt issuance discounts recognized in the statement of operations as interest expense at each period end while such instruments are outstanding. If the Company issues shares to discharge the liability, the debt obligation is derecognized and common stock and additional paid-in capital are recognized on the issuance of those shares.</w:t>
      </w:r>
    </w:p>
    <w:p>
      <w:pPr>
        <w:spacing w:after="0" w:line="80"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Our exchangeable notes contain a conversion option which is classified as equity. The fair value of the liability component of the debt instrument was deducted from the initial proceeds to determine the proceeds to be allocated to the conversion option. The embedded conversion option is indexed to the Company’s stock and treated as equity on the balance sheet. The conversion option is evaluated on a quarterly basis to determine if it still meets the criteria to be equity classified. The excess principal amount of the debt over the carrying value of the liability is amortized over its estimated life.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All subsidiaries use the United States dollar as the functional currency. Monetary assets and liabilities denominated in a foreign currency are remeasured into United States dollars at year-end exchange rates. Non-monetary assets and liabilities carried in a foreign currency are remeasured into United States dollars using rates of exchange prevailing when such assets or liabilities were obtained or incurred, and expenses are generally remeasured using rates of exchange prevailing when such expenses are incurred. Gains and losses from the remeasurement are included in other income, net in the consolidated financial statements of operations. For transactions settled during the period, gains and losses are included in other income, net in the consolidated statements of operations. Foreign exchange gains (and losses) have not been significant in the periods presented.</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8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8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0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following table presents information about the Company’s liability as of June 30, 2012 and December 31, 2011 that is measured at fair value on a recurring basis and indicates the fair value hierarchy of the valuation techniques the Company utilized to determine such fair value:</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422"/>
              <w:spacing w:after="0"/>
              <w:rPr>
                <w:sz w:val="20"/>
                <w:szCs w:val="20"/>
                <w:color w:val="auto"/>
              </w:rPr>
            </w:pPr>
            <w:r>
              <w:rPr>
                <w:rFonts w:ascii="Arial" w:cs="Arial" w:eastAsia="Arial" w:hAnsi="Arial"/>
                <w:sz w:val="14"/>
                <w:szCs w:val="14"/>
                <w:b w:val="1"/>
                <w:bCs w:val="1"/>
                <w:color w:val="auto"/>
                <w:w w:val="85"/>
              </w:rPr>
              <w:t>June 30, 2012</w:t>
            </w: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w w:val="96"/>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56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37,000</w:t>
            </w:r>
          </w:p>
        </w:tc>
        <w:tc>
          <w:tcPr>
            <w:tcW w:w="5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37,000</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Liability:</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620" w:type="dxa"/>
            <w:vAlign w:val="bottom"/>
            <w:gridSpan w:val="2"/>
          </w:tcPr>
          <w:p>
            <w:pPr>
              <w:spacing w:after="0"/>
              <w:rPr>
                <w:sz w:val="20"/>
                <w:szCs w:val="20"/>
                <w:color w:val="auto"/>
              </w:rPr>
            </w:pPr>
            <w:r>
              <w:rPr>
                <w:rFonts w:ascii="Arial" w:cs="Arial" w:eastAsia="Arial" w:hAnsi="Arial"/>
                <w:sz w:val="18"/>
                <w:szCs w:val="18"/>
                <w:color w:val="auto"/>
              </w:rPr>
              <w:t>Warrant derivative liability</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120,214</w:t>
            </w:r>
          </w:p>
        </w:tc>
        <w:tc>
          <w:tcPr>
            <w:tcW w:w="40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120,214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3"/>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center"/>
              <w:ind w:right="59"/>
              <w:spacing w:after="0"/>
              <w:rPr>
                <w:sz w:val="20"/>
                <w:szCs w:val="20"/>
                <w:color w:val="auto"/>
              </w:rPr>
            </w:pPr>
            <w:r>
              <w:rPr>
                <w:rFonts w:ascii="Arial" w:cs="Arial" w:eastAsia="Arial" w:hAnsi="Arial"/>
                <w:sz w:val="14"/>
                <w:szCs w:val="14"/>
                <w:b w:val="1"/>
                <w:bCs w:val="1"/>
                <w:color w:val="auto"/>
                <w:w w:val="85"/>
              </w:rPr>
              <w:t>December 31, 2011</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620" w:type="dxa"/>
            <w:vAlign w:val="bottom"/>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w w:val="96"/>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56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39,000</w:t>
            </w:r>
          </w:p>
        </w:tc>
        <w:tc>
          <w:tcPr>
            <w:tcW w:w="5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39,000</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Liability:</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620" w:type="dxa"/>
            <w:vAlign w:val="bottom"/>
            <w:gridSpan w:val="2"/>
          </w:tcPr>
          <w:p>
            <w:pPr>
              <w:spacing w:after="0"/>
              <w:rPr>
                <w:sz w:val="20"/>
                <w:szCs w:val="20"/>
                <w:color w:val="auto"/>
              </w:rPr>
            </w:pPr>
            <w:r>
              <w:rPr>
                <w:rFonts w:ascii="Arial" w:cs="Arial" w:eastAsia="Arial" w:hAnsi="Arial"/>
                <w:sz w:val="18"/>
                <w:szCs w:val="18"/>
                <w:color w:val="auto"/>
              </w:rPr>
              <w:t>Warrant derivative liability</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123,125</w:t>
            </w:r>
          </w:p>
        </w:tc>
        <w:tc>
          <w:tcPr>
            <w:tcW w:w="5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123,125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cash, cash equivalents, accounts payable and accrued liabilities approximate fair value because of their short-term nature.</w:t>
      </w:r>
    </w:p>
    <w:p>
      <w:pPr>
        <w:spacing w:after="0" w:line="16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December 31, 2011, the fair value of the warrant derivative liability was determined to be $123.1 million using the Black-Scholes option valuation model applying the following assumptions: (i) risk-free rate of 0.36%, (ii) remaining term of 2.8 years, (iii) no dividend yield (iv) volatility of 118%, and (v) the stock price on the date of measurement.</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June 30, 2012, the fair value of the warrant derivative liability was determined to be $120.2 million using the Black-Scholes option valuation model applying the following assumptions: (i) risk-free rate of 0.35%, (ii) remaining term of 2.3 years, (iii) no dividend yield (iv) volatility of 97%, and (v) the stock price on the date of measurement. The $2.9 million decrease in the fair value of the warrant liability during the six months ended June 30, 2012 was recognized as: (i) a $92.3 million transfer from warrant liability to additional paid-in capital for the fair value of warrants exercised during the six months ended June 30, 2012, (ii) a $85.2 million loss on change in fair value of the remaining derivative liability and (iii) $4.2 million compensation expense for change in fair value of warrants issued to former employees, both amounts are included in the consolidated statement of operations for the six months ended June 30, 2012. The change in the fair value of the warrant derivative liability is as follows (in thousands):</w:t>
      </w:r>
    </w:p>
    <w:p>
      <w:pPr>
        <w:spacing w:after="0" w:line="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6"/>
              </w:rPr>
              <w:t>Three months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ended June 30</w:t>
            </w:r>
          </w:p>
        </w:tc>
        <w:tc>
          <w:tcPr>
            <w:tcW w:w="640" w:type="dxa"/>
            <w:vAlign w:val="bottom"/>
          </w:tcPr>
          <w:p>
            <w:pPr>
              <w:spacing w:after="0"/>
              <w:rPr>
                <w:sz w:val="15"/>
                <w:szCs w:val="15"/>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ended 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2011 &amp; December 31, 2010, respectively</w:t>
            </w:r>
          </w:p>
        </w:tc>
        <w:tc>
          <w:tcPr>
            <w:tcW w:w="12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b w:val="1"/>
                <w:bCs w:val="1"/>
                <w:color w:val="auto"/>
              </w:rPr>
              <w:t>$174,819</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w w:val="95"/>
              </w:rPr>
              <w:t>230,069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760" w:type="dxa"/>
            <w:vAlign w:val="bottom"/>
            <w:gridSpan w:val="2"/>
          </w:tcPr>
          <w:p>
            <w:pPr>
              <w:spacing w:after="0"/>
              <w:rPr>
                <w:sz w:val="20"/>
                <w:szCs w:val="20"/>
                <w:color w:val="auto"/>
              </w:rPr>
            </w:pPr>
            <w:r>
              <w:rPr>
                <w:rFonts w:ascii="Arial" w:cs="Arial" w:eastAsia="Arial" w:hAnsi="Arial"/>
                <w:sz w:val="18"/>
                <w:szCs w:val="18"/>
                <w:color w:val="auto"/>
              </w:rPr>
              <w:t>Loss on change in fair value of derivative liability</w:t>
            </w:r>
          </w:p>
        </w:tc>
        <w:tc>
          <w:tcPr>
            <w:tcW w:w="1260" w:type="dxa"/>
            <w:vAlign w:val="bottom"/>
            <w:gridSpan w:val="2"/>
          </w:tcPr>
          <w:p>
            <w:pPr>
              <w:jc w:val="right"/>
              <w:ind w:right="62"/>
              <w:spacing w:after="0"/>
              <w:rPr>
                <w:sz w:val="20"/>
                <w:szCs w:val="20"/>
                <w:color w:val="auto"/>
              </w:rPr>
            </w:pPr>
            <w:r>
              <w:rPr>
                <w:rFonts w:ascii="Arial" w:cs="Arial" w:eastAsia="Arial" w:hAnsi="Arial"/>
                <w:sz w:val="18"/>
                <w:szCs w:val="18"/>
                <w:color w:val="auto"/>
              </w:rPr>
              <w:t>185,359</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56"/>
              <w:spacing w:after="0"/>
              <w:rPr>
                <w:sz w:val="20"/>
                <w:szCs w:val="20"/>
                <w:color w:val="auto"/>
              </w:rPr>
            </w:pPr>
            <w:r>
              <w:rPr>
                <w:rFonts w:ascii="Arial" w:cs="Arial" w:eastAsia="Arial" w:hAnsi="Arial"/>
                <w:sz w:val="18"/>
                <w:szCs w:val="18"/>
                <w:color w:val="auto"/>
                <w:w w:val="95"/>
              </w:rPr>
              <w:t>160,017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4"/>
              </w:rPr>
              <w:t>Compensation expense for change in fair value of warrants issued to former</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40" w:type="dxa"/>
            <w:vAlign w:val="bottom"/>
            <w:shd w:val="clear" w:color="auto" w:fill="CCEEFF"/>
          </w:tcPr>
          <w:p>
            <w:pPr>
              <w:jc w:val="right"/>
              <w:ind w:right="4712"/>
              <w:spacing w:after="0"/>
              <w:rPr>
                <w:sz w:val="20"/>
                <w:szCs w:val="20"/>
                <w:color w:val="auto"/>
              </w:rPr>
            </w:pPr>
            <w:r>
              <w:rPr>
                <w:rFonts w:ascii="Arial" w:cs="Arial" w:eastAsia="Arial" w:hAnsi="Arial"/>
                <w:sz w:val="18"/>
                <w:szCs w:val="18"/>
                <w:color w:val="auto"/>
              </w:rPr>
              <w:t>employees</w:t>
            </w:r>
          </w:p>
        </w:tc>
        <w:tc>
          <w:tcPr>
            <w:tcW w:w="12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5,035</w:t>
            </w: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4,356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Transfers to equity</w:t>
            </w:r>
          </w:p>
        </w:tc>
        <w:tc>
          <w:tcPr>
            <w:tcW w:w="420" w:type="dxa"/>
            <w:vAlign w:val="bottom"/>
          </w:tcPr>
          <w:p>
            <w:pPr>
              <w:spacing w:after="0"/>
              <w:rPr>
                <w:sz w:val="19"/>
                <w:szCs w:val="19"/>
                <w:color w:val="auto"/>
              </w:rPr>
            </w:pPr>
          </w:p>
        </w:tc>
        <w:tc>
          <w:tcPr>
            <w:tcW w:w="84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(79,229)</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(108,458)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2011</w:t>
            </w:r>
          </w:p>
        </w:tc>
        <w:tc>
          <w:tcPr>
            <w:tcW w:w="12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b w:val="1"/>
                <w:bCs w:val="1"/>
                <w:color w:val="auto"/>
              </w:rPr>
              <w:t>$285,984</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8"/>
                <w:szCs w:val="18"/>
                <w:b w:val="1"/>
                <w:bCs w:val="1"/>
                <w:color w:val="auto"/>
                <w:w w:val="95"/>
              </w:rPr>
              <w:t>285,984</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jc w:val="right"/>
              <w:ind w:right="1292"/>
              <w:spacing w:after="0"/>
              <w:rPr>
                <w:sz w:val="20"/>
                <w:szCs w:val="20"/>
                <w:color w:val="auto"/>
              </w:rPr>
            </w:pPr>
            <w:r>
              <w:rPr>
                <w:rFonts w:ascii="Arial" w:cs="Arial" w:eastAsia="Arial" w:hAnsi="Arial"/>
                <w:sz w:val="18"/>
                <w:szCs w:val="18"/>
                <w:color w:val="auto"/>
              </w:rPr>
              <w:t>7</w:t>
            </w: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7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8"/>
              </w:rPr>
              <w:t>Three months</w:t>
            </w:r>
          </w:p>
        </w:tc>
        <w:tc>
          <w:tcPr>
            <w:tcW w:w="56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Six months</w:t>
            </w:r>
          </w:p>
        </w:tc>
      </w:tr>
      <w:tr>
        <w:trPr>
          <w:trHeight w:val="174"/>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4"/>
              </w:rPr>
              <w:t>ended June 30</w:t>
            </w:r>
          </w:p>
        </w:tc>
        <w:tc>
          <w:tcPr>
            <w:tcW w:w="56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ended June 30</w:t>
            </w:r>
          </w:p>
        </w:tc>
      </w:tr>
      <w:tr>
        <w:trPr>
          <w:trHeight w:val="129"/>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2012 &amp; December 31, 2011, respectively</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8"/>
                <w:szCs w:val="18"/>
                <w:b w:val="1"/>
                <w:bCs w:val="1"/>
                <w:color w:val="auto"/>
                <w:w w:val="89"/>
              </w:rPr>
              <w:t>$ 191,387</w:t>
            </w:r>
          </w:p>
        </w:tc>
        <w:tc>
          <w:tcPr>
            <w:tcW w:w="144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b w:val="1"/>
                <w:bCs w:val="1"/>
                <w:color w:val="auto"/>
              </w:rPr>
              <w:t>$ 123,125</w:t>
            </w:r>
          </w:p>
        </w:tc>
        <w:tc>
          <w:tcPr>
            <w:tcW w:w="100" w:type="dxa"/>
            <w:vAlign w:val="bottom"/>
            <w:shd w:val="clear" w:color="auto" w:fill="CCEEFF"/>
          </w:tcPr>
          <w:p>
            <w:pPr>
              <w:spacing w:after="0"/>
              <w:rPr>
                <w:sz w:val="18"/>
                <w:szCs w:val="18"/>
                <w:color w:val="auto"/>
              </w:rPr>
            </w:pPr>
          </w:p>
        </w:tc>
      </w:tr>
      <w:tr>
        <w:trPr>
          <w:trHeight w:val="282"/>
        </w:trPr>
        <w:tc>
          <w:tcPr>
            <w:tcW w:w="6260" w:type="dxa"/>
            <w:vAlign w:val="bottom"/>
            <w:gridSpan w:val="2"/>
          </w:tcPr>
          <w:p>
            <w:pPr>
              <w:spacing w:after="0"/>
              <w:rPr>
                <w:sz w:val="20"/>
                <w:szCs w:val="20"/>
                <w:color w:val="auto"/>
              </w:rPr>
            </w:pPr>
            <w:r>
              <w:rPr>
                <w:rFonts w:ascii="Arial" w:cs="Arial" w:eastAsia="Arial" w:hAnsi="Arial"/>
                <w:sz w:val="18"/>
                <w:szCs w:val="18"/>
                <w:color w:val="auto"/>
              </w:rPr>
              <w:t>Loss on change in fair value of derivative liability</w:t>
            </w:r>
          </w:p>
        </w:tc>
        <w:tc>
          <w:tcPr>
            <w:tcW w:w="880" w:type="dxa"/>
            <w:vAlign w:val="bottom"/>
          </w:tcPr>
          <w:p>
            <w:pPr>
              <w:jc w:val="right"/>
              <w:ind w:right="58"/>
              <w:spacing w:after="0"/>
              <w:rPr>
                <w:sz w:val="20"/>
                <w:szCs w:val="20"/>
                <w:color w:val="auto"/>
              </w:rPr>
            </w:pPr>
            <w:r>
              <w:rPr>
                <w:rFonts w:ascii="Arial" w:cs="Arial" w:eastAsia="Arial" w:hAnsi="Arial"/>
                <w:sz w:val="18"/>
                <w:szCs w:val="18"/>
                <w:color w:val="auto"/>
              </w:rPr>
              <w:t>18,930</w:t>
            </w:r>
          </w:p>
        </w:tc>
        <w:tc>
          <w:tcPr>
            <w:tcW w:w="1440" w:type="dxa"/>
            <w:vAlign w:val="bottom"/>
            <w:gridSpan w:val="2"/>
          </w:tcPr>
          <w:p>
            <w:pPr>
              <w:jc w:val="right"/>
              <w:ind w:right="66"/>
              <w:spacing w:after="0"/>
              <w:rPr>
                <w:sz w:val="20"/>
                <w:szCs w:val="20"/>
                <w:color w:val="auto"/>
              </w:rPr>
            </w:pPr>
            <w:r>
              <w:rPr>
                <w:rFonts w:ascii="Arial" w:cs="Arial" w:eastAsia="Arial" w:hAnsi="Arial"/>
                <w:sz w:val="18"/>
                <w:szCs w:val="18"/>
                <w:color w:val="auto"/>
              </w:rPr>
              <w:t>85,139</w:t>
            </w: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 for change in fair value of warrants issued to former</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employees</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1,858</w:t>
            </w:r>
          </w:p>
        </w:tc>
        <w:tc>
          <w:tcPr>
            <w:tcW w:w="144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4,232</w:t>
            </w:r>
          </w:p>
        </w:tc>
        <w:tc>
          <w:tcPr>
            <w:tcW w:w="1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Transfers to equity</w:t>
            </w:r>
          </w:p>
        </w:tc>
        <w:tc>
          <w:tcPr>
            <w:tcW w:w="88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(91,961)</w:t>
            </w:r>
          </w:p>
        </w:tc>
        <w:tc>
          <w:tcPr>
            <w:tcW w:w="560" w:type="dxa"/>
            <w:vAlign w:val="bottom"/>
          </w:tcPr>
          <w:p>
            <w:pPr>
              <w:spacing w:after="0"/>
              <w:rPr>
                <w:sz w:val="19"/>
                <w:szCs w:val="19"/>
                <w:color w:val="auto"/>
              </w:rPr>
            </w:pPr>
          </w:p>
        </w:tc>
        <w:tc>
          <w:tcPr>
            <w:tcW w:w="880" w:type="dxa"/>
            <w:vAlign w:val="bottom"/>
            <w:tcBorders>
              <w:bottom w:val="single" w:sz="8" w:color="auto"/>
            </w:tcBorders>
          </w:tcPr>
          <w:p>
            <w:pPr>
              <w:jc w:val="right"/>
              <w:ind w:right="66"/>
              <w:spacing w:after="0"/>
              <w:rPr>
                <w:sz w:val="20"/>
                <w:szCs w:val="20"/>
                <w:color w:val="auto"/>
              </w:rPr>
            </w:pPr>
            <w:r>
              <w:rPr>
                <w:rFonts w:ascii="Arial" w:cs="Arial" w:eastAsia="Arial" w:hAnsi="Arial"/>
                <w:sz w:val="18"/>
                <w:szCs w:val="18"/>
                <w:color w:val="auto"/>
              </w:rPr>
              <w:t>(92,282)</w:t>
            </w:r>
          </w:p>
        </w:tc>
        <w:tc>
          <w:tcPr>
            <w:tcW w:w="100" w:type="dxa"/>
            <w:vAlign w:val="bottom"/>
          </w:tcPr>
          <w:p>
            <w:pPr>
              <w:spacing w:after="0"/>
              <w:rPr>
                <w:sz w:val="19"/>
                <w:szCs w:val="19"/>
                <w:color w:val="auto"/>
              </w:rPr>
            </w:pPr>
          </w:p>
        </w:tc>
      </w:tr>
      <w:tr>
        <w:trPr>
          <w:trHeight w:val="284"/>
        </w:trPr>
        <w:tc>
          <w:tcPr>
            <w:tcW w:w="20" w:type="dxa"/>
            <w:vAlign w:val="bottom"/>
          </w:tcPr>
          <w:p>
            <w:pPr>
              <w:spacing w:after="0"/>
              <w:rPr>
                <w:sz w:val="24"/>
                <w:szCs w:val="24"/>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June 30, 2012</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8"/>
                <w:szCs w:val="18"/>
                <w:b w:val="1"/>
                <w:bCs w:val="1"/>
                <w:color w:val="auto"/>
                <w:w w:val="89"/>
              </w:rPr>
              <w:t>$ 120,214</w:t>
            </w:r>
          </w:p>
        </w:tc>
        <w:tc>
          <w:tcPr>
            <w:tcW w:w="144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b w:val="1"/>
                <w:bCs w:val="1"/>
                <w:color w:val="auto"/>
              </w:rPr>
              <w:t>$ 120,214</w:t>
            </w:r>
          </w:p>
        </w:tc>
        <w:tc>
          <w:tcPr>
            <w:tcW w:w="100" w:type="dxa"/>
            <w:vAlign w:val="bottom"/>
            <w:shd w:val="clear" w:color="auto" w:fill="CCEEFF"/>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fair value of this warrant liability is determined using the Black-Scholes option valuation model and is therefore sensitive to changes in the market price of our common stock among other factors. In the event of a hypothetical 10% increase in the market price of our common stock ($15.91 based on the $14.46 market price of our stock at June 30, 2012) on which the June 30, 2012 valuation was based, the value would have increased by $13.2 million. Such increase would have been reflected as additional loss on revaluation of the warrant liability in our statement of operations. Significant increases (decreases) in this input in isolation would result in a significantly higher (lower) fair value asset measurement.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the three and six months ended June 30, 2012 and 2011, the Company has reported its business as a single reporting segment. The Company’s chief decision maker, who is the Chief Executive Officer, regularly evaluates the Company on a consolidated basis.</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90"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From time to time, new accounting pronouncements are issued by FASB and are adopted by the Company as of the specified effective date. The Company believes that the impact of other recently issued but not yet adopted accounting pronouncements will not have a material impact on consolidated financial position, results of operations, and cash flows, or do not apply to the Company’s operations.</w:t>
      </w:r>
    </w:p>
    <w:p>
      <w:pPr>
        <w:spacing w:after="0" w:line="21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Warrants and Derivative Liability</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had 11,292,993 warrants to purchase common shares outstanding at June 30, 2012 at a weighted-average exercise price of $1.44, as summarized in the following table: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Issue Date</w:t>
            </w:r>
          </w:p>
        </w:tc>
        <w:tc>
          <w:tcPr>
            <w:tcW w:w="1760" w:type="dxa"/>
            <w:vAlign w:val="bottom"/>
            <w:gridSpan w:val="3"/>
          </w:tcPr>
          <w:p>
            <w:pPr>
              <w:ind w:left="300"/>
              <w:spacing w:after="0"/>
              <w:rPr>
                <w:sz w:val="20"/>
                <w:szCs w:val="20"/>
                <w:color w:val="auto"/>
              </w:rPr>
            </w:pPr>
            <w:r>
              <w:rPr>
                <w:rFonts w:ascii="Arial" w:cs="Arial" w:eastAsia="Arial" w:hAnsi="Arial"/>
                <w:sz w:val="14"/>
                <w:szCs w:val="14"/>
                <w:b w:val="1"/>
                <w:bCs w:val="1"/>
                <w:color w:val="auto"/>
              </w:rPr>
              <w:t>Amount</w:t>
            </w: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Exercise Price</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Expiration Date</w:t>
            </w:r>
          </w:p>
        </w:tc>
      </w:tr>
      <w:tr>
        <w:trPr>
          <w:trHeight w:val="203"/>
        </w:trPr>
        <w:tc>
          <w:tcPr>
            <w:tcW w:w="60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w w:val="96"/>
              </w:rPr>
              <w:t>4/27/07</w:t>
            </w:r>
          </w:p>
        </w:tc>
        <w:tc>
          <w:tcPr>
            <w:tcW w:w="4440" w:type="dxa"/>
            <w:vAlign w:val="bottom"/>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17,500</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17.90</w:t>
            </w:r>
          </w:p>
        </w:tc>
        <w:tc>
          <w:tcPr>
            <w:tcW w:w="660" w:type="dxa"/>
            <w:vAlign w:val="bottom"/>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1/17/2014</w:t>
            </w:r>
          </w:p>
        </w:tc>
        <w:tc>
          <w:tcPr>
            <w:tcW w:w="100" w:type="dxa"/>
            <w:vAlign w:val="bottom"/>
          </w:tcPr>
          <w:p>
            <w:pPr>
              <w:spacing w:after="0"/>
              <w:rPr>
                <w:sz w:val="17"/>
                <w:szCs w:val="17"/>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96"/>
              </w:rPr>
              <w:t>12/5/07</w:t>
            </w:r>
          </w:p>
        </w:tc>
        <w:tc>
          <w:tcPr>
            <w:tcW w:w="4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307,967</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1.17</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12/3/12</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6"/>
              </w:rPr>
              <w:t>7/31/09</w:t>
            </w:r>
          </w:p>
        </w:tc>
        <w:tc>
          <w:tcPr>
            <w:tcW w:w="44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138,888</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7/30/14</w:t>
            </w: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96"/>
              </w:rPr>
              <w:t>7/31/09</w:t>
            </w:r>
          </w:p>
        </w:tc>
        <w:tc>
          <w:tcPr>
            <w:tcW w:w="4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1,666,000</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7/30/14</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10/16/09</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8,515,588</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1.50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10/15/14</w:t>
            </w: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10/16/09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647,050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10/15/14</w:t>
            </w:r>
          </w:p>
        </w:tc>
      </w:tr>
      <w:tr>
        <w:trPr>
          <w:trHeight w:val="406"/>
        </w:trPr>
        <w:tc>
          <w:tcPr>
            <w:tcW w:w="6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11,292,993</w:t>
            </w:r>
          </w:p>
        </w:tc>
        <w:tc>
          <w:tcPr>
            <w:tcW w:w="640" w:type="dxa"/>
            <w:vAlign w:val="bottom"/>
          </w:tcPr>
          <w:p>
            <w:pPr>
              <w:spacing w:after="0"/>
              <w:rPr>
                <w:sz w:val="24"/>
                <w:szCs w:val="24"/>
                <w:color w:val="auto"/>
              </w:rPr>
            </w:pPr>
          </w:p>
        </w:tc>
        <w:tc>
          <w:tcPr>
            <w:tcW w:w="320" w:type="dxa"/>
            <w:vAlign w:val="bottom"/>
          </w:tcPr>
          <w:p>
            <w:pPr>
              <w:jc w:val="right"/>
              <w:ind w:right="168"/>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1.44</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
        </w:trPr>
        <w:tc>
          <w:tcPr>
            <w:tcW w:w="6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October 2009 Warrants</w:t>
      </w:r>
    </w:p>
    <w:p>
      <w:pPr>
        <w:spacing w:after="0" w:line="9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October 16, 2009, the Company completed a $70.0 million private placement with both existing and new investors resulting in $62.3 million in net proceeds and an additional $3.6 million from bridge notes converted in conjunction with the private placement. In consideration for the $62.3 million in net cash proceeds Amarin issued 66.4 million units, each unit consisting of (i) one ADS (representing one ordinary share) at a purchase price of $1.00 and (ii) a warrant with a five year term to purchase 0.5 of an ADS at an exercise price of $1.50 per ADS. In consideration for the conversion of $3.6 million of convertible bridge notes, Amarin issued 4.0 million units, each unit consisting of (i) one ADS (representing one ordinary share) at a purchase price of $0.90 and (ii) a warrant with a five year term to purchase 0.5 of an ADS at an exercise price of $1.50 per ADS. The total number of warrants issued in conjunction with the financing was 35.2 million.</w:t>
      </w:r>
    </w:p>
    <w:p>
      <w:pPr>
        <w:spacing w:after="0" w:line="120"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The warrants issued in connection with the October 2009 financing contain a pricing variability feature which provides for an increase to the exercise price if the exchange rate between the U.S. dollar and British pound adjusts such that the warrants could be issued at a price less than the £0.5 par value of the common stock</w:t>
      </w:r>
    </w:p>
    <w:p>
      <w:pPr>
        <w:ind w:right="20"/>
        <w:spacing w:after="0" w:line="253" w:lineRule="auto"/>
        <w:rPr>
          <w:sz w:val="20"/>
          <w:szCs w:val="20"/>
          <w:color w:val="auto"/>
        </w:rPr>
      </w:pPr>
      <w:r>
        <w:rPr>
          <w:rFonts w:ascii="Arial" w:cs="Arial" w:eastAsia="Arial" w:hAnsi="Arial"/>
          <w:sz w:val="18"/>
          <w:szCs w:val="18"/>
          <w:color w:val="auto"/>
        </w:rPr>
        <w:t>– that is, if the exchange rate exceeds U.S. $3.00 per £1.0 sterling. Due to the potential variable nature of the exercise price, the warrants are not considered to be indexed to the Company’s common stock. Accordingly, the warrants do not qualify for the exception to classify the warrants within equity and are classified as a derivative liability. The fair value of this warrant derivative liability is remeasured at each reporting period, with changes in fair value recognized in the statement of operations. The fair value of the warrants at December 31, 2011 was determined to be approximately $123.1 million using the Black-Scholes option pricing model.</w:t>
      </w:r>
    </w:p>
    <w:p>
      <w:pPr>
        <w:spacing w:after="0" w:line="118"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Although the warrants contain a pricing variability feature, the number of common shares issuable under the warrants remains fixed. Therefore, as of June 30, 2012 the maximum number of common shares issuable as a result of the October 2009 private placement is 9.2 million. During the three and six months ended June 30, 2012, approximately 9.51 million, and 9.55 million of the October 2009 warrants were exercised, respectively, resulting in gross proceeds to the Company of approximately $14.26 million and $14.32 million, respectively. During the three and</w:t>
      </w:r>
    </w:p>
    <w:p>
      <w:pPr>
        <w:sectPr>
          <w:pgSz w:w="11900" w:h="16838" w:orient="portrait"/>
          <w:cols w:equalWidth="0" w:num="1">
            <w:col w:w="11380"/>
          </w:cols>
          <w:pgMar w:left="240" w:top="459" w:right="279" w:bottom="1440" w:gutter="0" w:footer="0" w:header="0"/>
        </w:sectPr>
      </w:pP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80"/>
          </w:cols>
          <w:pgMar w:left="240" w:top="459" w:right="2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six months ended June 30, 2011, approximately 5.6 million and 9.6 million of the October 2009 warrants were exercised, respectively, resulting in gross proceeds to the Company of approximately $8.4 million and $14.3 million, respectively. Upon exercise, the fair value of the warrants exercised is remeasured and reclassified from warrant liability to additional paid-in capital. During the six months ended June 30, 2012 and 2011, the fair value of the exercised warrants of $92.3 million and $108.5 million, respectively, was transferred from warrant liability to additional paid in capital with the change in the fair value on the exercise date recognized in the statement of operations. The fair value of the warrant liability at June 30, 2012 for the remaining warrants was determined to be approximately $120.2 million. The Company recognized a loss on change in fair value of derivative liability of $85.2 million and compensation expense of $4.2 million for the six month period ended June 30, 2012. The Company recognized a loss on change in fair value of derivative liability of $160 million and compensation expense of $4.4 million for the six month period ended June 30, 2011.</w:t>
      </w:r>
    </w:p>
    <w:p>
      <w:pPr>
        <w:spacing w:after="0" w:line="23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Exchangeable Senior Notes</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January 2012, the Company issued $150.0 million in principal amount of 3.5% Exchangeable Senior Notes due 2032 (the “Notes”). The Notes were issued by Corsicanto Limited, an Irish limited company acquired by Amarin in January 2012. Corsicanto Limited is a wholly-owned subsidiary of Amarin. The general, unsecured, senior obligations are guaranteed by Amarin. Net proceeds to the Company, after payment of underwriting fees and estimated expenses, were approximately $144.3 million.</w:t>
      </w:r>
    </w:p>
    <w:p>
      <w:pPr>
        <w:spacing w:after="0" w:line="1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Notes have a stated interest rate of 3.5% per year, payable semiannually in arrears on January 15 and July 15 of each year beginning on July 15, 2012, and ending upon the Notes’ maturity on January 15, 2032. The Notes are subject to repurchase by the Company at the option of the holders on each of January 19, 2017, January 19, 2022, and January 19, 2027, at a price equal to 100% of the principal amount of the Notes to be repurchased, plus accrued and unpaid interest to, but excluding, the repurchase date. The Notes are exchangeable under certain circumstances into cash, ADSs, or a combination of cash and ADSs, at the Company’s election, with an initial exchange rate of 113.4752 ADSs per $1,000 principal amount of Notes. If the Company elected physical settlement, the Notes would initially be exchangeable into 17,021,280 ADSs. Based on the closing price of the Company’s stock at June 30, 2012, the value of the shares if converted on that date would exceed the principal amount of the Notes by $96.1 million.</w:t>
      </w:r>
    </w:p>
    <w:p>
      <w:pPr>
        <w:spacing w:after="0" w:line="9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Additional covenants include: (i) limitations on any future indebtedness, (ii) the timely filing of documents and reports pursuant to Section 13 or 15(d) of the Exchange Act with both the SEC and the Trustee, and (iii) maintaining the tradability of the Notes. The Company is required to use commercially reasonable efforts to procure and maintain the listing of the Notes on the Global Exchange Market operated under the supervision of the Irish Stock Exchange (or other recognized stock exchange as defined in the Note Indenture) prior to July 15, 2012. If the Notes are not freely tradable, as a result of restrictions pursuant to U.S. securities law or the terms of the Indenture or the Notes, the Company shall pay additional interest on the Notes at the rate of 0.50% per annum of the principal amount of Notes outstanding for each day during such period for which the Company’s failure to file has occurred and is continuing or for which the Notes are not freely tradable. On April 24, 2012 the Notes were admitted to the Global Exchange Market of the Irish Stock Exchange.</w:t>
      </w:r>
    </w:p>
    <w:p>
      <w:pPr>
        <w:spacing w:after="0" w:line="9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Company may not redeem the Notes prior to January 19, 2017, other than in connection with certain changes in the tax law of a relevant taxing jurisdiction that results in additional amounts becoming due with respect to payments and/or deliveries on the Notes. On or after January 19, 2017 and prior to the maturity date, the Company may redeem for cash all or part of the Notes at a redemption price equal to 100% of the principal amount of the Notes to be redeemed, plus accrued and unpaid interest to, but excluding, the redemption date. No sinking fund is provided for the Notes. If the Company undergoes a fundamental change, holders may require the Company to repurchase for cash all or part of their Notes at a repurchase price equal to 100% of the principal amount of the Notes to be repurchased, plus accrued and unpaid interest to, but excluding, the fundamental change repurchase date. The Notes are the Company’s senior unsecured obligations and rank senior in right of payment to the Company’s future indebtedness that is expressly subordinated in right of payment to the Notes and equal in right of payment to the Company’s future unsecured indebtedness that is not so subordinated. The Notes are effectively junior in right of payment to future secured indebtedness to the extent of the value of the assets securing such indebtedness.</w:t>
      </w:r>
    </w:p>
    <w:p>
      <w:pPr>
        <w:spacing w:after="0" w:line="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Notes are exchangeable under certain circumstances, and the proceeds allocated to this conversion option were determined to be $23.8 million and were deducted from the initial fair value of the $150.0 million debt obligation. The conversion option will not be subsequently remeasured as long as it continues to meet conditions for equity classification. The Notes fell under Level 3 of the fair value hierarchy. The Company determined the fair value of the liability component of the Notes to be $126.2 million, and the excess of the principal amount of the liability component over the liability is the amount allocated to the conversion option and also results in a discount on the debt. The discount created from allocating proceeds to the conversion option will be amortized to interest expense using the effective interest method over the Notes’ estimated remaining life, which was calculated to be a period of twenty-four months. The effective interest rate of the Notes is 13.5%. As of June 30, 2012, the unamortized discount created from the allocation of the proceeds to the conversion option was $18.8 million.</w:t>
      </w:r>
    </w:p>
    <w:p>
      <w:pPr>
        <w:spacing w:after="0" w:line="11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also recorded a debt discount to reflect the value of the underwriter’s discounts and offering costs. A portion of the debt discount from underwriters discounts and offering costs was allocated to the equity and liability components of the Notes in proportion to the proceeds allocated to each component. The portion of the debt discount from underwriters discounts and offering costs allocated to the liability component is being amortized as interest expense over the estimated remaining life of the Notes of twenty-four months. As of June 30, 2012, the unamortized debt discount was $3.8 million and was recorded as a direct reduction of debt on the balance sheet. The carrying value of the Notes, net of the unamortized discount, was $127.4 million. During the three and six months ended June 30, 2012, the Company recognized interest expense of $4.5 million and $8.5 million related to the Notes, respectively, of which $2.7 million and $5.0 million represents amortization of the debt discount created upon allocation of proceeds to the conversion option, respectively, $1.3 million and $2.5 million represents contractual coupon interest, respectively, and $0.5 million and $1.0 million represents the amortization of the discount from the underwriter’s discounts and offering costs, respectively. At June 30, 2012, the Company had accrued interest of $2.7 million, which has been included in other current liabilities.</w:t>
      </w:r>
    </w:p>
    <w:p>
      <w:pPr>
        <w:sectPr>
          <w:pgSz w:w="11900" w:h="16838" w:orient="portrait"/>
          <w:cols w:equalWidth="0" w:num="1">
            <w:col w:w="11420"/>
          </w:cols>
          <w:pgMar w:left="240" w:top="459" w:right="23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 July 2012, the first interest payment of $2.7 million was paid as scheduled.</w:t>
      </w:r>
    </w:p>
    <w:p>
      <w:pPr>
        <w:spacing w:after="0" w:line="287" w:lineRule="exact"/>
        <w:rPr>
          <w:sz w:val="20"/>
          <w:szCs w:val="20"/>
          <w:color w:val="auto"/>
        </w:rPr>
      </w:pPr>
    </w:p>
    <w:p>
      <w:pPr>
        <w:ind w:left="240" w:right="8460" w:hanging="232"/>
        <w:spacing w:after="0" w:line="417" w:lineRule="auto"/>
        <w:tabs>
          <w:tab w:leader="none" w:pos="458"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u w:val="single" w:color="auto"/>
          <w:color w:val="auto"/>
        </w:rPr>
        <w:t>Royalty and Milestone Obligations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2012, the Company is party to certain milestone and royalty obligations under several product development agreements, as follows:</w:t>
      </w:r>
    </w:p>
    <w:p>
      <w:pPr>
        <w:spacing w:after="0" w:line="154" w:lineRule="exact"/>
        <w:rPr>
          <w:sz w:val="20"/>
          <w:szCs w:val="20"/>
          <w:color w:val="auto"/>
        </w:rPr>
      </w:pPr>
    </w:p>
    <w:p>
      <w:pPr>
        <w:ind w:left="900" w:right="180" w:hanging="325"/>
        <w:spacing w:after="0" w:line="294"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2010 supply agreement with the Company’s existing Japan-based supplier requires a one-time non-refundable payment of $0.5 million to the supplier upon the first marketing approval of Vascepa in the United States, which was received in July 2012. In addition, the supply agreement provides for minimum supply purchase obligations on behalf of the Company. Subsequent to this marketing approval, such aggregate minimum purchase obligations from the supplier are approximately $35.3 million covering purchases made during the six-month period following marketing approval. In preparation for the commercialization of Vascepa the Company may purchase more than this minimum amount.</w:t>
      </w:r>
    </w:p>
    <w:p>
      <w:pPr>
        <w:spacing w:after="0" w:line="75" w:lineRule="exact"/>
        <w:rPr>
          <w:rFonts w:ascii="Arial" w:cs="Arial" w:eastAsia="Arial" w:hAnsi="Arial"/>
          <w:sz w:val="16"/>
          <w:szCs w:val="16"/>
          <w:color w:val="auto"/>
        </w:rPr>
      </w:pPr>
    </w:p>
    <w:p>
      <w:pPr>
        <w:ind w:left="900" w:right="20" w:hanging="325"/>
        <w:spacing w:after="0" w:line="286"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signed two additional agreements in 2011 for the supply of API materials for Vascepa. The Company recently agreed to terms with a fourth API supplier, which terms are subject to contingencies that the Company anticipate will be satisfied in 2012. These agreements provide access to additional API supply that is incremental to supply from its existing Japan-based API supplier. These agreements include requirements for the suppliers to qualify their materials and facilities with applicable regulatory authorities including the FDA. The Company anticipates incurring certain costs associated with the qualification of product produced by these suppliers as described below. In each case, following FDA approval of Vascepa and qualification of the supplier for the manufacture of API for commercial sale, these agreements include annual purchase levels to enable Amarin to maintain exclusivity with each respective supplier, and to prevent potential termination of the agreements. Because the Company had not yet obtained FDA approval for Vascepa nor have these suppliers been qualified for the manufacture of API for commercial sale as of June 30, 2012, no liability has been recorded for these minimum purchase obligations. The 2011 supply agreements also include (i) development fees up to a maximum of $0.5 million (ii) material commitments of up to $5.0 million for initial raw materials, which will be credited against future API purchases and is refundable to Amarin if the supplier does not successfully develop and qualify the API by a certain date and (iii) a raw material purchase commitment of $1.1 million. The agreement with the fourth API supplier, when all contingencies are eliminated by the supplier, provides for development fees of up to $2.3 million and a commitment of up to $15.0 million which will be credited against future API material purchases.</w:t>
      </w:r>
    </w:p>
    <w:p>
      <w:pPr>
        <w:spacing w:after="0" w:line="80" w:lineRule="exact"/>
        <w:rPr>
          <w:rFonts w:ascii="Arial" w:cs="Arial" w:eastAsia="Arial" w:hAnsi="Arial"/>
          <w:sz w:val="16"/>
          <w:szCs w:val="16"/>
          <w:color w:val="auto"/>
        </w:rPr>
      </w:pPr>
    </w:p>
    <w:p>
      <w:pPr>
        <w:ind w:left="900" w:hanging="325"/>
        <w:spacing w:after="0" w:line="294"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Concurrent with its entry into one of the two agreements entered into in 2011 for the supply of API materials for Vascepa, Amarin agreed to make a noncontrolling minority share equity investment in the supplier of up to $3.3 million. In July 2011, the Company invested $1.7 million under this agreement, and an additional $0.8 million in May 2012. These amounts have been included in other long term assets and accounted for under the cost method at June 30, 2012. The Company invested an additional $0.4 million under this agreement, as amended in July 2012, and anticipates making the remaining $0.4 million investment before the end of 2012.</w:t>
      </w:r>
    </w:p>
    <w:p>
      <w:pPr>
        <w:spacing w:after="0" w:line="75" w:lineRule="exact"/>
        <w:rPr>
          <w:rFonts w:ascii="Arial" w:cs="Arial" w:eastAsia="Arial" w:hAnsi="Arial"/>
          <w:sz w:val="16"/>
          <w:szCs w:val="16"/>
          <w:color w:val="auto"/>
        </w:rPr>
      </w:pPr>
    </w:p>
    <w:p>
      <w:pPr>
        <w:ind w:left="900" w:right="14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 the 2009 Lorazepam sale agreement with Elan Pharma International Ltd, Elan did not assume any obligations under a related development agreement with Neurostat Pharmaceuticals Inc. and, as a result, Amarin retained a potential obligation to make a $0.2 million milestone payment to Neurostat, contingent upon the drug being tested by Elan in an efficacy study.</w:t>
      </w:r>
    </w:p>
    <w:p>
      <w:pPr>
        <w:spacing w:after="0" w:line="99" w:lineRule="exact"/>
        <w:rPr>
          <w:rFonts w:ascii="Arial" w:cs="Arial" w:eastAsia="Arial" w:hAnsi="Arial"/>
          <w:sz w:val="18"/>
          <w:szCs w:val="18"/>
          <w:color w:val="auto"/>
        </w:rPr>
      </w:pPr>
    </w:p>
    <w:p>
      <w:pPr>
        <w:ind w:left="900" w:right="120" w:hanging="325"/>
        <w:spacing w:after="0" w:line="284"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Under the 2004 share repurchase agreement with Laxdale Limited, in connection with commercialization of Vascepa for cardiovascular indications, prior to the end of 2012 the Company is required to pay potential royalties to a former employee of Laxdale of 1% on net sales up to £100 million (approximately $156 million at June 30, 2012); 0.5% for net sales between £100 million (approximately $156 million at June 30, 2012) and</w:t>
      </w:r>
    </w:p>
    <w:p>
      <w:pPr>
        <w:spacing w:after="0" w:line="1" w:lineRule="exact"/>
        <w:rPr>
          <w:rFonts w:ascii="Arial" w:cs="Arial" w:eastAsia="Arial" w:hAnsi="Arial"/>
          <w:sz w:val="16"/>
          <w:szCs w:val="16"/>
          <w:color w:val="auto"/>
        </w:rPr>
      </w:pPr>
    </w:p>
    <w:p>
      <w:pPr>
        <w:ind w:left="900" w:right="480"/>
        <w:spacing w:after="0" w:line="261" w:lineRule="auto"/>
        <w:rPr>
          <w:rFonts w:ascii="Arial" w:cs="Arial" w:eastAsia="Arial" w:hAnsi="Arial"/>
          <w:sz w:val="16"/>
          <w:szCs w:val="16"/>
          <w:color w:val="auto"/>
        </w:rPr>
      </w:pPr>
      <w:r>
        <w:rPr>
          <w:rFonts w:ascii="Arial" w:cs="Arial" w:eastAsia="Arial" w:hAnsi="Arial"/>
          <w:sz w:val="18"/>
          <w:szCs w:val="18"/>
          <w:color w:val="auto"/>
        </w:rPr>
        <w:t>£500 million (approximately $780.7 million at June 30, 2012); and 0.25% for sales in excess of £500 million (approximately $780.7 million at June 30, 2012). These royalty obligations terminate on December 31, 2012.</w:t>
      </w:r>
    </w:p>
    <w:p>
      <w:pPr>
        <w:spacing w:after="0" w:line="97" w:lineRule="exact"/>
        <w:rPr>
          <w:rFonts w:ascii="Arial" w:cs="Arial" w:eastAsia="Arial" w:hAnsi="Arial"/>
          <w:sz w:val="16"/>
          <w:szCs w:val="16"/>
          <w:color w:val="auto"/>
        </w:rPr>
      </w:pPr>
    </w:p>
    <w:p>
      <w:pPr>
        <w:ind w:left="900" w:right="40" w:hanging="325"/>
        <w:spacing w:after="0" w:line="289"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Also under the 2004 share repurchase agreement with Laxdale Limited, upon receipt of marketing approval in the U.S. and/or Europe for the first indication for Vascepa (or first indication of any product containing Amarin Neuroscience intellectual property acquired from Laxdale Limited in 2004), the Company must make an aggregate stock or cash payment to the former shareholders of Laxdale Limited (at the sole option of each of the sellers) of £7.5 million (approximately $11.7 million at June 30, 2012) for each of the two potential marketing approvals (i.e. £15 million maximum, or approximately $23.4 million at June 30, 2012). In addition, upon receipt of a marketing approval in the U.S. or Europe for a further indication of Vascepa (or further indication of any other product using Amarin Neuroscience intellectual property), the Company must make an aggregate stock or cash payment (at the sole option of each of the sellers) of £5 million (approximately $7.8 million at June 30, 2012) for each of the two potential market approvals (i.e. £10 million maximum, or approximately $15.6 million at June 30, 2012).</w:t>
      </w:r>
    </w:p>
    <w:p>
      <w:pPr>
        <w:spacing w:after="0" w:line="9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had no provision for any of the obligations above since the amounts are either not probable or estimable at June 30, 2012. Upon FDA approval of Vascepa in July 2012 for commercial marketing in the United States, the Company accrued the liability associated with the former shareholders of Laxdale Limited as well as certain liabilities under its commercial supply contracts as described above.</w:t>
      </w:r>
    </w:p>
    <w:p>
      <w:pPr>
        <w:spacing w:after="0" w:line="21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During the three and six months ended June 30, 2012, the Company issued 1,931,388 and 2,485,647 shares, respectively, as a result of the exercise of stock options, resulting in gross proceeds of $5.9 million and $6.7 million, respectively, and net proceeds of $5.88 million and $6.67 million, respectively. In addition, during the three and six months ended June 30, 2012, the Company issued 9,772,622, and 9,812,622 shares, respectively, as a result of the exercise of warrants, resulting in gross proceeds of $14.9 million and $14.96 million respectively, and net proceeds of $14.87 million and $14.93 million, respectively.</w:t>
      </w:r>
    </w:p>
    <w:p>
      <w:pPr>
        <w:sectPr>
          <w:pgSz w:w="11900" w:h="16838" w:orient="portrait"/>
          <w:cols w:equalWidth="0" w:num="1">
            <w:col w:w="11400"/>
          </w:cols>
          <w:pgMar w:left="240" w:top="459" w:right="259" w:bottom="1440"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459" w:right="2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February 1, 2012, the Company granted 584,400 restricted stock units (“RSU’s”) to several employees under the Amarin Corporation plc 2011 Stock Incentive Plan. These RSUs vest upon the achievement of certain regulatory and time-based milestones and expire on February 1, 2015 if none of the milestones are achieved by such date. The RSUs will become fully vested upon a change of control of the Company. Upon vesting of each RSU, the participant shall be entitled to a payment equal to the fair market value of one share of Amarin common stock. The payment shall be paid to the participant in cash, or at the sole discretion of the Remuneration Committee in shares or a combination of cash or shares. The fair value of the RSUs were determined on the date of grant, and compensation expense related to the RSUs is recognized once the related milestone is deemed probable. The Company recorded expense of $0.6 million and $1.0 million during the three and six months ended June 30, 2012 related to the vesting of the RSUs, respectively. In connection with FDA approval of Vascepa in July 2012, an aggregate of 97,398 of our shares were issued under these RSUs.</w:t>
      </w:r>
    </w:p>
    <w:p>
      <w:pPr>
        <w:spacing w:after="0" w:line="91"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During the three and six months ended June 30, 2011, the Company issued 1,169,898 and 2,164,647 shares, respectively, as a result of the exercise of stock options, resulting in gross proceeds of $3.3 million and $5.0 million, respectively, and net proceeds of $3.2 million and $5.0 million, respectively. In addition, during the three and six months ended June 30, 2011, the Company issued 5,773,278 and 10,330,642 shares, respectively, as a result of the exercise of warrants, resulting in gross proceeds of $8.6 million and $15.2 million, respectively, and net proceeds of $8.5 million and $14.9 million, respectively.</w:t>
      </w:r>
    </w:p>
    <w:p>
      <w:pPr>
        <w:spacing w:after="0" w:line="8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January 2011, Amarin sold 13.8 million common shares to both existing and new investors at a price of $7.60 per share, resulting in gross proceeds of $104.9 million and net proceeds of $98.7 million.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2011 and below under Part II, Item IA, “Risk Factors”.</w:t>
      </w:r>
    </w:p>
    <w:p>
      <w:pPr>
        <w:spacing w:after="0" w:line="93"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a biopharmaceutical company focused on the commercialization and development of therapeutics to improve cardiovascular health. On July 26, 2012, we received approval from the U.S. Food and Drug Administration, or FDA, to market and sell our lead product Vascepa™ (icosapent ethyl) capsules (formerly known as AMR101) as an adjunct to diet to reduce triglyceride, or TG, levels in adult patients with severe (TG ³500mg/dL) hypertriglyceridemia, which we sometimes refer to as the MARINE indication. Triglycerides are fats in the blood. We are also developing Vascepa for the treatment of patients with high (TG ³ 200 mg/dL and &lt;500 mg/dL) triglyceride levels who are also on statin therapy for elevated low-density lipoprotein cholesterol, or LDL-C, levels which we refer to as mixed dislipidemia. We refer to this second proposed indication for Vascepa as the ANCHOR indication.</w:t>
      </w:r>
    </w:p>
    <w:p>
      <w:pPr>
        <w:spacing w:after="0" w:line="9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Hypertriglyceridemia refers to a condition in which patients have high levels of triglycerides in the bloodstream. We estimate that over 40 million adults in the United States have elevated triglyceride levels ( TG ³ 200mg/dL) and approximately 4.0 million people in the United States have severe (TG ³500mg/dL) triglyceride levels. According to </w:t>
      </w:r>
      <w:r>
        <w:rPr>
          <w:rFonts w:ascii="Arial" w:cs="Arial" w:eastAsia="Arial" w:hAnsi="Arial"/>
          <w:sz w:val="16"/>
          <w:szCs w:val="16"/>
          <w:i w:val="1"/>
          <w:iCs w:val="1"/>
          <w:color w:val="auto"/>
        </w:rPr>
        <w:t>The American Heart Association Scientific Statement on Triglycerides and Cardiovascular Disease</w:t>
      </w:r>
      <w:r>
        <w:rPr>
          <w:rFonts w:ascii="Arial" w:cs="Arial" w:eastAsia="Arial" w:hAnsi="Arial"/>
          <w:sz w:val="16"/>
          <w:szCs w:val="16"/>
          <w:color w:val="auto"/>
        </w:rPr>
        <w:t xml:space="preserve"> (2011), triglycerides provide important information as a marker associated with the risk for heart disease and stroke, especially when an individual also has low high-density lipoprotein, or HDL-C (often referred to as “good” cholesterol), and elevated levels of LDL-C (often referred to as “bad” cholesterol). The effect of Vascepa on cardiovascular mortality and morbidity in patients with hypertriglyceridemia has not been determined. The effect of Vascepa on the risk for pancreatitis in patients with severe hypertriglyceridemia has not been determined.</w:t>
      </w:r>
    </w:p>
    <w:p>
      <w:pPr>
        <w:spacing w:after="0" w:line="9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potential efficacy and safety of Vascepa was studied in two Phase 3 clinical trials, the MARINE trial and the ANCHOR trial. These trials showed favorable clinical results in their respective patient populations in reducing triglyceride levels without a statistically significant increase in LDL-C levels, and in the 4 gram Vascepa ANCHOR results, with a statistically significant decrease in LDL-C levels. These trials also showed favorable results, particularly with the 4 gram dose of Vascepa, in other important lipid and inflammation biomarkers, including apolipoprotein B (Apo B), non-high-density lipoprotein cholesterol (non-HDL-C), Total-Cholesterol (TC), very low-density lipoprotein cholesterol, or (VLDL-C), lipoprotein-associated phospholipase A2 (Lp-PLA2), and high sensitivity C-reactive protein (hs-CRP). In each of these trials. The most commonly reported adverse reaction (incidence &gt;2% and greater than placebo) in Vascepa treated patients was arthralgia (joint pain) (2.3% for Vascepa vs. 1.0% for placebo).</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In July 2012, we received approval from the FDA to market and sell Vascepa in the MARINE indication. We plan to separately seek approval for the use of Vascepa for the treatment of patients in the ANCHOR population. Like the MARINE indication, the ANCHOR indication is supported by a Special Protocol Assessment, or SPA, with the FDA. An SPA is an evaluation by the FDA of a protocol with the goal of reaching an agreement that the Phase 3 trial protocol design, clinical endpoints, and statistical analyses are acceptable to support regulatory approval. The FDA agreed that, based on the information we submitted to the agency, the design and planned analysis of the ANCHOR trials adequately address the objectives necessary to support a regulatory submission. An SPA is generally binding upon the FDA unless a substantial scientific issue essential to determining safety or efficacy is identified after the testing begins. There is no assurance that the FDA will ultimately consider our SPA to be binding. Moreover, any change to a study protocol can invalidate an SPA. If the FDA does not consider the SPA to be binding or makes a determination that we did not follow the SPA appropriately, the agency could assert that additional studies or data are required to support a regulatory submission.</w:t>
      </w:r>
    </w:p>
    <w:p>
      <w:pPr>
        <w:spacing w:after="0" w:line="12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To obtain FDA approval of Vascepa for the ANCHOR indication, based on communications with the FDA, we believe that we must be substantially underway with a cardiovascular outcomes study at the time of the submission of a supplemental NDA to the FDA for the ANCHOR indication. Based on our current estimates, we anticipate that our cardiovascular outcomes study will be substantially underway around the end of 2012 and we believe that the FDA determination on this supplemental NDA would be scheduled by the FDA in the second half of 2013. Based upon feedback from the FDA and consistent with the SPA for the ANCHOR trial, we do not believe the final results of an outcomes study are required for FDA approval of Vascepa for the ANCHOR indication.</w:t>
      </w:r>
    </w:p>
    <w:p>
      <w:pPr>
        <w:spacing w:after="0" w:line="89"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 December 2011, we announced commencement of patient dosing in our cardiovascular outcomes study of Vascepa, titled REDUCE-IT (Reduction of Cardiovascular Events with EPA – Intervention Trial), that is designed to evaluate the efficacy of Vascepa in reducing major cardiovascular events in a high risk patient population on statin therapy. The REDUCE-IT study is also the subject of an SPA with the FDA. If successful, we believe the results of this study could lead to a broadening of the market potential for Vascepa beyond the approved MARINE and proposed ANCHOR indications. We currently estimate that the duration of the REDUCE-IT trial, which duration is estimated based on prediction of the rate of occurrence of cardiac events, to be approximately six years.</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Manufacturing and Supply</w:t>
      </w:r>
    </w:p>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approval of Vascepa in July 2012 included the approval of one API manufacturer, Nisshin Pharma, Inc., and one API encapsulator, Banner Pharmacaps Europe BV. Nisshin and Banner are the API manufacturer and API encapsulator, respectively, with which we have had the longest working relationships. Their facilities were inspected by regulatory authorities as part of the process that led to the July 2012 Vascepa approval, and we believe that they are qualified to support our commercial launch of Vascepa. We have defined with the FDA our plan and specifications for qualifying additional API manufacturers and encapsulators. We intend to submit a supplemental NDA, or sNDA, for the use of additional suppliers after these suppliers successfully complete the qualification process.</w:t>
      </w:r>
    </w:p>
    <w:p>
      <w:pPr>
        <w:spacing w:after="0" w:line="6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goal in expanding our supply chain is to provide greater capacity to meet anticipated demand, enable supply diversification and flexibility and introduce cost competition. After conducting an extensive global search for manufactures capable of producing Vascepa API to our technical specifications, in 2011 we entered into limited exclusivity, long-term agreements with two additional API suppliers, Chemport and BASF (formerly Equateq Limited). In each case, following FDA approval of Vascepa and qualification of the supplier for the manufacture of API for commercial sale, these agreements include annual purchase levels to enable Amarin to maintain exclusivity with each respective supplier, and to prevent potential termination of the agreements. We recently agreed to terms with a fourth API supplier, which terms are subject to contingencies that we anticipate will be satisfied in 2012. Certain of our API supply agreements contain provisions under which the cost of supply to us decreases as we purchase increased product volume.</w:t>
      </w:r>
    </w:p>
    <w:p>
      <w:pPr>
        <w:spacing w:after="0" w:line="9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agreements with each of our API suppliers contemplate phased capacity expansion aimed at creating sufficient capacity to meet anticipated demand for API material for Vascepa following FDA approval. Accordingly, our current supplier, Nisshin Pharma, and our other potential suppliers are currently working to expand and qualify their production capabilities to meet regulatory requirements to manufacture the API for Vascepa. These API suppliers are self-funding these expansion and qualification plans with contributions from Amarin. There can be no assurance that additional suppliers will fully-fund the capital costs of our engagement or that they will successfully qualify with the FDA. In the process of manufacturing Vascepa, after the API for Vascepa is manufactured it is encapsulated. In addition to Banner, we also have an agreement with Catalent for the encapsulation of Vascepa.</w:t>
      </w:r>
    </w:p>
    <w:p>
      <w:pPr>
        <w:spacing w:after="0" w:line="9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intend to purchase increasing amounts of API in preparation for the commercial launch of Vascepa. Our supply agreement with Nisshin contains minimum purchase commitments for metric tons of API, and we may purchase more than the minimum requirement. We anticipate receipt of the majority of this API during 2012, in advance of our planned commercial launch of Vascepa. We also plan to encapsulate and package such API as part of our commercial launch plans. During 2013, we intend to further increase our purchases of API and finished capsules of Vascepa. These purchases are generally made on the basis of rolling twelve-month forecasts which in part are binding on us and the balance of which are subject to adjustment by us subject to certain limitations. We may elect to make certain of these purchases prior to sNDA approval of our added suppliers after we are satisfied that the material they produce and their facilities are qualified. However, in the event that we make such purchases, we will not be able to use such material for commercial sale until the sNDA for the applicable supplier is approved by the FDA. Similarly, if we are not compliant with other regulations with regard to this intended purchase of supply, the supply of product for our launch may be delayed.</w:t>
      </w:r>
    </w:p>
    <w:p>
      <w:pPr>
        <w:spacing w:after="0" w:line="9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strategy is to expand capacity and to mitigate risk by having multiple API suppliers. Our aggregate capacity to produce API is dependent upon the qualification of our API suppliers. Each of our API suppliers has outlined plans for potential further capacity expansion. While we anticipate purchasing qualified API from multiple suppliers for our first year of commercial sales of Vascepa, if no additional API supplier is approved by the FDA, our API supply will be limited to the API we purchase from Nisshin. Our overall API manufacturing plan provides a pathway to the potential production of API in sufficient quantities to meet anticipated demand, subject to API supplier capacity expansion, qualification and regulatory approval. There can be no assurance that these expansion plans will be successful. If our third party manufacturing capacity is not expanded and compliant with application regulatory requirements, we may not be able to supply sufficient quantities of Vascepa to meet anticipated demand. During the period commencing July 1, 2012 through the expected launch of Vascepa in early 2013, we estimate that we may spend $25 to $35 million to build inventory levels of API and Vascepa capsules in advance of the commercial launch of Vascepa. Our purchase of supply may be insufficient to meet, or exceed, actual demand for Vascepa.</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Strategy</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currently considering three potential paths for the marketing and sale of Vascepa: strategic collaboration, acquisition and self-commercialization, the latter of which could include a third-party collaboration. From time to time we have held discussions with larger pharmaceutical companies on potential collaborations and other strategic opportunities with larger pharmaceutical companies, and we may have discussions regarding such opportunities in the future. These strategic opportunities may include licensing or similar transactions, joint ventures, partnerships, strategic alliances, business associations, or a sale of the company. However, we cannot estimate the timing of any such potential strategic transaction and no assurance can be given that we will enter into any such strategic transaction. Until such time when we enter into such a strategic transaction, if ever, we plan to continue to execute on our plans to launch, market and sell Vascepa on our own.</w:t>
      </w:r>
    </w:p>
    <w:p>
      <w:pPr>
        <w:sectPr>
          <w:pgSz w:w="11900" w:h="16857" w:orient="portrait"/>
          <w:cols w:equalWidth="0" w:num="1">
            <w:col w:w="11420"/>
          </w:cols>
          <w:pgMar w:left="240" w:top="459" w:right="239" w:bottom="0"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57" w:orient="portrait"/>
          <w:cols w:equalWidth="0" w:num="1">
            <w:col w:w="11420"/>
          </w:cols>
          <w:pgMar w:left="240" w:top="459" w:right="239" w:bottom="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U.S. market is currently our primary focus for the initial commercial launch of Vascepa. Opportunities to market and sell Vascepa outside of the United States are also under evaluation.</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January 2012 Financing and Financial Position</w:t>
      </w:r>
    </w:p>
    <w:p>
      <w:pPr>
        <w:spacing w:after="0" w:line="9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January 9, 2012, Amarin, through its wholly-owned subsidiary Corsicanto Limited, a private limited company incorporated under the laws of Ireland, completed a private placement of $150.0 million in aggregate principal amount of its 3.5% exchangeable senior notes due 2032. The notes are the senior unsecured obligations of Corsicanto Limited and are guaranteed by Amarin. The notes bear interest at a rate of 3.5% per annum, payable semi-annually in arrears on January 15 and July 15 of each year, beginning on July 15, 2012. In July 2012 Amarin made its initial interest payments on the notes in the aggregate amount of $2.7 million. The notes mature on January 15, 2032, unless earlier repurchased, redeemed or exchanged. On or after January 19, 2017, we may elect to redeem for cash all or a portion of the notes for the principal amount of the notes plus accrued and unpaid interest. On each of January 19, 2017, January 19, 2022 and January 19, 2027, the holders of the notes may require that we repurchase in cash the principal amount of the notes plus accrued and unpaid interest. At any time prior to January 15, 2032, upon certain circumstances, which circumstances include our issuing a notice of redemption to the note holders, the price of Amarin shares trading above 130% of the exchange price, or certain other events defined in the note agreement, the holders of the notes may elect to convert the notes. The exchange rate for conversion is 113.4752 ADSs per $1,000 principal amount of the notes (equivalent to an initial exchange price of approximately $8.8125 per ADS), subject to adjustment in certain circumstances, including adjustment if we pay cash dividends. Upon exchange, the notes may be settled, at Amarin’s election, subject to certain conditions, in cash, ADSs or a combination of cash and ADSs.</w:t>
      </w:r>
    </w:p>
    <w:p>
      <w:pPr>
        <w:spacing w:after="0" w:line="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June 30, 2012, our cash balance was $250.3 million, including net proceeds of approximately $144.3 million, after deducting underwriting commissions and expenses payable by us, associated with the issuance of $150.0 million in principal amount of our 3.5% exchangeable senior notes in January 2012. We believe that we have sufficient financial resources to fund our projected operations at least for the next twelve months, including advancement of the REDUCE-IT cardiovascular outcomes study, and preparations for and commercial launch of Vascepa on each of the three potential paths we are considering for commercialization. Unless we enter into a strategic collaboration in support of a commercial launch, we may need to raise additional capital to support these efforts on our own.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no revenue in 2012 or 2011.</w:t>
      </w:r>
    </w:p>
    <w:p>
      <w:pPr>
        <w:spacing w:after="0" w:line="14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consists primarily of fees paid to professional service providers in conjunction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monitoring of our clinical trials and acquiring and evaluating data in conjunction with our clinical trials, fees paid to independent researchers, costs of contract manufacturing,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including patent costs and milestone payments. We expense research and development costs as incurred.</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Marketing, General and Administrative Expense. </w:t>
      </w:r>
      <w:r>
        <w:rPr>
          <w:rFonts w:ascii="Arial" w:cs="Arial" w:eastAsia="Arial" w:hAnsi="Arial"/>
          <w:sz w:val="18"/>
          <w:szCs w:val="18"/>
          <w:color w:val="auto"/>
        </w:rPr>
        <w:t>Marketing, general and administrative expense consists primarily of salaries and other related costs for</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including stock-based compensation expense, in our executive, business development, marketing, finance and information technology functions. Other costs primarily include facility costs and professional fees for accounting, consulting and legal services.</w:t>
      </w:r>
    </w:p>
    <w:p>
      <w:pPr>
        <w:spacing w:after="0" w:line="113"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i w:val="1"/>
          <w:iCs w:val="1"/>
          <w:color w:val="auto"/>
        </w:rPr>
        <w:t xml:space="preserve">Interest and Other Income (Expense), Net. </w:t>
      </w:r>
      <w:r>
        <w:rPr>
          <w:rFonts w:ascii="Arial" w:cs="Arial" w:eastAsia="Arial" w:hAnsi="Arial"/>
          <w:sz w:val="16"/>
          <w:szCs w:val="16"/>
          <w:color w:val="auto"/>
        </w:rPr>
        <w:t>Interest expense consists of interest incurred under lease obligations, the amortization of the conversion option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Company’s exchangeable debt, the amortization of the debt discount and debt obligation coupon interest. Interest income consists of interest earned on our cash and cash equivalents. Other income, net, consists primarily of foreign exchange gains and losses.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a result of the issuance in January 2012 of our 3.5% exchangeable senior notes, we have included a Debt Issuance policy under our critical accounting policies at June 30, 2012. Other than this new Debt Issuance policy, at June 30, 2012, there have been no other changes in our critical accounting policies, judgments, and estimates as described in Note 2 to our consolidated financial statements included in our Annual Report on Form 10-K for the year ended December 31, 2011 filed with the SEC on February 29, 2012.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new accounting pronouncements are issued by FASB and are adopted by us as of the specified effective date. Unless otherwise discussed, we believe that the impact of recently issued accounting pronouncements will not have a material impact on consolidated financial position, results of operations, and cash flows, or do not apply to our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2012 versus June 30,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no revenue in 2012 or 2011.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three months ended June 30, 2012 was $14.1 million, versus $5.2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period, an increase of $8.9 million, or 171.2%. Research and development expenses for the three months ended June 30, 2012 and 2011 are summarized in the table below:</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Three Months Ended</w:t>
            </w:r>
          </w:p>
        </w:tc>
      </w:tr>
      <w:tr>
        <w:trPr>
          <w:trHeight w:val="149"/>
        </w:trPr>
        <w:tc>
          <w:tcPr>
            <w:tcW w:w="5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gridSpan w:val="2"/>
          </w:tcPr>
          <w:p>
            <w:pPr>
              <w:jc w:val="center"/>
              <w:ind w:right="83"/>
              <w:spacing w:after="0" w:line="149" w:lineRule="exact"/>
              <w:rPr>
                <w:sz w:val="20"/>
                <w:szCs w:val="20"/>
                <w:color w:val="auto"/>
              </w:rPr>
            </w:pPr>
            <w:r>
              <w:rPr>
                <w:rFonts w:ascii="Arial" w:cs="Arial" w:eastAsia="Arial" w:hAnsi="Arial"/>
                <w:sz w:val="14"/>
                <w:szCs w:val="14"/>
                <w:b w:val="1"/>
                <w:bCs w:val="1"/>
                <w:color w:val="auto"/>
                <w:w w:val="88"/>
              </w:rPr>
              <w:t>June 30</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left="302"/>
              <w:spacing w:after="0"/>
              <w:rPr>
                <w:sz w:val="20"/>
                <w:szCs w:val="20"/>
                <w:color w:val="auto"/>
              </w:rPr>
            </w:pPr>
            <w:r>
              <w:rPr>
                <w:rFonts w:ascii="Arial" w:cs="Arial" w:eastAsia="Arial" w:hAnsi="Arial"/>
                <w:sz w:val="14"/>
                <w:szCs w:val="14"/>
                <w:b w:val="1"/>
                <w:bCs w:val="1"/>
                <w:color w:val="auto"/>
                <w:w w:val="84"/>
              </w:rPr>
              <w:t>(in thousands)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76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 excluding non-cash expense (1)</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12,924</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Non-cash stock based compensation expense (2)</w:t>
            </w: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r>
      <w:tr>
        <w:trPr>
          <w:trHeight w:val="115"/>
        </w:trPr>
        <w:tc>
          <w:tcPr>
            <w:tcW w:w="5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23"/>
        </w:trPr>
        <w:tc>
          <w:tcPr>
            <w:tcW w:w="57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14,066</w:t>
            </w:r>
          </w:p>
        </w:tc>
        <w:tc>
          <w:tcPr>
            <w:tcW w:w="7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w:t>
            </w:r>
          </w:p>
        </w:tc>
        <w:tc>
          <w:tcPr>
            <w:tcW w:w="100" w:type="dxa"/>
            <w:vAlign w:val="bottom"/>
            <w:shd w:val="clear" w:color="auto" w:fill="CCEEFF"/>
          </w:tcPr>
          <w:p>
            <w:pPr>
              <w:spacing w:after="0"/>
              <w:rPr>
                <w:sz w:val="19"/>
                <w:szCs w:val="19"/>
                <w:color w:val="auto"/>
              </w:rPr>
            </w:pPr>
          </w:p>
        </w:tc>
      </w:tr>
      <w:tr>
        <w:trPr>
          <w:trHeight w:val="21"/>
        </w:trPr>
        <w:tc>
          <w:tcPr>
            <w:tcW w:w="5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2" w:lineRule="exact"/>
        <w:rPr>
          <w:sz w:val="20"/>
          <w:szCs w:val="20"/>
          <w:color w:val="auto"/>
        </w:rPr>
      </w:pPr>
    </w:p>
    <w:p>
      <w:pPr>
        <w:ind w:left="460" w:right="20" w:hanging="452"/>
        <w:spacing w:after="0" w:line="283"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Research and development expense, excluding non-cash charges, for the three months ended June 30, 2012 was $12.9 million, versus $5.0 million in the prior year period, an increase of $7.9 million, or 158%. The increase in research and development expense was primarily due to increased costs in 2012 for our Vascepa cardiovascular program, primarily costs associated with the purchase of raw materials and vendor qualification, and increased clinical costs for the REDUCE-IT cardiovascular outcomes study, which was initiated in the second half of 2011.</w:t>
      </w:r>
    </w:p>
    <w:p>
      <w:pPr>
        <w:spacing w:after="0" w:line="2" w:lineRule="exact"/>
        <w:rPr>
          <w:rFonts w:ascii="Arial" w:cs="Arial" w:eastAsia="Arial" w:hAnsi="Arial"/>
          <w:sz w:val="16"/>
          <w:szCs w:val="16"/>
          <w:color w:val="auto"/>
        </w:rPr>
      </w:pPr>
    </w:p>
    <w:p>
      <w:pPr>
        <w:ind w:left="460" w:right="10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 based compensation expense included within research and development was $1.1 million and $0.2 million for the three months ended June 30, 2012 and 2011, respectively.</w:t>
      </w:r>
    </w:p>
    <w:p>
      <w:pPr>
        <w:spacing w:after="0" w:line="11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Although clinical costs for the MARINE and ANCHOR trials have decreased as a result of their completion in 2011, we expect these cost reductions to be offset in 2012 by costs for the REDUCE-IT cardiovascular outcomes study as part of which dosing of initial patients commenced in December 2011. Increases in research and development costs during the first half of 2012 also relate to the purchase of supply of Vascepa, which supply we have included as a component of research and development expense for accounting purposes prior to NDA approval. Purchases of supply of Vascepa after FDA approval will be capitalized as a component of inventory.</w:t>
      </w:r>
    </w:p>
    <w:p>
      <w:pPr>
        <w:spacing w:after="0" w:line="116"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i w:val="1"/>
          <w:iCs w:val="1"/>
          <w:color w:val="auto"/>
        </w:rPr>
        <w:t xml:space="preserve">Marketing, General and Administrative Expense. </w:t>
      </w:r>
      <w:r>
        <w:rPr>
          <w:rFonts w:ascii="Arial" w:cs="Arial" w:eastAsia="Arial" w:hAnsi="Arial"/>
          <w:sz w:val="18"/>
          <w:szCs w:val="18"/>
          <w:color w:val="auto"/>
        </w:rPr>
        <w:t>Marketing, general and administrative expense for the three months ended June 30, 2012 was $13.6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versus $10.0 million in the prior year period, an increase of $3.6 million, or 36%. Marketing, general and administrative expenses for the three months ended June 30, 2012 and 2011 are summarized in the table below:</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8"/>
              </w:rPr>
              <w:t>Three Months Ended</w:t>
            </w:r>
          </w:p>
        </w:tc>
      </w:tr>
      <w:tr>
        <w:trPr>
          <w:trHeight w:val="149"/>
        </w:trPr>
        <w:tc>
          <w:tcPr>
            <w:tcW w:w="8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left="462"/>
              <w:spacing w:after="0" w:line="149" w:lineRule="exact"/>
              <w:rPr>
                <w:sz w:val="20"/>
                <w:szCs w:val="20"/>
                <w:color w:val="auto"/>
              </w:rPr>
            </w:pPr>
            <w:r>
              <w:rPr>
                <w:rFonts w:ascii="Arial" w:cs="Arial" w:eastAsia="Arial" w:hAnsi="Arial"/>
                <w:sz w:val="14"/>
                <w:szCs w:val="14"/>
                <w:b w:val="1"/>
                <w:bCs w:val="1"/>
                <w:color w:val="auto"/>
                <w:w w:val="84"/>
              </w:rPr>
              <w:t>June 30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4"/>
          </w:tcPr>
          <w:p>
            <w:pPr>
              <w:jc w:val="center"/>
              <w:ind w:left="282"/>
              <w:spacing w:after="0"/>
              <w:rPr>
                <w:sz w:val="20"/>
                <w:szCs w:val="20"/>
                <w:color w:val="auto"/>
              </w:rPr>
            </w:pPr>
            <w:r>
              <w:rPr>
                <w:rFonts w:ascii="Arial" w:cs="Arial" w:eastAsia="Arial" w:hAnsi="Arial"/>
                <w:sz w:val="14"/>
                <w:szCs w:val="14"/>
                <w:b w:val="1"/>
                <w:bCs w:val="1"/>
                <w:color w:val="auto"/>
                <w:w w:val="84"/>
              </w:rPr>
              <w:t>(in thousands)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8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Marketing, general and administrative expenses, excluding non-cash expenses (1)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Non-cash stock based compensation expense (2)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3,692</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Non-cash warrant related compensation expense (income) (3)</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00" w:type="dxa"/>
            <w:vAlign w:val="bottom"/>
            <w:shd w:val="clear" w:color="auto" w:fill="CCEEFF"/>
          </w:tcPr>
          <w:p>
            <w:pPr>
              <w:spacing w:after="0"/>
              <w:rPr>
                <w:sz w:val="18"/>
                <w:szCs w:val="18"/>
                <w:color w:val="auto"/>
              </w:rPr>
            </w:pPr>
          </w:p>
        </w:tc>
      </w:tr>
      <w:tr>
        <w:trPr>
          <w:trHeight w:val="338"/>
        </w:trPr>
        <w:tc>
          <w:tcPr>
            <w:tcW w:w="8240" w:type="dxa"/>
            <w:vAlign w:val="bottom"/>
          </w:tcPr>
          <w:p>
            <w:pPr>
              <w:spacing w:after="0"/>
              <w:rPr>
                <w:sz w:val="24"/>
                <w:szCs w:val="24"/>
                <w:color w:val="auto"/>
              </w:rPr>
            </w:pPr>
          </w:p>
        </w:tc>
        <w:tc>
          <w:tcPr>
            <w:tcW w:w="160" w:type="dxa"/>
            <w:vAlign w:val="bottom"/>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13,635</w:t>
            </w:r>
          </w:p>
        </w:tc>
        <w:tc>
          <w:tcPr>
            <w:tcW w:w="460" w:type="dxa"/>
            <w:vAlign w:val="bottom"/>
          </w:tcPr>
          <w:p>
            <w:pPr>
              <w:spacing w:after="0"/>
              <w:rPr>
                <w:sz w:val="24"/>
                <w:szCs w:val="24"/>
                <w:color w:val="auto"/>
              </w:rPr>
            </w:pPr>
          </w:p>
        </w:tc>
        <w:tc>
          <w:tcPr>
            <w:tcW w:w="200" w:type="dxa"/>
            <w:vAlign w:val="bottom"/>
            <w:gridSpan w:val="2"/>
          </w:tcPr>
          <w:p>
            <w:pPr>
              <w:jc w:val="right"/>
              <w:ind w:right="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10,025</w:t>
            </w:r>
          </w:p>
        </w:tc>
        <w:tc>
          <w:tcPr>
            <w:tcW w:w="100" w:type="dxa"/>
            <w:vAlign w:val="bottom"/>
          </w:tcPr>
          <w:p>
            <w:pPr>
              <w:spacing w:after="0"/>
              <w:rPr>
                <w:sz w:val="24"/>
                <w:szCs w:val="24"/>
                <w:color w:val="auto"/>
              </w:rPr>
            </w:pPr>
          </w:p>
        </w:tc>
      </w:tr>
      <w:tr>
        <w:trPr>
          <w:trHeight w:val="21"/>
        </w:trPr>
        <w:tc>
          <w:tcPr>
            <w:tcW w:w="8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5" w:lineRule="exact"/>
        <w:rPr>
          <w:sz w:val="20"/>
          <w:szCs w:val="20"/>
          <w:color w:val="auto"/>
        </w:rPr>
      </w:pPr>
    </w:p>
    <w:p>
      <w:pPr>
        <w:ind w:left="460" w:right="20" w:hanging="452"/>
        <w:spacing w:after="0" w:line="283"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Marketing, general and administrative expense, excluding non-cash compensation charges for stock compensation and warrants, for the three months ended June 30, 2012 was $8.1 million, versus $3.4 million in the prior year period, an increase of $4.7 million, or 138.2%. The increase was primarily due to cost increases in 2012 for marketing research activities, medical education program development, increased staffing and related travel, infrastructure development, facility costs and other marketing, general, and administrative costs incurred in order to prepare for the commercialization of Vascepa.</w:t>
      </w:r>
    </w:p>
    <w:p>
      <w:pPr>
        <w:spacing w:after="0" w:line="2" w:lineRule="exact"/>
        <w:rPr>
          <w:rFonts w:ascii="Arial" w:cs="Arial" w:eastAsia="Arial" w:hAnsi="Arial"/>
          <w:sz w:val="16"/>
          <w:szCs w:val="16"/>
          <w:color w:val="auto"/>
        </w:rPr>
      </w:pPr>
    </w:p>
    <w:p>
      <w:pPr>
        <w:jc w:val="both"/>
        <w:ind w:left="460" w:right="1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 based compensation expense for the three months ended June 30, 2012 was $3.7 million, versus $1.6 million in the prior year period, an increase of $2.1 million primarily reflecting an increase in the number of awards outstanding during the period ending June 30, 2012 versus the prior period, and also in the fair value of new option awards granted to attract and retain qualified employees.</w:t>
      </w:r>
    </w:p>
    <w:p>
      <w:pPr>
        <w:spacing w:after="0" w:line="1" w:lineRule="exact"/>
        <w:rPr>
          <w:rFonts w:ascii="Arial" w:cs="Arial" w:eastAsia="Arial" w:hAnsi="Arial"/>
          <w:sz w:val="18"/>
          <w:szCs w:val="18"/>
          <w:color w:val="auto"/>
        </w:rPr>
      </w:pPr>
    </w:p>
    <w:p>
      <w:pPr>
        <w:ind w:left="460" w:hanging="452"/>
        <w:spacing w:after="0" w:line="287"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Warrant related compensation expense (income) for the three months ended June 30, 2012 was expense of $1.9 million, versus $5.0 million in the prior year period. Warrant related compensation expense for the period ended June 30, 2012 reflects a non-cash change in fair value of the warrant derivative liability associated with warrants issued in October 2009 to three former employees of Amarin, net of warrants exercised. The increase in the fair value of the warrants for the three months ended June 30, 2012 is due primarily to an increase in our stock price between March 31, 2012 and June 30, 2012. We anticipate that the value of this warrant derivative liability may increase or decrease from period to period based upon changes in the price of our common stock. Such non-cash changes in valuation could be significant as the history of our stock price has been volatile. The gain or loss resulting from such non-cash changes in valuation could have a material impact on our reported net income or loss from period to period. In particular, if the price of our stock increases, the change in valuation of this warrant derivative liability will add to our history of operating losses.</w:t>
      </w:r>
    </w:p>
    <w:p>
      <w:pPr>
        <w:spacing w:after="0" w:line="9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We expect marketing, general and administrative costs in 2012 to increase as we prepare for the commercialization of Vascepa, including costs for market research, sales force preparation and development of management information systems. The extent of such increases will depend in large part on whether we launch Vascepa on our own or with a strategic collaborator. If we launch Vascepa on our own, we anticipate that this launch will occur in early 2013 and that we would not hire the majority of the anticipated number of sales representatives until the fourth quarter of 2012.</w:t>
      </w:r>
    </w:p>
    <w:p>
      <w:pPr>
        <w:sectPr>
          <w:pgSz w:w="11900" w:h="16838" w:orient="portrait"/>
          <w:cols w:equalWidth="0" w:num="1">
            <w:col w:w="11420"/>
          </w:cols>
          <w:pgMar w:left="240" w:top="459" w:right="239" w:bottom="144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Gain (loss) on Change in Fair Value of Derivative Liability</w:t>
      </w:r>
      <w:r>
        <w:rPr>
          <w:rFonts w:ascii="Arial" w:cs="Arial" w:eastAsia="Arial" w:hAnsi="Arial"/>
          <w:sz w:val="16"/>
          <w:szCs w:val="16"/>
          <w:color w:val="auto"/>
        </w:rPr>
        <w:t>. Gain (loss) on change in fair value of derivative liability for the three months ended June 30, 2012</w:t>
      </w:r>
      <w:r>
        <w:rPr>
          <w:rFonts w:ascii="Arial" w:cs="Arial" w:eastAsia="Arial" w:hAnsi="Arial"/>
          <w:sz w:val="16"/>
          <w:szCs w:val="16"/>
          <w:i w:val="1"/>
          <w:iCs w:val="1"/>
          <w:color w:val="auto"/>
        </w:rPr>
        <w:t xml:space="preserve"> </w:t>
      </w:r>
      <w:r>
        <w:rPr>
          <w:rFonts w:ascii="Arial" w:cs="Arial" w:eastAsia="Arial" w:hAnsi="Arial"/>
          <w:sz w:val="16"/>
          <w:szCs w:val="16"/>
          <w:color w:val="auto"/>
        </w:rPr>
        <w:t>was a loss of $18.9 million versus a loss of $185.4 million in the prior year period. (Loss) gain on change in fair value of derivative liability is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March 31, 2012 was $191.4 million and we recognized a $18.9 million loss on change in fair value of derivative liability for the period ended June 30, 2012 for these warrants. The fair value of the warrant derivative liability at March 31, 2011 was $174.8 million and we recognized a $185.4 million loss on change in fair value of derivative liability for the period ended June 30, 2011. The warrant derivative liability is decreased when warrants are exercised and the derivative liability associated with such exercised warrants is reclassified to stockholders equity. The fair value of the warrant derivative liability also decreases or increases due to decreases or increases in the price of our common stock during the reporting period as well as to changes in other variables in the Black-Scholes option valuation model used to calculate such non-cash derivative liability.</w:t>
      </w:r>
    </w:p>
    <w:p>
      <w:pPr>
        <w:spacing w:after="0" w:line="100"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i w:val="1"/>
          <w:iCs w:val="1"/>
          <w:color w:val="auto"/>
        </w:rPr>
        <w:t xml:space="preserve">Interest Income (Expense), net. </w:t>
      </w:r>
      <w:r>
        <w:rPr>
          <w:rFonts w:ascii="Arial" w:cs="Arial" w:eastAsia="Arial" w:hAnsi="Arial"/>
          <w:sz w:val="16"/>
          <w:szCs w:val="16"/>
          <w:color w:val="auto"/>
        </w:rPr>
        <w:t>Interest income includes interest earned on cash balances. Interest expense includes the amortization of the conversion option</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our exchangeable debt, the amortization of the debt discount and debt obligation coupon interest. During the three months ended June 30, 2012, we recognized interest expense of $4.5 million, of which $2.7 million represents amortization of the debt discount, $1.3 million represents contractual coupon interest, $0.5 million represents the amortization of the discount from underwriters’ discounts and offering costs.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primarily includes gains and losses on foreign exchange transactions.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2012 versus June 30,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no revenue in 2012 or 2011.</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six months ended June 30, 2012 was $18.8 million, versus $9.6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period, an increase of $9.2 million, or 95.8%. Research and development expenses for the six months ended June 30, 2012 and 2011 are summarized in the table below:</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Six Months Ended</w:t>
            </w:r>
          </w:p>
        </w:tc>
      </w:tr>
      <w:tr>
        <w:trPr>
          <w:trHeight w:val="149"/>
        </w:trPr>
        <w:tc>
          <w:tcPr>
            <w:tcW w:w="5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tcPr>
          <w:p>
            <w:pPr>
              <w:jc w:val="center"/>
              <w:ind w:right="123"/>
              <w:spacing w:after="0" w:line="149" w:lineRule="exact"/>
              <w:rPr>
                <w:sz w:val="20"/>
                <w:szCs w:val="20"/>
                <w:color w:val="auto"/>
              </w:rPr>
            </w:pPr>
            <w:r>
              <w:rPr>
                <w:rFonts w:ascii="Arial" w:cs="Arial" w:eastAsia="Arial" w:hAnsi="Arial"/>
                <w:sz w:val="14"/>
                <w:szCs w:val="14"/>
                <w:b w:val="1"/>
                <w:bCs w:val="1"/>
                <w:color w:val="auto"/>
                <w:w w:val="84"/>
              </w:rPr>
              <w:t>June 30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left="282"/>
              <w:spacing w:after="0"/>
              <w:rPr>
                <w:sz w:val="20"/>
                <w:szCs w:val="20"/>
                <w:color w:val="auto"/>
              </w:rPr>
            </w:pPr>
            <w:r>
              <w:rPr>
                <w:rFonts w:ascii="Arial" w:cs="Arial" w:eastAsia="Arial" w:hAnsi="Arial"/>
                <w:sz w:val="14"/>
                <w:szCs w:val="14"/>
                <w:b w:val="1"/>
                <w:bCs w:val="1"/>
                <w:color w:val="auto"/>
                <w:w w:val="84"/>
              </w:rPr>
              <w:t>(in thousands)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8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6"/>
              </w:rPr>
              <w:t>2012</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 excluding non-cash expense (1)</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16,888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9,108</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Non-cash stock based compensation expense (2)</w:t>
            </w:r>
          </w:p>
        </w:tc>
        <w:tc>
          <w:tcPr>
            <w:tcW w:w="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r>
      <w:tr>
        <w:trPr>
          <w:trHeight w:val="115"/>
        </w:trPr>
        <w:tc>
          <w:tcPr>
            <w:tcW w:w="5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23"/>
        </w:trPr>
        <w:tc>
          <w:tcPr>
            <w:tcW w:w="58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18,822</w:t>
            </w:r>
          </w:p>
        </w:tc>
        <w:tc>
          <w:tcPr>
            <w:tcW w:w="6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9,638</w:t>
            </w:r>
          </w:p>
        </w:tc>
        <w:tc>
          <w:tcPr>
            <w:tcW w:w="100" w:type="dxa"/>
            <w:vAlign w:val="bottom"/>
            <w:shd w:val="clear" w:color="auto" w:fill="CCEEFF"/>
          </w:tcPr>
          <w:p>
            <w:pPr>
              <w:spacing w:after="0"/>
              <w:rPr>
                <w:sz w:val="19"/>
                <w:szCs w:val="19"/>
                <w:color w:val="auto"/>
              </w:rPr>
            </w:pPr>
          </w:p>
        </w:tc>
      </w:tr>
      <w:tr>
        <w:trPr>
          <w:trHeight w:val="21"/>
        </w:trPr>
        <w:tc>
          <w:tcPr>
            <w:tcW w:w="5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23" w:lineRule="exact"/>
        <w:rPr>
          <w:sz w:val="20"/>
          <w:szCs w:val="20"/>
          <w:color w:val="auto"/>
        </w:rPr>
      </w:pPr>
    </w:p>
    <w:p>
      <w:pPr>
        <w:ind w:left="460" w:right="20" w:hanging="452"/>
        <w:spacing w:after="0" w:line="283"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Research and development expense, excluding non-cash charges, for the six months ended June 30, 2012 was $16.9 million, versus $9.1 million in the prior year period, an increase of $7.8 million, or 85.7%. The increase in research and development expense was primarily due to increased costs in 2012 for our Vascepa cardiovascular program, primarily costs associated with the purchase of raw materials and vendor qualification, and increased clinical costs for the REDUCE-IT cardiovascular outcomes study, which was initiated in the second half of 2011.</w:t>
      </w:r>
    </w:p>
    <w:p>
      <w:pPr>
        <w:spacing w:after="0" w:line="2" w:lineRule="exact"/>
        <w:rPr>
          <w:rFonts w:ascii="Arial" w:cs="Arial" w:eastAsia="Arial" w:hAnsi="Arial"/>
          <w:sz w:val="16"/>
          <w:szCs w:val="16"/>
          <w:color w:val="auto"/>
        </w:rPr>
      </w:pPr>
    </w:p>
    <w:p>
      <w:pPr>
        <w:ind w:left="460" w:right="26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Stock based compensation expense included within research and development was $1.9 million and $0.5 million for the six months ended June 30, 2012 and 2011, respectively.</w:t>
      </w:r>
    </w:p>
    <w:p>
      <w:pPr>
        <w:spacing w:after="0" w:line="11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Although clinical costs for the MARINE and ANCHOR trials have decreased as a result of their completion in 2011, we expect these cost reductions to be offset in 2012 by costs for the REDUCE-IT cardiovascular outcomes study as part of which dosing of initial patients commenced in December 2011. Increases in research and development costs during the first half of 2012 also relate to the purchase of supply of Vascepa, which supply we have included as a component of research and development expense for accounting purposes prior to NDA approval. Purchases of supply of Vascepa after FDA approval will be capitalized as a component of inventory.</w:t>
      </w:r>
    </w:p>
    <w:p>
      <w:pPr>
        <w:spacing w:after="0" w:line="1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 xml:space="preserve">Marketing, General and Administrative Expense. </w:t>
      </w:r>
      <w:r>
        <w:rPr>
          <w:rFonts w:ascii="Arial" w:cs="Arial" w:eastAsia="Arial" w:hAnsi="Arial"/>
          <w:sz w:val="18"/>
          <w:szCs w:val="18"/>
          <w:color w:val="auto"/>
        </w:rPr>
        <w:t>Marketing, general and administrative expense for the six months ended June 30, 2012 was $27.7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versus $12.8 million in the prior year period, an increase of $14.9 million, or 116.4%. Marketing, general and administrative expenses for the six months ended June 30, 2012 and 2011 are summarized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7"/>
              </w:rPr>
              <w:t>Six Months Ended</w:t>
            </w: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center"/>
              <w:ind w:left="442"/>
              <w:spacing w:after="0" w:line="149" w:lineRule="exact"/>
              <w:rPr>
                <w:sz w:val="20"/>
                <w:szCs w:val="20"/>
                <w:color w:val="auto"/>
              </w:rPr>
            </w:pPr>
            <w:r>
              <w:rPr>
                <w:rFonts w:ascii="Arial" w:cs="Arial" w:eastAsia="Arial" w:hAnsi="Arial"/>
                <w:sz w:val="14"/>
                <w:szCs w:val="14"/>
                <w:b w:val="1"/>
                <w:bCs w:val="1"/>
                <w:color w:val="auto"/>
                <w:w w:val="84"/>
              </w:rPr>
              <w:t>June 30</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4"/>
          </w:tcPr>
          <w:p>
            <w:pPr>
              <w:jc w:val="center"/>
              <w:ind w:left="282"/>
              <w:spacing w:after="0"/>
              <w:rPr>
                <w:sz w:val="20"/>
                <w:szCs w:val="20"/>
                <w:color w:val="auto"/>
              </w:rPr>
            </w:pPr>
            <w:r>
              <w:rPr>
                <w:rFonts w:ascii="Arial" w:cs="Arial" w:eastAsia="Arial" w:hAnsi="Arial"/>
                <w:sz w:val="14"/>
                <w:szCs w:val="14"/>
                <w:b w:val="1"/>
                <w:bCs w:val="1"/>
                <w:color w:val="auto"/>
                <w:w w:val="84"/>
              </w:rPr>
              <w:t>(in thousands)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60" w:type="dxa"/>
            <w:vAlign w:val="bottom"/>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7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8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Marketing, general and administrative expenses, excluding non-cash expenses (1)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Non-cash stock based compensation expense (2)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6,774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warrant related compensation expense (income) (3)</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100" w:type="dxa"/>
            <w:vAlign w:val="bottom"/>
            <w:shd w:val="clear" w:color="auto" w:fill="CCEEFF"/>
          </w:tcPr>
          <w:p>
            <w:pPr>
              <w:spacing w:after="0"/>
              <w:rPr>
                <w:sz w:val="18"/>
                <w:szCs w:val="18"/>
                <w:color w:val="auto"/>
              </w:rPr>
            </w:pPr>
          </w:p>
        </w:tc>
      </w:tr>
      <w:tr>
        <w:trPr>
          <w:trHeight w:val="338"/>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6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27,662</w:t>
            </w:r>
          </w:p>
        </w:tc>
        <w:tc>
          <w:tcPr>
            <w:tcW w:w="5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12,751</w:t>
            </w:r>
          </w:p>
        </w:tc>
        <w:tc>
          <w:tcPr>
            <w:tcW w:w="100" w:type="dxa"/>
            <w:vAlign w:val="bottom"/>
          </w:tcPr>
          <w:p>
            <w:pPr>
              <w:spacing w:after="0"/>
              <w:rPr>
                <w:sz w:val="24"/>
                <w:szCs w:val="24"/>
                <w:color w:val="auto"/>
              </w:rPr>
            </w:pPr>
          </w:p>
        </w:tc>
      </w:tr>
      <w:tr>
        <w:trPr>
          <w:trHeight w:val="21"/>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4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7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spacing w:after="0" w:line="167"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302"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Marketing, general and administrative expense, excluding non-cash compensation charges for stock compensation and warrants, for the six months ended June 30, 2012 was $16.7 million, versus $5.6 million in the prior year period, an increase of $11.1 million, or 198.2%. The increase was primarily due to cost increases in 2012 for marketing research activities, medical education program development, increased staffing and related travel, infrastructure development, facility costs, and other marketing, general, and administrative costs incurred in order to prepare for the commercialization of Vascepa.</w:t>
      </w:r>
    </w:p>
    <w:p>
      <w:pPr>
        <w:spacing w:after="0" w:line="2" w:lineRule="exact"/>
        <w:rPr>
          <w:rFonts w:ascii="Arial" w:cs="Arial" w:eastAsia="Arial" w:hAnsi="Arial"/>
          <w:sz w:val="15"/>
          <w:szCs w:val="15"/>
          <w:color w:val="auto"/>
        </w:rPr>
      </w:pPr>
    </w:p>
    <w:p>
      <w:pPr>
        <w:ind w:left="460" w:right="10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 based compensation expense for the six months ended June 30, 2012 was $6.8 million, versus $2.8 million in the prior year period, an increase of $4.0 million primarily reflecting an increase in the number of awards outstanding during the period ending June 30, 2012 versus the prior period, and also in the fair value of new option awards granted to attract and retain qualified employees.</w:t>
      </w:r>
    </w:p>
    <w:p>
      <w:pPr>
        <w:spacing w:after="0" w:line="1" w:lineRule="exact"/>
        <w:rPr>
          <w:rFonts w:ascii="Arial" w:cs="Arial" w:eastAsia="Arial" w:hAnsi="Arial"/>
          <w:sz w:val="18"/>
          <w:szCs w:val="18"/>
          <w:color w:val="auto"/>
        </w:rPr>
      </w:pPr>
    </w:p>
    <w:p>
      <w:pPr>
        <w:ind w:left="460" w:right="20" w:hanging="452"/>
        <w:spacing w:after="0" w:line="287"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Warrant related compensation expense (income) for the six months ended June 30, 2012 was expense of $4.2 million, versus $4.4 million in the prior year period. Warrant related compensation expense for the period ended June 30, 2012 reflects a non-cash change in fair value of the warrant derivative liability associated with warrants issued in October 2009 to three former employees of Amarin, net of warrants exercised. The increase in the fair value of the warrants for the six months ended June 30, 2012 is due primarily to an increase in our stock price between December 31, 2011 and June 30, 2012. We anticipate that the value of this warrant derivative liability may increase or decrease from period to period based upon changes in the price of our common stock. Such non-cash changes in valuation could be significant as the history of our stock price has been volatile. The gain or loss resulting from such non-cash changes in valuation could have a material impact on our reported net income or loss from period to period. In particular, if the price of our stock increases, the change in valuation of this warrant derivative liability will add to our history of operating losses.</w:t>
      </w:r>
    </w:p>
    <w:p>
      <w:pPr>
        <w:spacing w:after="0" w:line="9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expect marketing, general and administrative costs in 2012 to increase as we prepare for the commercialization of Vascepa, including costs for market research, sales force preparation and development of management information systems. The extent of such increases will depend in large part on whether we launch Vascepa on our own or with a strategic collaborator. If we launch Vascepa on our own, we anticipate that this launch will occur in early 2013 and that we would not hire the majority of the anticipated number of sales representatives until the fourth quarter of 2012.</w:t>
      </w:r>
    </w:p>
    <w:p>
      <w:pPr>
        <w:spacing w:after="0" w:line="86"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Gain (loss) on Change in Fair Value of Derivative Liability</w:t>
      </w:r>
      <w:r>
        <w:rPr>
          <w:rFonts w:ascii="Arial" w:cs="Arial" w:eastAsia="Arial" w:hAnsi="Arial"/>
          <w:sz w:val="16"/>
          <w:szCs w:val="16"/>
          <w:color w:val="auto"/>
        </w:rPr>
        <w:t>. Gain (loss) on change in fair value of derivative liability for the six months ended June 30, 2012 was</w:t>
      </w:r>
      <w:r>
        <w:rPr>
          <w:rFonts w:ascii="Arial" w:cs="Arial" w:eastAsia="Arial" w:hAnsi="Arial"/>
          <w:sz w:val="16"/>
          <w:szCs w:val="16"/>
          <w:i w:val="1"/>
          <w:iCs w:val="1"/>
          <w:color w:val="auto"/>
        </w:rPr>
        <w:t xml:space="preserve"> </w:t>
      </w:r>
      <w:r>
        <w:rPr>
          <w:rFonts w:ascii="Arial" w:cs="Arial" w:eastAsia="Arial" w:hAnsi="Arial"/>
          <w:sz w:val="16"/>
          <w:szCs w:val="16"/>
          <w:color w:val="auto"/>
        </w:rPr>
        <w:t>a loss of $85.2 million versus a loss of $160.0 million in the prior year period. (Loss) gain on change in fair value of derivative liability is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December 31, 2011 was $123.1 million and we recognized a $85.2 million loss on change in fair value of derivative liability for the period ended June 30, 2012 for these warrants. The fair value of the warrant derivative liability at December 31, 2010 was $230.1 million and we recognized a $160.0 million loss on change in fair value of derivative liability for the period ended June 30, 2011. The warrant derivative liability is decreased when warrants are exercised and the derivative liability associated with such exercised warrants is reclassified to stockholders equity. The fair value of the warrant derivative liability also decreases or increases due to decreases or increases in the price of our common stock during the reporting period as well as to changes in other variables in the Black-Scholes option valuation model used to calculate such non-cash derivative liability.</w:t>
      </w:r>
    </w:p>
    <w:p>
      <w:pPr>
        <w:spacing w:after="0" w:line="100"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i w:val="1"/>
          <w:iCs w:val="1"/>
          <w:color w:val="auto"/>
        </w:rPr>
        <w:t xml:space="preserve">Interest Income (Expense), net. </w:t>
      </w:r>
      <w:r>
        <w:rPr>
          <w:rFonts w:ascii="Arial" w:cs="Arial" w:eastAsia="Arial" w:hAnsi="Arial"/>
          <w:sz w:val="16"/>
          <w:szCs w:val="16"/>
          <w:color w:val="auto"/>
        </w:rPr>
        <w:t>Interest income includes interest earned on cash balances. Interest expense includes the amortization of the conversion option</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our exchangeable debt, the amortization of the debt discount and debt obligation coupon interest. During the six months ended June 30, 2012, we recognized interest expense of $8.5 million, of which $5.0 million represents amortization of the debt discount, $2.5 million represents contractual coupon interest, $1.0 million represents the amortization of the discount from underwriters’ discounts and offering costs.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primarily includes gains and losses on foreign exchange transactions.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00" w:firstLine="342"/>
        <w:spacing w:after="0" w:line="298" w:lineRule="auto"/>
        <w:rPr>
          <w:sz w:val="20"/>
          <w:szCs w:val="20"/>
          <w:color w:val="auto"/>
        </w:rPr>
      </w:pPr>
      <w:r>
        <w:rPr>
          <w:rFonts w:ascii="Arial" w:cs="Arial" w:eastAsia="Arial" w:hAnsi="Arial"/>
          <w:sz w:val="16"/>
          <w:szCs w:val="16"/>
          <w:color w:val="auto"/>
        </w:rPr>
        <w:t>Our sources of liquidity as of June 30, 2012 include cash and cash equivalents of $250.3 million. In January 2012 we completed a convertible debt offering from which we received approximately $144.3 million in net proceeds. Our projected uses of cash include the continued funding of the REDUCE-IT study, commercial preparation and launch of Vascepa, working capital and other general corporate activities. Our cash flows from operating, investing and financing activities, as reflected in the consolidated statements of cash flows, are summarized in the following table (in millions):</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89"/>
              </w:rPr>
              <w:t>Six Months 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(used in) provided by continuing operations:</w:t>
            </w: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Operating activities</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(39.1)</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Investing activities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Financing activities</w:t>
            </w:r>
          </w:p>
        </w:tc>
        <w:tc>
          <w:tcPr>
            <w:tcW w:w="1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0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r>
              <w:rPr>
                <w:rFonts w:ascii="Arial" w:cs="Arial" w:eastAsia="Arial" w:hAnsi="Arial"/>
                <w:sz w:val="18"/>
                <w:szCs w:val="18"/>
                <w:u w:val="single" w:color="auto"/>
                <w:color w:val="auto"/>
              </w:rPr>
              <w:t>7</w:t>
            </w:r>
          </w:p>
        </w:tc>
        <w:tc>
          <w:tcPr>
            <w:tcW w:w="2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had no debt obligations at December 31, 2011.</w:t>
      </w:r>
    </w:p>
    <w:p>
      <w:pPr>
        <w:spacing w:after="0" w:line="144" w:lineRule="exact"/>
        <w:rPr>
          <w:sz w:val="20"/>
          <w:szCs w:val="20"/>
          <w:color w:val="auto"/>
        </w:rPr>
      </w:pPr>
    </w:p>
    <w:p>
      <w:pPr>
        <w:ind w:right="160" w:firstLine="342"/>
        <w:spacing w:after="0" w:line="332" w:lineRule="auto"/>
        <w:rPr>
          <w:sz w:val="20"/>
          <w:szCs w:val="20"/>
          <w:color w:val="auto"/>
        </w:rPr>
      </w:pPr>
      <w:r>
        <w:rPr>
          <w:rFonts w:ascii="Arial" w:cs="Arial" w:eastAsia="Arial" w:hAnsi="Arial"/>
          <w:sz w:val="16"/>
          <w:szCs w:val="16"/>
          <w:color w:val="auto"/>
        </w:rPr>
        <w:t>On January 9, 2012, Amarin, through our wholly-owned subsidiary Corsicanto Limited, a private limited company incorporated under the laws of Ireland, completed a private placement of $150.0 in aggregate principal amount of its 3.5% exchangeable senior notes due 2032. The</w:t>
      </w:r>
    </w:p>
    <w:p>
      <w:pPr>
        <w:sectPr>
          <w:pgSz w:w="11900" w:h="16838" w:orient="portrait"/>
          <w:cols w:equalWidth="0" w:num="1">
            <w:col w:w="11360"/>
          </w:cols>
          <w:pgMar w:left="240" w:top="459" w:right="299" w:bottom="1440" w:gutter="0" w:footer="0" w:header="0"/>
        </w:sectPr>
      </w:pP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60"/>
          </w:cols>
          <w:pgMar w:left="240" w:top="459" w:right="29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proceeds received by Amarin from the January 2012 debt offering were approximately $144.3 million, net of fees and transaction costs. These notes were issued pursuant to an indenture dated as of January 9, 2012, by and among Corsicanto Limited, Amarin Corporation plc as guarantor, and Wells Fargo Bank, National Association, as trustee. The notes are the senior unsecured obligations of Corsicanto and are guaranteed by Amarin Corporation plc. The notes bear interest at a rate of 3.5% per annum, payable semi-annually in arrears on January 15 and July 15 of each year, beginning on July 15, 2012. The notes mature on January 15, 2032, unless earlier repurchased, redeemed or exchanged. On or after January 19, 2017, we may elect to redeem for cash all or a portion of the notes for the principal amount of the notes plus accrued and unpaid interest. On each of January 19, 2017, January 19, 2022 and January 19, 2027, the holders of the notes may require that we repurchase in cash the principal amount of the notes plus accrued and unpaid interest. At any time prior to January 15, 2032, upon certain circumstances, which circumstances include our issuing a notice of redemption to the note holders, the price of Amarin shares trading above 130% of the exchange price, or certain other events defined in the note agreement, the holders of the notes may elect to convert the notes. The exchange rate for conversion is 113.4752 ADSs per $1,000 principal amount of the notes (equivalent to an initial exchange price of approximately $8.8125 per ADS), subject to adjustment in certain circumstances, including adjustment if we pay cash dividends. Upon exchange, the notes may be settled, at Amarin’s election, subject to certain conditions, in cash, ADSs or a combination of cash and ADSs.</w:t>
      </w:r>
    </w:p>
    <w:p>
      <w:pPr>
        <w:spacing w:after="0" w:line="97" w:lineRule="exact"/>
        <w:rPr>
          <w:sz w:val="20"/>
          <w:szCs w:val="20"/>
          <w:color w:val="auto"/>
        </w:rPr>
      </w:pPr>
    </w:p>
    <w:p>
      <w:pPr>
        <w:ind w:right="420" w:firstLine="342"/>
        <w:spacing w:after="0" w:line="332" w:lineRule="auto"/>
        <w:rPr>
          <w:sz w:val="20"/>
          <w:szCs w:val="20"/>
          <w:color w:val="auto"/>
        </w:rPr>
      </w:pPr>
      <w:r>
        <w:rPr>
          <w:rFonts w:ascii="Arial" w:cs="Arial" w:eastAsia="Arial" w:hAnsi="Arial"/>
          <w:sz w:val="16"/>
          <w:szCs w:val="16"/>
          <w:color w:val="auto"/>
        </w:rPr>
        <w:t>In January 2011, we sold 13.8 million shares of our common shares, par value £0.50 per share, at a price of $7.60 per share, resulting in net proceeds of approximately $98.7 million after deducting underwriting commissions and expenses payable by us associated with this transaction.</w:t>
      </w:r>
    </w:p>
    <w:p>
      <w:pPr>
        <w:spacing w:after="0" w:line="58" w:lineRule="exact"/>
        <w:rPr>
          <w:sz w:val="20"/>
          <w:szCs w:val="20"/>
          <w:color w:val="auto"/>
        </w:rPr>
      </w:pPr>
    </w:p>
    <w:p>
      <w:pPr>
        <w:ind w:right="140" w:firstLine="342"/>
        <w:spacing w:after="0" w:line="370" w:lineRule="auto"/>
        <w:rPr>
          <w:sz w:val="20"/>
          <w:szCs w:val="20"/>
          <w:color w:val="auto"/>
        </w:rPr>
      </w:pPr>
      <w:r>
        <w:rPr>
          <w:rFonts w:ascii="Arial" w:cs="Arial" w:eastAsia="Arial" w:hAnsi="Arial"/>
          <w:sz w:val="15"/>
          <w:szCs w:val="15"/>
          <w:color w:val="auto"/>
        </w:rPr>
        <w:t>We believe that our cash and cash equivalents will be sufficient to fund our projected operations for at least the next twelve months, including advancement of the REDUCE-IT cardiovascular outcomes study, commercial preparations for and launch of Vascepa, working capital and other general corporate activities.</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future capital requirements will depend on, and could be affected materially by, numerous forward-looking factors, including:</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the terms, timing and receipt of payments, if any, from any strategic collaboration we may enter into to support the marketing and sale of Vascepa;</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the cost and timing of establishing marketing and sales capabilities if we do not enter into a strategic collaboration to market and sell Vascepa;</w:t>
      </w:r>
    </w:p>
    <w:p>
      <w:pPr>
        <w:spacing w:after="0" w:line="153" w:lineRule="exact"/>
        <w:rPr>
          <w:sz w:val="20"/>
          <w:szCs w:val="20"/>
          <w:color w:val="auto"/>
        </w:rPr>
      </w:pPr>
    </w:p>
    <w:p>
      <w:pPr>
        <w:ind w:left="660" w:right="340" w:hanging="446"/>
        <w:spacing w:after="0" w:line="268" w:lineRule="auto"/>
        <w:rPr>
          <w:sz w:val="20"/>
          <w:szCs w:val="20"/>
          <w:color w:val="auto"/>
        </w:rPr>
      </w:pPr>
      <w:r>
        <w:rPr>
          <w:rFonts w:ascii="Arial" w:cs="Arial" w:eastAsia="Arial" w:hAnsi="Arial"/>
          <w:sz w:val="18"/>
          <w:szCs w:val="18"/>
          <w:color w:val="auto"/>
        </w:rPr>
        <w:t>— the rate of progress and cost of our ongoing REDUCE-IT outcomes trial, the need, if any, to conduct additional clinical trials and other development activities for the regulatory approval of Vascepa in additional indications in the United States and internationally;</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the extent to which we continue to develop internally, acquire or in-license new products, technologies or businesses;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the cost of filing, prosecuting, defending and enforcing any patent claims and other intellectual property rights; and</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the success of the commercial launch of Vascepa.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may seek to raise additional funds to:</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facilitate our efforts to establish marketing and sales capabilities to market and sell Vascepa in the United States;</w:t>
      </w:r>
    </w:p>
    <w:p>
      <w:pPr>
        <w:spacing w:after="0" w:line="15" w:lineRule="exact"/>
        <w:rPr>
          <w:sz w:val="20"/>
          <w:szCs w:val="20"/>
          <w:color w:val="auto"/>
        </w:rPr>
      </w:pPr>
    </w:p>
    <w:p>
      <w:pPr>
        <w:ind w:left="660" w:right="140" w:hanging="446"/>
        <w:spacing w:after="0" w:line="250" w:lineRule="auto"/>
        <w:rPr>
          <w:sz w:val="20"/>
          <w:szCs w:val="20"/>
          <w:color w:val="auto"/>
        </w:rPr>
      </w:pPr>
      <w:r>
        <w:rPr>
          <w:rFonts w:ascii="Arial" w:cs="Arial" w:eastAsia="Arial" w:hAnsi="Arial"/>
          <w:sz w:val="18"/>
          <w:szCs w:val="18"/>
          <w:color w:val="auto"/>
        </w:rPr>
        <w:t>— further develop Vascepa to meet the requirements for regulatory approval of Vascepa for additional indications in the United States and internationally; and</w:t>
      </w:r>
    </w:p>
    <w:p>
      <w:pPr>
        <w:ind w:left="220"/>
        <w:spacing w:after="0"/>
        <w:rPr>
          <w:sz w:val="20"/>
          <w:szCs w:val="20"/>
          <w:color w:val="auto"/>
        </w:rPr>
      </w:pPr>
      <w:r>
        <w:rPr>
          <w:rFonts w:ascii="Arial" w:cs="Arial" w:eastAsia="Arial" w:hAnsi="Arial"/>
          <w:sz w:val="18"/>
          <w:szCs w:val="18"/>
          <w:color w:val="auto"/>
        </w:rPr>
        <w:t>—   develop internally, acquire or in-license new products, technologies or businesses or to otherwise fund our operations.</w:t>
      </w:r>
    </w:p>
    <w:p>
      <w:pPr>
        <w:spacing w:after="0" w:line="11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Until we can generate a sufficient amount of product revenue, if ever, we expect to finance future cash needs through public or private equity offerings, debt financings or corporate collaboration and licensing arrangements. There can be no assurance that funding, if needed, will be available on attractive terms, or at all. Furthermore, any additional equity financing may be dilutive to stockholders and debt financing, if available, may involve restrictive covenants. Similarly, financing obtained through future collaborations may require us to forego certain commercialization rights to our drug candidates in certain jurisdictions. Our failure to raise capital as and when needed could have a negative impact on our financial condition and our ability to successfully pursue our business strategy.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3" w:lineRule="exact"/>
        <w:rPr>
          <w:sz w:val="20"/>
          <w:szCs w:val="20"/>
          <w:color w:val="auto"/>
        </w:rPr>
      </w:pPr>
    </w:p>
    <w:p>
      <w:pPr>
        <w:ind w:right="160" w:firstLine="342"/>
        <w:spacing w:after="0" w:line="268" w:lineRule="auto"/>
        <w:rPr>
          <w:sz w:val="20"/>
          <w:szCs w:val="20"/>
          <w:color w:val="auto"/>
        </w:rPr>
      </w:pPr>
      <w:r>
        <w:rPr>
          <w:rFonts w:ascii="Arial" w:cs="Arial" w:eastAsia="Arial" w:hAnsi="Arial"/>
          <w:sz w:val="18"/>
          <w:szCs w:val="18"/>
          <w:color w:val="auto"/>
        </w:rPr>
        <w:t>The following table summarizes our contractual obligations at June 30, 2012 and the effects such obligations are expected to have on our liquidity and cash flows in future periods (in millions):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by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2013</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Total</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2012</w:t>
            </w:r>
          </w:p>
        </w:tc>
        <w:tc>
          <w:tcPr>
            <w:tcW w:w="50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to 2014</w:t>
            </w:r>
          </w:p>
        </w:tc>
        <w:tc>
          <w:tcPr>
            <w:tcW w:w="520" w:type="dxa"/>
            <w:vAlign w:val="bottom"/>
          </w:tcPr>
          <w:p>
            <w:pPr>
              <w:spacing w:after="0"/>
              <w:rPr>
                <w:sz w:val="14"/>
                <w:szCs w:val="14"/>
                <w:color w:val="auto"/>
              </w:rPr>
            </w:pPr>
          </w:p>
        </w:tc>
        <w:tc>
          <w:tcPr>
            <w:tcW w:w="540" w:type="dxa"/>
            <w:vAlign w:val="bottom"/>
            <w:gridSpan w:val="2"/>
          </w:tcPr>
          <w:p>
            <w:pPr>
              <w:ind w:left="60"/>
              <w:spacing w:after="0"/>
              <w:rPr>
                <w:sz w:val="20"/>
                <w:szCs w:val="20"/>
                <w:color w:val="auto"/>
              </w:rPr>
            </w:pPr>
            <w:r>
              <w:rPr>
                <w:rFonts w:ascii="Arial" w:cs="Arial" w:eastAsia="Arial" w:hAnsi="Arial"/>
                <w:sz w:val="14"/>
                <w:szCs w:val="14"/>
                <w:b w:val="1"/>
                <w:bCs w:val="1"/>
                <w:color w:val="auto"/>
                <w:w w:val="95"/>
              </w:rPr>
              <w:t>to 2016</w:t>
            </w:r>
          </w:p>
        </w:tc>
        <w:tc>
          <w:tcPr>
            <w:tcW w:w="50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After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Contractual Obligations:</w:t>
            </w:r>
          </w:p>
        </w:tc>
        <w:tc>
          <w:tcPr>
            <w:tcW w:w="2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Purchase obligations (1)</w:t>
            </w:r>
          </w:p>
        </w:tc>
        <w:tc>
          <w:tcPr>
            <w:tcW w:w="2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10.6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lease obligations (2)</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Interest payment obligations (3)</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2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360" w:type="dxa"/>
            <w:vAlign w:val="bottom"/>
            <w:vMerge w:val="restart"/>
          </w:tcPr>
          <w:p>
            <w:pPr>
              <w:jc w:val="right"/>
              <w:ind w:right="632"/>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20" w:hanging="452"/>
        <w:spacing w:after="0" w:line="335"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Represents minimum purchase obligations under our supply agreement with Nisshin as of June 30, 2012. We paid $2.4 million during the six months ended June 30, 2012 and as of June 30, 2012 had additional purchase obligations of $10.6 million. Not included in this obligation as of June 30, 2012 is a non-refundable milestone payment of $0.5 million, payable upon the first marketing approval of Vascepa in the United States, which was obtained in July 2012.</w:t>
      </w:r>
    </w:p>
    <w:p>
      <w:pPr>
        <w:spacing w:after="0" w:line="88" w:lineRule="exact"/>
        <w:rPr>
          <w:rFonts w:ascii="Arial" w:cs="Arial" w:eastAsia="Arial" w:hAnsi="Arial"/>
          <w:sz w:val="15"/>
          <w:szCs w:val="15"/>
          <w:color w:val="auto"/>
        </w:rPr>
      </w:pPr>
    </w:p>
    <w:p>
      <w:pPr>
        <w:ind w:left="460"/>
        <w:spacing w:after="0" w:line="335" w:lineRule="auto"/>
        <w:rPr>
          <w:rFonts w:ascii="Arial" w:cs="Arial" w:eastAsia="Arial" w:hAnsi="Arial"/>
          <w:sz w:val="15"/>
          <w:szCs w:val="15"/>
          <w:color w:val="auto"/>
        </w:rPr>
      </w:pPr>
      <w:r>
        <w:rPr>
          <w:rFonts w:ascii="Arial" w:cs="Arial" w:eastAsia="Arial" w:hAnsi="Arial"/>
          <w:sz w:val="15"/>
          <w:szCs w:val="15"/>
          <w:color w:val="auto"/>
        </w:rPr>
        <w:t>As noted, the table above reflects the purchase commitments as of June 30, 2012, prior to the marketing approval for Vascepa. Subsequent to this marketing approval, in accordance with our agreement with Nisshin, we have additional required minimum purchase commitments of $24.7 million, for aggregate minimum purchase obligations of $35.3 million. In preparation for the commercialization of Vascepa we may purchase more than the minimum amount.</w:t>
      </w:r>
    </w:p>
    <w:p>
      <w:pPr>
        <w:spacing w:after="0" w:line="7" w:lineRule="exact"/>
        <w:rPr>
          <w:rFonts w:ascii="Arial" w:cs="Arial" w:eastAsia="Arial" w:hAnsi="Arial"/>
          <w:sz w:val="15"/>
          <w:szCs w:val="15"/>
          <w:color w:val="auto"/>
        </w:rPr>
      </w:pPr>
    </w:p>
    <w:p>
      <w:pPr>
        <w:ind w:left="460" w:right="300"/>
        <w:spacing w:after="0" w:line="259" w:lineRule="auto"/>
        <w:rPr>
          <w:rFonts w:ascii="Arial" w:cs="Arial" w:eastAsia="Arial" w:hAnsi="Arial"/>
          <w:sz w:val="15"/>
          <w:szCs w:val="15"/>
          <w:color w:val="auto"/>
        </w:rPr>
      </w:pPr>
      <w:r>
        <w:rPr>
          <w:rFonts w:ascii="Arial" w:cs="Arial" w:eastAsia="Arial" w:hAnsi="Arial"/>
          <w:sz w:val="18"/>
          <w:szCs w:val="18"/>
          <w:color w:val="auto"/>
        </w:rPr>
        <w:t>We also anticipate incurring certain costs associated with the qualification of product produced by Nisshin. In an effort to further expand production capacity at this supplier or through the addition of supplemental suppliers, we may make capital commitments to support their expansion, particularly if such commitments further reduce the cost to us of the manufactured product.</w:t>
      </w:r>
    </w:p>
    <w:p>
      <w:pPr>
        <w:spacing w:after="0" w:line="99" w:lineRule="exact"/>
        <w:rPr>
          <w:rFonts w:ascii="Arial" w:cs="Arial" w:eastAsia="Arial" w:hAnsi="Arial"/>
          <w:sz w:val="15"/>
          <w:szCs w:val="15"/>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operating lease costs, primarily consisting of leases for facilities in Dublin, Ireland, Bedminster, NJ, and Groton, CT.</w:t>
      </w:r>
    </w:p>
    <w:p>
      <w:pPr>
        <w:spacing w:after="0" w:line="130" w:lineRule="exact"/>
        <w:rPr>
          <w:rFonts w:ascii="Arial" w:cs="Arial" w:eastAsia="Arial" w:hAnsi="Arial"/>
          <w:sz w:val="18"/>
          <w:szCs w:val="18"/>
          <w:color w:val="auto"/>
        </w:rPr>
      </w:pPr>
    </w:p>
    <w:p>
      <w:pPr>
        <w:ind w:left="460" w:right="16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interest payments due under the terms of our 3.5% exchangeable senior notes (“notes”) due 2032, assuming they remain outstanding for 24 months and have not been exchanged for ADRs. The above table does not reflect the repayment of the $150.0 million notes as they may be exchanged for ADRs.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We do not enter into financial instruments for trading or speculative purposes.</w:t>
      </w:r>
    </w:p>
    <w:p>
      <w:pPr>
        <w:spacing w:after="0" w:line="144" w:lineRule="exact"/>
        <w:rPr>
          <w:sz w:val="20"/>
          <w:szCs w:val="20"/>
          <w:color w:val="auto"/>
        </w:rPr>
      </w:pPr>
    </w:p>
    <w:p>
      <w:pPr>
        <w:ind w:right="60" w:firstLine="342"/>
        <w:spacing w:after="0" w:line="285" w:lineRule="auto"/>
        <w:rPr>
          <w:sz w:val="20"/>
          <w:szCs w:val="20"/>
          <w:color w:val="auto"/>
        </w:rPr>
      </w:pPr>
      <w:r>
        <w:rPr>
          <w:rFonts w:ascii="Arial" w:cs="Arial" w:eastAsia="Arial" w:hAnsi="Arial"/>
          <w:sz w:val="16"/>
          <w:szCs w:val="16"/>
          <w:color w:val="auto"/>
        </w:rPr>
        <w:t>The above table also does not reflect potential material purchases under the API supply agreements signed during 2011 with two additional API suppliers, or the additional supplier signed in July 2012. These agreements provide access to additional API supply that is incremental to supply from Nisshin Pharma, our existing API supplier. Each of these API agreements contemplates a phased capacity expansion plan aimed at creating sufficient capacity to meet anticipated demand for API material for Vascepa following FDA approval. These API suppliers are self-funding these expansion plans with contributions from Amarin. These agreements include requirements for the suppliers to qualify their materials and facilities. We anticipate incurring certain costs associated with the qualification of product produced by these suppliers. These agreements include annual purchase levels enabling Amarin to maintain supply exclusivity with each respective supplier, and to prevent potential termination of the agreements. These minimum purchase levels do not contractually begin until the applicable supplemental NDA, or sNDA, for the supplier is approved by the FDA, if ever, and these amounts are therefore excluded from the above table. The two supply agreements entered into in 2011 also include (i) development fees up to a maximum of $0.5 million, (ii) material commitments of up to $5.0 million for initial raw materials, which will be credited against future API purchases, and is refundable to us if a supplier does not successfully develop and qualify the API by a certain date and (iii) a raw material purchase commitment of $1.1 million. The agreement with the fourth API supplier, when all contingencies are eliminated by the supplier, provides for development fees of up to $2.3 million and a commitment of up to $15.0 million which will be credited against future API material purchases. During the period commencing July 1, 2012 through expected launch of Vascepa in early 2013, we estimate that we may spend $25 to $35 million to build inventory levels of API and Vascepa capsules, including the contractual purchase obligations for this period described above plus potential additional purchases of API that we may elect to purchase.</w:t>
      </w:r>
    </w:p>
    <w:p>
      <w:pPr>
        <w:spacing w:after="0" w:line="99" w:lineRule="exact"/>
        <w:rPr>
          <w:sz w:val="20"/>
          <w:szCs w:val="20"/>
          <w:color w:val="auto"/>
        </w:rPr>
      </w:pPr>
    </w:p>
    <w:p>
      <w:pPr>
        <w:ind w:right="220" w:firstLine="342"/>
        <w:spacing w:after="0" w:line="298" w:lineRule="auto"/>
        <w:rPr>
          <w:sz w:val="20"/>
          <w:szCs w:val="20"/>
          <w:color w:val="auto"/>
        </w:rPr>
      </w:pPr>
      <w:r>
        <w:rPr>
          <w:rFonts w:ascii="Arial" w:cs="Arial" w:eastAsia="Arial" w:hAnsi="Arial"/>
          <w:sz w:val="16"/>
          <w:szCs w:val="16"/>
          <w:color w:val="auto"/>
        </w:rPr>
        <w:t>Concurrent with our supply agreements with Chemport, we agreed to make a minority share equity investment in Chemport of up to $3.3 million. In July 2011, we paid to Chemport $1.7 million, which has been included in other long term assets at December 31, 2011 and June 30, 2012. Under this agreement, we paid an additional $0.8 million in April 2012, which has also been included in other long term assets at June 30, 2012. We invested an additional $0.4 million under this agreement, as amended in July 2012, and anticipate making the remaining $0.4 million investment before the end of 2012.</w:t>
      </w:r>
    </w:p>
    <w:p>
      <w:pPr>
        <w:spacing w:after="0" w:line="86" w:lineRule="exact"/>
        <w:rPr>
          <w:sz w:val="20"/>
          <w:szCs w:val="20"/>
          <w:color w:val="auto"/>
        </w:rPr>
      </w:pPr>
    </w:p>
    <w:p>
      <w:pPr>
        <w:ind w:right="40" w:firstLine="342"/>
        <w:spacing w:after="0" w:line="255" w:lineRule="auto"/>
        <w:rPr>
          <w:sz w:val="20"/>
          <w:szCs w:val="20"/>
          <w:color w:val="auto"/>
        </w:rPr>
      </w:pPr>
      <w:r>
        <w:rPr>
          <w:rFonts w:ascii="Arial" w:cs="Arial" w:eastAsia="Arial" w:hAnsi="Arial"/>
          <w:sz w:val="18"/>
          <w:szCs w:val="18"/>
          <w:color w:val="auto"/>
        </w:rPr>
        <w:t>Under our 2004 share repurchase agreement with Laxdale Limited, in connection with any commercialization of Vascepa for cardiovascular indications prior to the end of 2012, we are required to pay potential royalties to a former employee of Laxdale of 1% on net sales up to £100 million (approximately $156 million at June 30, 2012); 0.5% for net sales between £100 million (approximately $156 million at June 30, 2012) and £500 million (approximately $780.7 million at June 30, 2012); and 0.25% for sales in excess of £500 million (approximately $780.7 million at June 30, 2012). These royalty obligations terminate on December 31, 2012.</w:t>
      </w:r>
    </w:p>
    <w:p>
      <w:pPr>
        <w:spacing w:after="0" w:line="116" w:lineRule="exact"/>
        <w:rPr>
          <w:sz w:val="20"/>
          <w:szCs w:val="20"/>
          <w:color w:val="auto"/>
        </w:rPr>
      </w:pPr>
    </w:p>
    <w:p>
      <w:pPr>
        <w:ind w:right="20" w:firstLine="342"/>
        <w:spacing w:after="0" w:line="288" w:lineRule="auto"/>
        <w:rPr>
          <w:sz w:val="20"/>
          <w:szCs w:val="20"/>
          <w:color w:val="auto"/>
        </w:rPr>
      </w:pPr>
      <w:r>
        <w:rPr>
          <w:rFonts w:ascii="Arial" w:cs="Arial" w:eastAsia="Arial" w:hAnsi="Arial"/>
          <w:sz w:val="16"/>
          <w:szCs w:val="16"/>
          <w:color w:val="auto"/>
        </w:rPr>
        <w:t>Under this same agreement with Laxdale Limited, upon receipt of marketing approval in the United States and/or Europe for the first indication for Vascepa (or first indication of any product containing Amarin Neuroscience intellectual property acquired from Laxdale Limited in 2004), we must make an aggregate stock or cash payment (at the sole option of each of the sellers) of £7.5 million (approximately $11.7 million at June 30, 2012) for each of the two potential marketing approvals (i.e., £15 million maximum, or approximately $23.4 million at June 30, 2012). In addition, upon receipt of a marketing approval in the United States or Europe for a further indication of Vascepa (or further indication of any other product using Amarin Neuroscience intellectual property), we must make an aggregate stock or cash payment (at the sole option of each of the sellers) of £5 million (approximately $7.8 million at June 30, 2012) for each of the two potential market approvals (i.e. £10 million maximum, or approximately $15.6 million at June 30, 2012). No provision has been made for these payments as of June 30, 2012. Upon FDA approval of Vascepa for commercial marketing in the United States in July 2012, we accrued the liability associated with the former shareholders of Laxdale Limited.</w:t>
      </w:r>
    </w:p>
    <w:p>
      <w:pPr>
        <w:spacing w:after="0" w:line="93" w:lineRule="exact"/>
        <w:rPr>
          <w:sz w:val="20"/>
          <w:szCs w:val="20"/>
          <w:color w:val="auto"/>
        </w:rPr>
      </w:pPr>
    </w:p>
    <w:p>
      <w:pPr>
        <w:jc w:val="both"/>
        <w:ind w:right="140" w:firstLine="342"/>
        <w:spacing w:after="0" w:line="370" w:lineRule="auto"/>
        <w:rPr>
          <w:sz w:val="20"/>
          <w:szCs w:val="20"/>
          <w:color w:val="auto"/>
        </w:rPr>
      </w:pPr>
      <w:r>
        <w:rPr>
          <w:rFonts w:ascii="Arial" w:cs="Arial" w:eastAsia="Arial" w:hAnsi="Arial"/>
          <w:sz w:val="15"/>
          <w:szCs w:val="15"/>
          <w:color w:val="auto"/>
        </w:rPr>
        <w:t>In addition to the obligations in the table above, we have approximately $0.7 million of liability for uncertain tax positions that have been recorded in long-term liabilities at December 31, 2011 and June 30, 2012. We are not able to reasonably estimate in which future periods these amounts will ultimately be settled.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Statement</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March 29, 2011, we filed with the SEC a universal shelf registration statement on Form S-3 (Registration No. 333-173132), which provides for the offer, from time to time, of an indeterminate and unlimited amount of: ordinary shares, which may be represented by American Depositary Shares; preference shares, which may be represented by American Depositary Shares; senior or subordinated debt securities; warrants to purchase any of these securities; and any combination of these securities, individually or as units. In addition, if we identify any security holder(s) in a prospectus supplement, they may also offer identified securities under this registration statement although we will not receive any of the proceeds from the sale of securities by any of these selling security holders. This universal shelf registration statement was automatically effective upon its filing. The addition of any newly issued equity securities into the market may be dilutive to existing stockholders and new issuances by us or sales by our selling security holders could have an adverse effect on the price of our securities.</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are exposed to market risks, which include changes in interest rates, changes in credit worthiness and liquidity of our marketable securities. We do not use derivative financial instruments in our investment portfolio and have no foreign exchange contracts.</w:t>
      </w:r>
    </w:p>
    <w:p>
      <w:pPr>
        <w:spacing w:after="0" w:line="13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At June 30, 2012, we record as a liability the fair value of warrants to purchase 9.2 million shares of our common stock issued to investors. The fair value of this warrant liability is determined using the Black-Scholes option valuation model and is therefore sensitive to changes in the market price and volatility of our common stock among other factors. In the event of a hypothetical 10% increase in the market price of our common stock ($15.91 based on the $14.46 market price of our stock at June 30, 2012) on which the June 30, 2012 valuation was based, the value would have increased by $13.2 million. Such increase would have been reflected as additional loss on revaluation of the warrant liability in our statement of operations. Subsequent to June 30, 2012, the price of our common shares increased more than 10% which, if sustained on subsequent measurement periods will result in a greater increase in the value of the derivative liability and a greater additional loss than reflected in this hypothetical example.</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As of June 30, 2012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the Evaluation Date, our disclosure controls and procedures were effective at the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5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second quarter of 2012 that have materially affected, or are reasonably likely to materially affect, our internal control over financial reporting, other than described below.</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In the ordinary course of business, we are from time to time involved in lawsuits, claims, investigations, proceedings, and threats of litigation relating to intellectual property, commercial arrangements and other matters. While the outcome of legal or arbitration proceedings and claims cannot be predicted with certainty, as of June 30, 2012, we were not party to any legal or arbitration proceedings that may have, or have had in the recent past, significant effects on our financial position or profitability. No governmental proceedings are pending or, to our knowledge, contemplated against us. We are not a party to any material legal or arbitration in which any director, member of senior management or affiliate of ours is either a party adverse to us or our subsidiaries or has a material interest adverse to us or our subsidiaries.</w:t>
      </w:r>
    </w:p>
    <w:p>
      <w:pPr>
        <w:spacing w:after="0" w:line="23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8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the progress and timing of our clinical programs, the safety and efficacy of our product and product candidates, regulatory filings, approvals and determinations related to marketing exclusivity, commercialization activities, the likelihood of a strategic collaboration, the potential clinical benefits and market potential of our product and product candidates, commercial market estimates, future development efforts, patent protection, effects of healthcare reform, reliance on third parties, and other risks set forth below.</w:t>
      </w:r>
    </w:p>
    <w:p>
      <w:pPr>
        <w:sectPr>
          <w:pgSz w:w="11900" w:h="16838" w:orient="portrait"/>
          <w:cols w:equalWidth="0" w:num="1">
            <w:col w:w="11420"/>
          </w:cols>
          <w:pgMar w:left="240" w:top="459" w:right="239"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i w:val="1"/>
          <w:iCs w:val="1"/>
          <w:color w:val="auto"/>
        </w:rPr>
        <w:t>Those risk factors below denoted with a “*” are newly added or have been materially updated from our Annual Report on 10-K filed with the SEC on February 29, 2012.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have a history of losses and anticipate that we will incur continued losses at least until we successfully commercialize Vascepa.</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not been profitable in any of the last five fiscal years. For the fiscal years ended December 31, 2011, 2010, and 2009, we reported losses of approximately $69.1 million, $249.6 million, and $30.6 million, respectively. Our net loss for the three and six months ended June 30, 2012 was $53.9 million and $142.2 million, respectively, and we had an accumulated deficit at June 30, 2012 of $710.7 million. Substantially all of our operating losses resulted from costs incurred in connection with our research and development programs, from general and administrative costs associated with our operations, and from non-cash losses on changes in the fair value of warrant derivative liabilities. We expect to incur additional and increasing operating losses at least until we successfully commercialize Vascepa. These losses, combined with expected future losses, have had and will continue to have an adverse effect on our cash resources, shareholders’ deficit and working capital. We expect our research and development expenses to be substantial for both 2012 and 2013 in connection with our proposed clinical outcomes study for Vascepa and other activities. In addition, we may incur significant sales, marketing, in-licensing and outsourced manufacturing expenses as we attempt to commercialize Vascepa. Our shift in focus from research and development to commercialization, and the changes in operating costs relating to that shift, will also require us to make changes to our accounting results and procedures, which may have an adverse effect on our reported revenue or profit, if any.</w:t>
      </w:r>
    </w:p>
    <w:p>
      <w:pPr>
        <w:spacing w:after="0" w:line="4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a result of our significant expenses relating to research and development and to commercialization, we expect to continue to incur significant and increasing operating losses at least until we successfully commercialize Vascepa. Because of the numerous risks and uncertainties associated with developing and commercializing pharmaceutical products, we are unable to predict the magnitude of these future losses.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not generated any revenue from Vascepa and may never be profitable.*</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ability to become profitable depends upon our ability to generate revenue. Despite gaining FDA marketing approval for Vascepa for use in the MARINE indication, we may not be able to generate sufficient revenue to attain profitability. Our ability to generate profits on sales of Vascepa is subject to our ability to manufacture commercial quantities of Vascepa through third parties at acceptable cost levels and establish sales and marketing capabilities or identify and enter into one or more strategic collaborations to effectively market and sell Vascepa.</w:t>
      </w:r>
    </w:p>
    <w:p>
      <w:pPr>
        <w:spacing w:after="0" w:line="8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Even though Vascepa has been approved by the FDA for marketing and commercial sale for the MARINE indication, it may not gain market acceptance or achieve commercial success and it may never be approved for the ANCHOR indication. In addition, we anticipate incurring significant costs associated with commercializing Vascepa. We may not achieve profitability soon after generating product sales, if ever. If we are unable to generate sufficient product revenues, we will not become profitable and may be unable to continue operations without continued funding.</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ability to generate increased revenue depends, in part, on obtaining additional regulatory approvals for Vascepa.*</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costs of developing and obtaining regulatory approvals for pharmaceutical products can be substantial. While we are permitted to begin commercializing Vascepa for use in the MARINE indication in the United States, our ability to commercialize Vascepa in the ANCHOR indication and outside of the United States is dependent upon receiving additional regulatory approvals. Further, our ability to file a supplemental new drug application, or sNDA, with the FDA for the use of Vascepa in the ANCHOR indication is dependent on our ability to reach substantial enrollment in our REDUCE-IT cardiovascular outcomes study. Enrollment in the REDUCE-IT cardiovascular outcomes study may take longer than we expect, in which case we may be delayed in our ability to file an sNDA for the use of Vascepa in the ANCHOR indication. Even if we obtain additional regulatory approvals for Vascepa, the timing or scope of any approvals may prohibit or reduce our ability to commercialize products successfully. For example, if the approval process for the ANCHOR indication takes too long, we may miss market opportunities and give other companies the ability to develop competing products or establish market dominance. Additionally, the terms of any approvals, including the approval received by the FDA in July 2012 for the MARINE indication, may not have the scope or breadth needed for us to commercialize Vascepa successfully.</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a consequence of the approval of our NDA for Vascepa in the MARINE indication, our historical financial results do not form an accurate basis upon which investors should base their assessment of our business and prospects. In addition, we expect that our costs will increase substantially as we begin to commercialize Vascepa in the MARINE indication and seek to obtain additional regulatory approval of Vascepa in the ANCHOR indication, including the continuation of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145"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We will require substantial additional resources to fund our operations. If we cannot find additional capital resources, we will have difficulty in operating as a going concern and growing our business.*</w:t>
      </w:r>
    </w:p>
    <w:p>
      <w:pPr>
        <w:spacing w:after="0" w:line="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currently operate with limited resources. At June 30, 2012, we had cash and cash equivalents of approximately $250.3 million. We believe that our current resources will be sufficient to fund our projected operations for at least the next twelve months, which projected</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operations contemplate not only working capital and general corporate needs but also commercial preparation of Vascepa and the continuation of the REDUCE-IT cardiovascular outcomes study, working capital and other general corporate activities. However, in order to successfully commercialize Vascepa, we must either successfully develop a sales, marketing and distribution infrastructure or collaborate with third parties that have such experience. We plan to consider collaboration opportunities with larger pharmaceutical companies for the launch, marketing and sale of Vascepa. Although from time to time we are in discussions with pharmaceutical companies regarding such collaboration, there can be no assurance that these discussions will result in any such transaction. Accordingly, we are currently working to launch, market and sell Vascepa in the United States on our own.</w:t>
      </w:r>
    </w:p>
    <w:p>
      <w:pPr>
        <w:spacing w:after="0" w:line="9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If we do not enter into a strategic collaboration in connection with the launch, marketing and sale of Vascepa, we will likely need to raise additional capital to fully support these efforts. We will also need additional capital to fully complete our REDUCE-IT cardiovascular outcomes trial.</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90" w:lineRule="exact"/>
        <w:rPr>
          <w:sz w:val="20"/>
          <w:szCs w:val="20"/>
          <w:color w:val="auto"/>
        </w:rPr>
      </w:pPr>
    </w:p>
    <w:p>
      <w:pPr>
        <w:ind w:left="900" w:right="6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or not we enter into a strategic collaboration in connection with the launch, marketing and sale of Vascepa and the terms of any such collaboration;</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continued cost associated with the REDUCE-IT cardiovascular outcomes study to support the filing of an sNDA for the clinical indication evaluated in the ANCHOR trial;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time and costs involved in obtaining additional regulatory approvals for Vascepa;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 and</w:t>
      </w:r>
    </w:p>
    <w:p>
      <w:pPr>
        <w:spacing w:after="0" w:line="9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commercializing Vascepa for the MARINE indication in the United States and for additional indications in the United States and in jurisdictions in which we receive regulatory approval, if any, including the cost and timing of developing sales and marketing capabilities, or the cost and timing of securing commercial supply of Vascepa and the timing of entering into strategic collaboration with others relating to the commercialization of Vascepa, if at all.</w:t>
      </w:r>
    </w:p>
    <w:p>
      <w:pPr>
        <w:spacing w:after="0" w:line="11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If adequate funds are not available to us in amounts or on terms acceptable to us or on a timely basis, or at all, and we do not enter into a collaboration agreement to help support the commercialization of Vascepa, our commercialization efforts for Vascepa may suffer materially, or we may need to delay the advancement of the REDUCE-IT cardiovascular outcomes trial.</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Continued negative economic conditions would likely have a negative impact on our ability to obtain financing on acceptable terms.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shareholders, restrict our operations or require us to relinquish rights.</w:t>
      </w:r>
    </w:p>
    <w:p>
      <w:pPr>
        <w:spacing w:after="0" w:line="11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8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of June 30, 2012, there were warrants outstanding for the purchase of up to 11,292,993 American Depository Shares, or ADSs, each representing one of our ordinary shares, with a weighted average exercise price of $1.44 per share. We may issue additional warrants to purchase ADSs or ordinary shares in connection with any future financing we may conduct. In addition, on January 9, 2012, we issued $150 million in aggregate principal amount of 3.50% exchangeable senior notes due 2032, or the notes. The notes are exchangeable under certain circumstances into cash, our ADS, or a combination of cash and ADS, at our election, with a current exchange rate of 113.4752 ADS per $1,000 principal amount of notes. Although we intend to settle these notes in cash, if we elected physical settlement, the notes would initially be exchangeable into 17,021,280 ADS.</w:t>
      </w:r>
    </w:p>
    <w:p>
      <w:pPr>
        <w:spacing w:after="0" w:line="9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or grant licenses on terms that are not favorable to us.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198" w:lineRule="exact"/>
        <w:rPr>
          <w:sz w:val="20"/>
          <w:szCs w:val="20"/>
          <w:color w:val="auto"/>
        </w:rPr>
      </w:pPr>
    </w:p>
    <w:p>
      <w:pPr>
        <w:ind w:right="80" w:firstLine="342"/>
        <w:spacing w:after="0" w:line="259"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diversion of managerial resources from day-to-day operations;</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exposure to litigation from the counterparties to any such transaction, other third parties or our shareholders;</w:t>
      </w:r>
    </w:p>
    <w:p>
      <w:pPr>
        <w:sectPr>
          <w:pgSz w:w="11900" w:h="16838" w:orient="portrait"/>
          <w:cols w:equalWidth="0" w:num="1">
            <w:col w:w="11420"/>
          </w:cols>
          <w:pgMar w:left="240" w:top="459"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misjudgment with respect to the value;</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higher than expected transaction costs; or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an inability to successfully consummate any such transaction or collaboration.</w:t>
      </w:r>
    </w:p>
    <w:p>
      <w:pPr>
        <w:spacing w:after="0" w:line="192" w:lineRule="exact"/>
        <w:rPr>
          <w:sz w:val="20"/>
          <w:szCs w:val="20"/>
          <w:color w:val="auto"/>
        </w:rPr>
      </w:pPr>
    </w:p>
    <w:p>
      <w:pPr>
        <w:ind w:right="260" w:firstLine="228"/>
        <w:spacing w:after="0" w:line="259"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Vascepa</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dependent upon the success of Vascepa, which only recently obtained FDA approval in the MARINE indication.*</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commercialization efforts for Vascepa in the MARINE indication or, if approved, the ANCHOR indication, are not successful, or if adequate demand for Vascepa is not generated, our business will be materially and adversely affected. Even if we are able to develop additional products from our research and development efforts, the development time cycle for products typically takes several years. This restricts our ability to respond to adverse business conditions for Vascepa. If we are not successful in developing any future product or products, or if there is not adequate demand Vascepa or the market for such product develops less rapidly than we anticipate, we may not have the ability to effectively shift our resources to the development of alternative products. As a result, the limited range of products we develop could constrain our ability to generate revenues and achieve profitability.</w:t>
      </w:r>
    </w:p>
    <w:p>
      <w:pPr>
        <w:spacing w:after="0" w:line="282"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Vascepa may fail to achieve the degree of market acceptance by physicians, patients, healthcare payors and others in the medical community necessary for commercial success.*</w:t>
      </w:r>
    </w:p>
    <w:p>
      <w:pPr>
        <w:spacing w:after="0" w:line="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Even though Vascepa has received marketing approval for the MARINE indication in July 2012, it may nonetheless fail to gain sufficient market acceptance by physicians, patients, healthcare payors and others in the medical community. If Vascepa does not achieve an adequate level of acceptance, we may not generate significant product revenues and we may not become profitable. The degree of market acceptance of Vascepa for the MARINE indication and any future approved indications will depend on a number of factors, including:</w:t>
      </w:r>
    </w:p>
    <w:p>
      <w:pPr>
        <w:spacing w:after="0" w:line="6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offer Vascepa for sale at competitive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pharmaceutical industry is highly competitive. In attempting to achieve the widespread commercialization of Vascepa, we will face competition to the extent other pharmaceutical companies have on the market or are able to develop products for the treatment of similar indications. Potential competitors in this market include companies with greater experience in commercializing pharmaceutical products, resources and name recognition than we have. Furthermore, to the extent we are able to acquire or develop additional marketable products in the future, such products will compete with a variety of other products within the United States or elsewhere, possibly including established drugs and major brand names. Competitive factors, including generic competition, could force us to lower prices or could result in reduced sales. In addition, new products developed by others could emerge as competitors to our future products. Products based on new technologies or new drugs could render our products obsolete or uneconomical.</w:t>
      </w:r>
    </w:p>
    <w:p>
      <w:pPr>
        <w:spacing w:after="0" w:line="9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success of Vascepa and any of our future products will also depend in large part on the willingness of physicians to prescribe these products to their patients. Vascepa will, and our future products may, compete against products that have achieved broad recognition and acceptance among medical professionals. In order to achieve an acceptable level of prescriptions for Vascepa or any future product, we must be able to meet the needs of both the medical community and end users with respect to cost, efficacy and other factors.</w:t>
      </w:r>
    </w:p>
    <w:p>
      <w:pPr>
        <w:spacing w:after="0" w:line="116" w:lineRule="exact"/>
        <w:rPr>
          <w:sz w:val="20"/>
          <w:szCs w:val="20"/>
          <w:color w:val="auto"/>
        </w:rPr>
      </w:pPr>
    </w:p>
    <w:p>
      <w:pPr>
        <w:ind w:right="40" w:firstLine="685"/>
        <w:spacing w:after="0" w:line="289" w:lineRule="auto"/>
        <w:rPr>
          <w:sz w:val="20"/>
          <w:szCs w:val="20"/>
          <w:color w:val="auto"/>
        </w:rPr>
      </w:pPr>
      <w:r>
        <w:rPr>
          <w:rFonts w:ascii="Arial" w:cs="Arial" w:eastAsia="Arial" w:hAnsi="Arial"/>
          <w:sz w:val="16"/>
          <w:szCs w:val="16"/>
          <w:color w:val="auto"/>
        </w:rPr>
        <w:t>Our potential competitors both in the United States and Europe include large, well-established pharmaceutical companies, specialty pharmaceutical sales and marketing companies and specialized cardiovascular treatment companies. These companies include GlaxoSmithKline plc, which currently markets Lovaza, a prescription-only omega-3 fatty acid indicated for patients with severe hypertriglyceridemia, and Abbott Laboratories, which currently markets Tricor and Trilipix for the treatment of severe hypertriglyceridemia and mixed dyslipidemia. In March 2011, Pronova BioPharma Norge AS, which owns the patents for Lovaza, entered into an agreement with Apotex Corp. and Apotex Inc. to settle their patent litigation in the United States related to Lovaza. Pursuant to the terms of the settlement agreement, Pronova granted Apotex a license to enter the United States market with a generic version of Lovaza in the first quarter of 2015, or earlier depending on circumstances. We expect Apotex to compete against us as well. Other companies are also seeking to introduce generic versions of Lovaza. These competitors have greater resources than we do, including financial, product development, marketing, personnel and other resources.</w:t>
      </w:r>
    </w:p>
    <w:p>
      <w:pPr>
        <w:sectPr>
          <w:pgSz w:w="11900" w:h="16838" w:orient="portrait"/>
          <w:cols w:equalWidth="0" w:num="1">
            <w:col w:w="11380"/>
          </w:cols>
          <w:pgMar w:left="240" w:top="459" w:right="279" w:bottom="1440" w:gutter="0" w:footer="0" w:header="0"/>
        </w:sectPr>
      </w:pP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80"/>
          </w:cols>
          <w:pgMar w:left="240" w:top="459" w:right="27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we are aware of other pharmaceutical companies that are developing products that, if approved, would compete with Vascepa. These include a free fatty acid form of omega-3 (comprised of 55% EPA and 20% DHA) which is being developed by Omthera Pharmaceuticals, which announced initial top-line data from its first Phase 3 clinical trial in April 2012 and has announced that it expected to disclose initial top-line data from its second Phase 3 clinical trial in 2012, and Trygg Pharma, which has completed a Phase 3 study of an omega-3 based drug candidate for hypertriglyceridemia, but to our knowledge Trygg has not yet announced results from that study. In addition, Acasti Pharma, a subsidiary of Neptune Technologies &amp; Bioresources Inc., announced in late 2011 the enrollment of its Phase 2 clinical trial to assess the safety and efficacy of its omega-3 prescription drug candidate for the treatment of hypertriglceridemia. We believe Resolvyx Pharmaceuticals and Catabasis Pharmaceuticals are also developing potential treatments for hypertriglceridemia based on omega-3 fatty acids but, to our knowledge, neither has initiated a Phase 2 clinical trial of its product. In addition, we are aware that Essentials, Inc is developing a controlled release diazoxide product for the treatment of hypertriglyceridemia. Essentials, Inc. has reported that they have completed five Phase 1 clinical studies and two Phase 2 clinical studies with this product.</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Vascepa will also face competition from dietary supplement companies marketing naturally occurring omega-3 fatty acids as nutritional supplements.</w:t>
      </w:r>
    </w:p>
    <w:p>
      <w:pPr>
        <w:spacing w:after="0" w:line="221" w:lineRule="exact"/>
        <w:rPr>
          <w:sz w:val="20"/>
          <w:szCs w:val="20"/>
          <w:color w:val="auto"/>
        </w:rPr>
      </w:pPr>
    </w:p>
    <w:p>
      <w:pPr>
        <w:ind w:left="240" w:right="100"/>
        <w:spacing w:after="0" w:line="332" w:lineRule="auto"/>
        <w:rPr>
          <w:sz w:val="20"/>
          <w:szCs w:val="20"/>
          <w:color w:val="auto"/>
        </w:rPr>
      </w:pPr>
      <w:r>
        <w:rPr>
          <w:rFonts w:ascii="Arial" w:cs="Arial" w:eastAsia="Arial" w:hAnsi="Arial"/>
          <w:sz w:val="16"/>
          <w:szCs w:val="16"/>
          <w:b w:val="1"/>
          <w:bCs w:val="1"/>
          <w:i w:val="1"/>
          <w:iCs w:val="1"/>
          <w:color w:val="auto"/>
        </w:rPr>
        <w:t>Vascepa is a prescription-only omega-3 fatty acid. Omega-3 fatty acids are also marketed by other companies as non-prescription dietary supplements. As a result, Vascepa would be subject to non-prescription competition and consumer substitution.</w:t>
      </w:r>
    </w:p>
    <w:p>
      <w:pPr>
        <w:spacing w:after="0" w:line="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only current product, Vascepa, is a prescription-only omega-3 fatty acid. Mixtures of omega-3 fatty acids are naturally occurring substances in various foods, including fatty fish. Omega-3 fatty acids are also marketed by others as non-prescription dietary supplements. We cannot be sure physicians will view the pharmaceutical grade purity of Vascepa as having a superior therapeutic profile to naturally occurring omega-3 fatty acids and dietary supplements. To the extent the price of Vascepa is significantly higher than the prices of commercially available omega-3 fatty acids marketed by other companies as dietary supplements through that lack of coverage by insurers or otherwise, physicians may recommend these commercial alternatives instead of writing prescriptions for Vascepa or patients may elect on their own to take commercially available omega-3 fatty acids. Either of these outcomes may adversely impact our results of operations by limiting how we price our product and limiting the revenue we receive from the sale of Vascepa.</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 maximize the commercial potential of Vascepa we may need to find collaborative partners to help market and sell the product.</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To commercialize Vascepa, we must either develop a sales, marketing and distribution infrastructure or collaborate with third parties that have such experience. We are actively exploring such collaboration opportunities with these parties for the launch, marketing and sale of Vascepa. If we do complete such a collaboration agreement, we will be reliant on one or more of these strategic partners to generate revenue on our behalf.</w:t>
      </w:r>
    </w:p>
    <w:p>
      <w:pPr>
        <w:spacing w:after="0" w:line="8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may not be successful in finding a collaborative partner to help market and sell our products, or may be delayed in doing so, in which case we would not receive revenue or royalties on the timeframe and to the extent that we currently anticipate. We face significant competition in seeking appropriate collaborators and these collaborations are complex and time-consuming to negotiate and document. We may not be able to negotiate collaborations on acceptable terms, or at all. If that were to occur, we may have to curtail the continued development of Vascepa for approval for additional indications and reduce the scope of our sales or marketing activities, or increase our planned expenditures and undertake additional development or commercialization activities at our own expense. If we elect to increase our expenditures to fund development or commercialization activities on our own, we will need to obtain additional capital, which may not be available to us on acceptable terms, or at all. If we cannot raise sufficient funds, we may not be able to market and sell Vascepa effectively, and generate as much product revenue, as we could under collaboration.</w:t>
      </w:r>
    </w:p>
    <w:p>
      <w:pPr>
        <w:spacing w:after="0" w:line="145" w:lineRule="exact"/>
        <w:rPr>
          <w:sz w:val="20"/>
          <w:szCs w:val="20"/>
          <w:color w:val="auto"/>
        </w:rPr>
      </w:pPr>
    </w:p>
    <w:p>
      <w:pPr>
        <w:ind w:left="240" w:right="580"/>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sell and market Vascepa, we may not be successful in commercializing Vascepa on our own.</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achieve commercial success for any approved product, we must either develop a sales and marketing organization or outsource these functions to third parties. Until such time as we complete a strategic transaction with a third party to market and sell Vascepa, if ever, we are continuing to execute on our plans to launch, market and sell Vascepa on our own. This includes making preparations for securing sufficient commercial supply of Vascepa, expanding sales and marketing capabilities building a substantial commercialization infrastructure to compete with larger companies that have larger and more established marketing and sales capabilities. We do not have a sales or marketing infrastructure and as a company we have no experience in the sale, marketing or distribution of pharmaceutical products. There are risks involved with both establishing our own sales and marketing capabilities and entering into arrangements with third parties to perform these services. Our effort to develop a sales and marketing organization may not be successful, and thus we may not be able to effectively market or sell Vascepa. For example, recruiting and training a sales force is expensive and time consuming and could delay our ability to become profitable. If the widespread commercialization of Vascepa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persuade adequate numbers of physicians to prescribe any future products;</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459" w:right="2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If we enter into arrangements with third parties to perform sales, marketing and distribution services, our product revenues or the profitability of these product revenues to us are likely to be lower than if we were to market and sell any products that we develop ourselves. In addition, we may not be successful in entering into arrangements with third parties to sell and market Vascepa or doing so on terms that are favorable to us. We likely will have little control over such third parties, and any of them may fail to devote the necessary resources and attention to sell and market our products effectively. If we do not establish sales and marketing capabilities successfully, either on our own or in collaboration with third parties, we will not be successful in commercializing Vascepa.</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can be no assurance that Vascepa will be approved for indications other than the MARINE indication.</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FDA granted marketing approval for the use of Vascepa in the MARINE indication on July 26, 2012. Despite this approval, the FDA may deny approval of subsequent applications with respect to other indications and require additional testing or data. If the FDA takes any such action, such actions would have a material adverse effect on our operations and financial condition, including our ability to reach profitability.</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SPA with the FDA are not guarantees of FDA approval of Vascepa for the subject indications.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 Special Protocol Assessment, or SPA,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The ANCHOR trial was, and the REDUCE-IT trial is, being conducted under an SPA with the FDA. The FDA agreed that, based on the information we submitted to the agency, the design and planned analysis of the ANCHOR trial is adequate to support use of the conducted study as the primary basis for approval with respect to effectiveness. An SPA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Even though we have received regulatory approval of Vascepa for the MARINE indication, there is no assurance that the FDA will not identify a scientific issue and deem either or both of the ANCHOR or REDUCE-IT SPAs no longer binding. Moreover, any change to a study protocol after agreement with the FDA is reached can invalidate an SPA. While we amended the protocol for the ANCHOR trial after the initial SPA evaluation was completed, we obtained the FDA’s evaluation of, and agreement to, the amendment. If, for example, the FDA does not consider the applicable SPA to be binding during its review of our regulatory approval applications, or if the FDA determines that we did not follow the SPAs appropriately, the agency could assert that additional studies or data are required to support approval of the application.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commercial value to us of the MARINE and ANCHOR indications may be smaller than we anticipate.</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There can be no assurance as to the scope and breadth of the MARINE indication or, if approved, the ANCHOR indication.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with regard to the MARINE indication and any other indications for which we may gain approval, the number of actual patients with the condition included in such approved indication may be smaller than we anticipate. If any such approved indication is narrower than we anticipate, the market potential for our product candidate would suffer.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will be subject to extensive post-approval government regulation.</w:t>
      </w:r>
    </w:p>
    <w:p>
      <w:pPr>
        <w:spacing w:after="0" w:line="19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8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With respect to sales and marketing activities by our partners, advertising and promotional materials must comply with FDA rules in addition to other applicable federal and local laws in the United States and in other countries. In the United States, the distribution of product samples to physicians must comply with the requirements of the U.S. Prescription Drug Marketing Act. Manufacturing facilities remain subject to FDA inspection and must continue to adhere to the FDA’s current good manufacturing practice requirements, or cGMPs. Application holders must obtain FDA approval for product and manufacturing changes, depending on the nature of the change.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In addition, even if we or our potential partners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or our potential partners must also compete against other products in qualifying for coverage and reimbursement under applicable third party payment and insurance programs.</w:t>
      </w:r>
    </w:p>
    <w:p>
      <w:pPr>
        <w:spacing w:after="0" w:line="1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are found to have improperly promoted off-label uses, we may become subject to significant fines and other liability.</w:t>
      </w:r>
    </w:p>
    <w:p>
      <w:pPr>
        <w:spacing w:after="0" w:line="10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Even though we receive marketing approval for Vascepa for the MARINE indication only, physicians may nevertheless prescribe Vascepa to their patients in a manner that is inconsistent with the approved label. If we are found to have promoted such off-label uses, we may become subject to significant government fines and other related liability.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45" w:lineRule="exact"/>
        <w:rPr>
          <w:sz w:val="20"/>
          <w:szCs w:val="20"/>
          <w:color w:val="auto"/>
        </w:rPr>
      </w:pPr>
    </w:p>
    <w:p>
      <w:pPr>
        <w:ind w:left="240" w:right="180"/>
        <w:spacing w:after="0" w:line="268" w:lineRule="auto"/>
        <w:rPr>
          <w:sz w:val="20"/>
          <w:szCs w:val="20"/>
          <w:color w:val="auto"/>
        </w:rPr>
      </w:pPr>
      <w:r>
        <w:rPr>
          <w:rFonts w:ascii="Arial" w:cs="Arial" w:eastAsia="Arial" w:hAnsi="Arial"/>
          <w:sz w:val="18"/>
          <w:szCs w:val="18"/>
          <w:b w:val="1"/>
          <w:bCs w:val="1"/>
          <w:i w:val="1"/>
          <w:iCs w:val="1"/>
          <w:color w:val="auto"/>
        </w:rPr>
        <w:t>Our cardiovascular outcomes study, REDUCE-IT, may take longer than we anticipate to be determined by the FDA to be substantially underway, which could delay FDA review and approval of the ANCHOR indication and cost more than we expect.</w:t>
      </w:r>
    </w:p>
    <w:p>
      <w:pPr>
        <w:spacing w:after="0" w:line="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Based on our communications with the FDA, in order to obtain FDA marketing approval of a separate indication for the use of Vascepa in the treatment of patients with high triglyceride levels who are also on statin therapy for elevated LDL-cholesterol levels (which we refer to as mixed dyslipidemia), or the ANCHOR indication, we believe that, in additional to achieving marketing approval for the MARINE indication as occurred in July 2012, we must have a cardiovascular outcomes study substantially underway at the time of the supplemental NDA, or sNDA, submission. In August 2011, we reached an agreement with the FDA on an SPA for the design of the REDUCE-IT cardiovascular outcomes study of Vascepa, and we began dosing patients in December 2011. In the event we experience delays in initiating or achieving substantial enrollment for REDUCE-IT or the FDA requires that we enroll more patients, our filing of an sNDA seeking approval of the ANCHOR indication will be delayed. In addition, to the extent that we experience delays or need to take actions to prevent delays in the REDUCE-IT cardiovascular outcomes study, the cost of this study will increase. The cost of this study is based on estimates and is not capped. We currently intend to file an sNDA seeking approval of the indication studied in the ANCHOR trial after we believe the REDUCE-IT study will be determined to be substantially underway by the FDA.</w:t>
      </w:r>
    </w:p>
    <w:p>
      <w:pPr>
        <w:spacing w:after="0" w:line="150" w:lineRule="exact"/>
        <w:rPr>
          <w:sz w:val="20"/>
          <w:szCs w:val="20"/>
          <w:color w:val="auto"/>
        </w:rPr>
      </w:pPr>
    </w:p>
    <w:p>
      <w:pPr>
        <w:ind w:left="240" w:right="600"/>
        <w:spacing w:after="0" w:line="268" w:lineRule="auto"/>
        <w:rPr>
          <w:sz w:val="20"/>
          <w:szCs w:val="20"/>
          <w:color w:val="auto"/>
        </w:rPr>
      </w:pPr>
      <w:r>
        <w:rPr>
          <w:rFonts w:ascii="Arial" w:cs="Arial" w:eastAsia="Arial" w:hAnsi="Arial"/>
          <w:sz w:val="18"/>
          <w:szCs w:val="18"/>
          <w:b w:val="1"/>
          <w:bCs w:val="1"/>
          <w:i w:val="1"/>
          <w:iCs w:val="1"/>
          <w:color w:val="auto"/>
        </w:rPr>
        <w:t>The REDUCE-IT cardiovascular outcomes trial may fail to achieve its clinical endpoints, and the long-term clinical results of Vascepa may not be consistent with the clinical results we observed in our Phase 3 pivotal trials.</w:t>
      </w:r>
    </w:p>
    <w:p>
      <w:pPr>
        <w:spacing w:after="0" w:line="5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accordance with the SPA for our MARINE and ANCHOR trials, efficacy was evaluated in these trials compared to placebo at twelve weeks. No placebo-controlled studies have been conducted regarding the long-term effect of Vascepa on lipids and no outcomes study has been conducted evaluating Vascepa. Outcomes studies of certain other lipid modifying therapies have failed to achieve the endpoints of such studies. There can be no assurance that the endpoints of the REDUCE-IT cardiovascular outcomes study will be achieved or that the lipid modifying effects of Vascepa in REDUCE-IT or any other study of Vascepa will not be subject to variation beyond twelve weeks. If the REDUCE-IT trial fails to achieve its clinical endpoints or if the results of these long-term studies are not consistent with the 12-week clinical results it could prevent us from expanding the label of any approved product or even call into question the efficacy of any approved product.</w:t>
      </w:r>
    </w:p>
    <w:p>
      <w:pPr>
        <w:spacing w:after="0" w:line="174" w:lineRule="exact"/>
        <w:rPr>
          <w:sz w:val="20"/>
          <w:szCs w:val="20"/>
          <w:color w:val="auto"/>
        </w:rPr>
      </w:pPr>
    </w:p>
    <w:p>
      <w:pPr>
        <w:ind w:left="240" w:right="460"/>
        <w:spacing w:after="0" w:line="268"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51"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the European Union, Japan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w:t>
      </w:r>
    </w:p>
    <w:p>
      <w:pPr>
        <w:spacing w:after="0" w:line="37"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inability to manufacture sufficient quantities of qualified materials under current good manufacturing practices for use in clinical trials;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regulatory requirements for clinical or preclinical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or preclinical studies;</w:t>
      </w:r>
    </w:p>
    <w:p>
      <w:pPr>
        <w:sectPr>
          <w:pgSz w:w="11900" w:h="16838" w:orient="portrait"/>
          <w:cols w:equalWidth="0" w:num="1">
            <w:col w:w="11380"/>
          </w:cols>
          <w:pgMar w:left="240" w:top="459" w:right="279" w:bottom="1440" w:gutter="0" w:footer="0" w:header="0"/>
        </w:sectPr>
      </w:pP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380"/>
          </w:cols>
          <w:pgMar w:left="240" w:top="459" w:right="27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delay, suspension, or termination of a trial by the institutional review board responsible for overseeing the study at a particular study site;</w:t>
      </w:r>
    </w:p>
    <w:p>
      <w:pPr>
        <w:spacing w:after="0" w:line="113" w:lineRule="exact"/>
        <w:rPr>
          <w:rFonts w:ascii="Arial" w:cs="Arial" w:eastAsia="Arial" w:hAnsi="Arial"/>
          <w:sz w:val="16"/>
          <w:szCs w:val="16"/>
          <w:color w:val="auto"/>
        </w:rPr>
      </w:pPr>
    </w:p>
    <w:p>
      <w:pPr>
        <w:ind w:left="900" w:right="3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Even if we obtain positive results from early stage pre-clinical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w:t>
      </w:r>
    </w:p>
    <w:p>
      <w:pPr>
        <w:spacing w:after="0" w:line="9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earn revenues from the sale of such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product or in connection with the manufacturer of products may result in restrictions on that product or manufacturer, including withdrawal of the product from the market, which would have a negative impact on our potential revenue stream.</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Legislative or regulatory reform of the health care system in the United States and foreign jurisdictions may affect our ability to profitably sell Vascepa.</w:t>
      </w:r>
    </w:p>
    <w:p>
      <w:pPr>
        <w:spacing w:after="0" w:line="1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Specifically, in both the United States and some foreign jurisdictions, there have been a number of legislative and regulatory proposals to change the health care system in ways that could affect our ability to sell our products profitably. For example, the Patient Protection and Affordable Care Act, as amended by the Health Care and Education Reconciliation Act, or collectively the PPACA, enacted in March 2010, substantially changes the way healthcare is financed by both governmental and private insurers. Among other cost-containment measures, PPACA establishes:</w:t>
      </w:r>
    </w:p>
    <w:p>
      <w:pPr>
        <w:spacing w:after="0" w:line="32"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211"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14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expect further federal and state proposals and health care reforms to continue to be proposed by legislators, which could limit the prices that can be charged for the products we develop and may limit our commercial opportunity.</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continuing efforts of government and other third-party payors to contain or reduce the costs of health care through various means may limit our commercial opportunity. It will be time 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PPACA and by other health care reforms that may be enacted or adopted in the future. In addition, increasing emphasis on managed care in the United States will continue to put pressure on the pricing of pharmaceutical products. Cost control initiatives could decrease the price that we or any potential collaborators could receive for any of our future products and could adversely affect our profitability.</w:t>
      </w:r>
    </w:p>
    <w:p>
      <w:pPr>
        <w:spacing w:after="0" w:line="9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560"/>
        <w:spacing w:after="0" w:line="268" w:lineRule="auto"/>
        <w:rPr>
          <w:sz w:val="20"/>
          <w:szCs w:val="20"/>
          <w:color w:val="auto"/>
        </w:rPr>
      </w:pPr>
      <w:r>
        <w:rPr>
          <w:rFonts w:ascii="Arial" w:cs="Arial" w:eastAsia="Arial" w:hAnsi="Arial"/>
          <w:sz w:val="18"/>
          <w:szCs w:val="18"/>
          <w:b w:val="1"/>
          <w:bCs w:val="1"/>
          <w:i w:val="1"/>
          <w:iCs w:val="1"/>
          <w:color w:val="auto"/>
        </w:rPr>
        <w:t>As we evolve from a company primarily involved in research and development to a company also focused on commercialization, we may encounter difficulties in managing our growth and expanding our operations successfully.</w:t>
      </w:r>
    </w:p>
    <w:p>
      <w:pPr>
        <w:spacing w:after="0" w:line="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Although certain of our employees have commercialization experience, as a company we currently have no sales, marketing or distribution capabilities. Accordingly, as we prepare for the commercial launch of Vascepa, we are expanding our organization, including marketing and sales capabilities and exploring contracting with third parties to provide these capabilities for us, all of which are expensive and time consuming. Any failure or delay in the development of our internal sales, marketing and distribution capabilities would adversely impact the commercialization of Vascepa. If we are not successful in commercializing Vascepa, our future product revenue will suffer and we may incur significant additional losses.</w:t>
      </w:r>
    </w:p>
    <w:p>
      <w:pPr>
        <w:spacing w:after="0" w:line="89"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our operations expand, we expect that we will need to manage additional relationships with various collaborative partners, suppliers and other third parties. Future growth will impose significant added responsibilities on members of management. Our future financial performance and our ability to commercialize Vascepa and to compete effectively will depend, in part, on our ability to manage any future growth effectively. To that end, we must be able to manage our development efforts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supply of product for commercial supply and clinical trials is dependent upon relationships with third party manufacturers and key suppliers.*</w:t>
      </w:r>
    </w:p>
    <w:p>
      <w:pPr>
        <w:spacing w:after="0" w:line="12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no in-house manufacturing capacity and rely on contract manufacturers for our clinical and commercial product supply. We cannot assure you that we will successfully manufacture any product we may develop, either independently or under manufacturing arrangements, if any, with our third party manufacturers. Moreover, if any manufacturer should cease doing business with us or experience delays, shortages of supply or excessive demands on their capacity, we may not be able to obtain adequate quantities of product in a timely manner, or at all.</w:t>
      </w:r>
    </w:p>
    <w:p>
      <w:pPr>
        <w:spacing w:after="0" w:line="8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Any manufacturing problem, natural disaster affecting manufacturing facilities, or the loss of a contract manufacturer could be disruptive to our operations and result in lost sales. Additionally, we will be reliant on third parties to supply the raw materials needed to manufacture our potential products.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 result in lost sales. If our suppliers were unable to supply us with adequate supply of ethyl-EPA it would have a material adverse effect on our ability to continue to commercialize Vascepa.</w:t>
      </w:r>
    </w:p>
    <w:p>
      <w:pPr>
        <w:spacing w:after="0" w:line="11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currently purchase all of our supply of the bulk compound (ethyl-EPA), which constitutes the only active pharmaceutical ingredient, or API, of Vascepa, from a single supplier, Nisshin Pharma, or Nisshin, located in Japan. Nisshin currently obtains its supply of the key raw material to manufacture API from another third party single source of supply. While we have contractual freedom to source the API for Vascepa elsewhere and have entered into supply agreements with additional suppliers who rely on other third party suppliers of the key raw material to manufacture the API for Vascepa, Nisshin is currently the only supplier submitted for approval and the only supplier approved with our NDA to the FDA.</w:t>
      </w:r>
    </w:p>
    <w:p>
      <w:pPr>
        <w:spacing w:after="0" w:line="89"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We intend to purchase increasing amounts of API in preparation for the commercial launch of Vascepa. Our strategy is to expand manufacturing capacity and to mitigate risk by having multiple API suppliers beyond Nisshin. There can be no assurance that these expansion plans will be successful. For instance, our aggregate capacity to produce API is dependent upon the qualification of our API suppliers. Each of our API suppliers has outlined plans for potential further capacity expansion. If no additional API supplier is approved by the FDA, our API supply will be limited to the API we purchase from Nisshin. If our third party manufacturing capacity is not expanded and compliant with application regulatory requirements, we may not be able to supply sufficient quantities of Vascepa to meet anticipated demand. We cannot assure you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0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cannot assure you that we can contract with any future manufacturer on acceptable terms or that any such alternative supplier will not require capital investment from us in order for them to meet our requirements.</w:t>
      </w:r>
    </w:p>
    <w:p>
      <w:pPr>
        <w:spacing w:after="0" w:line="10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currently rely on one supplier, Banner, for the encapsulation of API for all capsules of Vascepa. While we have contractual freedom to source the API encapsulation for Vascepa elsewhere and have entered into an API encapsulation supply agreements with a second supplier, Catalent, Banner is the only supplier approved with our NDA to the FDA. There can be no guarantee that additional other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35" w:lineRule="auto"/>
        <w:rPr>
          <w:sz w:val="20"/>
          <w:szCs w:val="20"/>
          <w:color w:val="auto"/>
        </w:rPr>
      </w:pPr>
      <w:r>
        <w:rPr>
          <w:rFonts w:ascii="Arial" w:cs="Arial" w:eastAsia="Arial" w:hAnsi="Arial"/>
          <w:sz w:val="15"/>
          <w:szCs w:val="15"/>
          <w:color w:val="auto"/>
        </w:rPr>
        <w:t>suppliers with which we have contracted to encapsulate API will be qualified to manufacture the product to our specifications or that these and any future suppliers will have the manufacturing capacity to meeting anticipated demand for Vascepa. We cannot assure you that we can contract with any future manufacturer on acceptable terms or that any such alternative supplier will not require capital investment from us in order for them to meet our requirements.</w:t>
      </w:r>
    </w:p>
    <w:p>
      <w:pPr>
        <w:spacing w:after="0" w:line="115" w:lineRule="exact"/>
        <w:rPr>
          <w:sz w:val="20"/>
          <w:szCs w:val="20"/>
          <w:color w:val="auto"/>
        </w:rPr>
      </w:pPr>
    </w:p>
    <w:p>
      <w:pPr>
        <w:ind w:left="240" w:right="180"/>
        <w:spacing w:after="0" w:line="259" w:lineRule="auto"/>
        <w:rPr>
          <w:sz w:val="20"/>
          <w:szCs w:val="20"/>
          <w:color w:val="auto"/>
        </w:rPr>
      </w:pPr>
      <w:r>
        <w:rPr>
          <w:rFonts w:ascii="Arial" w:cs="Arial" w:eastAsia="Arial" w:hAnsi="Arial"/>
          <w:sz w:val="18"/>
          <w:szCs w:val="18"/>
          <w:b w:val="1"/>
          <w:bCs w:val="1"/>
          <w:i w:val="1"/>
          <w:iCs w:val="1"/>
          <w:color w:val="auto"/>
        </w:rPr>
        <w:t>We have no experience with the commercial sale of Vascepa and thus our purchase of API and encapsulation of API in anticipation of expected demand may not be correct. We may purchase too much or not enough supply to satisfy actual demand, which could have a material adverse effect on our financial results and financial condition.*</w:t>
      </w:r>
    </w:p>
    <w:p>
      <w:pPr>
        <w:spacing w:after="0" w:line="5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agreements with our suppliers typically include minimum purchase obligations and limited exclusivity provisions. These purchases are generally made on the basis of rolling twelve-month forecasts which in part are binding on us and the balance of which are subject to adjustment by us subject to certain limitations. We have no experience with the commercial sale of Vascepa, and as such expectations regarding expected demand may be wrong. We may not purchase sufficient quantities of Vascepa to meet actual demand or our purchase of supply may exceed actual demand. In either case, such event could have a material adverse effect on our financial results and financial condition.</w:t>
      </w:r>
    </w:p>
    <w:p>
      <w:pPr>
        <w:spacing w:after="0" w:line="143" w:lineRule="exact"/>
        <w:rPr>
          <w:sz w:val="20"/>
          <w:szCs w:val="20"/>
          <w:color w:val="auto"/>
        </w:rPr>
      </w:pPr>
    </w:p>
    <w:p>
      <w:pPr>
        <w:ind w:left="240" w:right="40"/>
        <w:spacing w:after="0" w:line="259" w:lineRule="auto"/>
        <w:rPr>
          <w:sz w:val="20"/>
          <w:szCs w:val="20"/>
          <w:color w:val="auto"/>
        </w:rPr>
      </w:pPr>
      <w:r>
        <w:rPr>
          <w:rFonts w:ascii="Arial" w:cs="Arial" w:eastAsia="Arial" w:hAnsi="Arial"/>
          <w:sz w:val="18"/>
          <w:szCs w:val="18"/>
          <w:b w:val="1"/>
          <w:bCs w:val="1"/>
          <w:i w:val="1"/>
          <w:iCs w:val="1"/>
          <w:color w:val="auto"/>
        </w:rPr>
        <w:t>The manufacture and packaging of pharmaceutical products such as Vascepa are subject to FDA requirements and those of similar foreign regulatory bodies. If we or our third party manufacturers fail to satisfy these requirements, our product development and commercialization efforts may be materially harmed.</w:t>
      </w:r>
    </w:p>
    <w:p>
      <w:pPr>
        <w:spacing w:after="0" w:line="5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manufacture and packaging of pharmaceutical products, such as Vascepa, are regulated by the FDA and similar foreign regulatory bodies and must be conducted in accordance with the FDA’s current good manufacturing practices and comparable requirements of foreign regulatory bodies. There are a limited number of manufacturers that operate under these current good manufacturing practices regulations who are both capable of manufacturing Vascepa and willing to do so. Failure by us or our third 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recalls of product, operating restrictions and criminal prosecutions, any of which could significantly and adversely affect our business. For example, our NDA approved by the FDA had only one supplier of API for Vascepa, Nisshin, and Nisshin has plans to expand it capacity to supply API to us by further expanding their current facility. If we are not able to manufacture Vascepa to required specifications through Nisshin, we may be delayed in successfully launching the product and our anticipated future revenues and financial results may be materially adversely affected.</w:t>
      </w:r>
    </w:p>
    <w:p>
      <w:pPr>
        <w:spacing w:after="0" w:line="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 party manufacturer, may require prior FDA review and approval of the manufacturing process and procedures in accordance with the FDA’s current good manufacturing practices, or cGMPs. Any new facility may be subject to a pre-approval inspection by the FDA and would again require us to demonstrate product comparability to the FDA. There are comparable foreign requirements. This review may be costly and time consuming and could delay or prevent the launch of a product. For example, we plan to file a supplemental NDA to add new manufacturing facilities from other third party suppliers to manufacture API for Vascepa. If these third parties cannot establish, to the satisfaction of the FDA, that they are in substantial compliance with cGMPs, and that the products manufactured at the new site meet FDA requirements, we may not be able to manufacture API from that site, our supply of API for Vascepa may be delayed, and our anticipated future revenues and financial results may be materially adversely affected.</w:t>
      </w:r>
    </w:p>
    <w:p>
      <w:pPr>
        <w:spacing w:after="0" w:line="9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Furthermore, the FDA and foreign regulatory agencies require that we be able to consistently produce the active pharmaceutical ingredient and the finished product in commercial quantities and of specified quality on a repeated basis, including proven product stability, and document our ability to do so. This requirement is referred to as process validation. We have not yet completed all of the steps and documentation necessary to validate processes and product stability for the API for Vascepa at any API contract supplier other than Nisshin. Each of our potential API suppliers uses a different method to manufacture API than that used by Nisshin, which has the potential to increase the risk to us that our manufacturers will not meet applicable regulatory requirements. This includes stability testing, measurement of impurities and testing of other product specifications by validated test methods. If the FDA does not consider the result of the process validation or required testing to be satisfactory, the launch of Vascepa or commercial supply after launch may be delayed, or we may not be able to supply sufficient quantities of Vascepa to meet anticipated demand.</w:t>
      </w:r>
    </w:p>
    <w:p>
      <w:pPr>
        <w:spacing w:after="0" w:line="9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FDA and similar foreign regulatory bodies may also implement new standards, or change their interpretation and enforcement of existing standards and requirements, for manufacture, packaging or testing of products at any time. If we are unable to comply, we may be subject to regulatory, civil actions or penalties which could significantly and adversely affect our business.</w:t>
      </w:r>
    </w:p>
    <w:p>
      <w:pPr>
        <w:spacing w:after="0" w:line="11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During 2012, we are increasing our purchases of API and finished capsules of Vascepa to further expand purchase levels of supply. We may elect to make API purchases from certain of our suppliers after we are satisfied that the material they produce and their facilities are qualified. However, in the event that we make such purchases from other suppliers, we will not be able to use such material for commercial sale until the sNDA for the applicable supplier is approved by the FDA. Similarly, if we are not compliant with other regulations with regard to this intended purchase of supply, our reaching profitability may be delayed.</w:t>
      </w:r>
    </w:p>
    <w:p>
      <w:pPr>
        <w:spacing w:after="0" w:line="125"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ectPr>
          <w:pgSz w:w="11900" w:h="16838" w:orient="portrait"/>
          <w:cols w:equalWidth="0" w:num="1">
            <w:col w:w="11420"/>
          </w:cols>
          <w:pgMar w:left="240" w:top="459" w:right="239" w:bottom="1440"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Regulatory Exclusivity</w:t>
      </w:r>
    </w:p>
    <w:p>
      <w:pPr>
        <w:spacing w:after="0" w:line="96"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We are dependent on patents, proprietary rights and confidentiality. Our patent portfolio directed to the formulation and uses of Vascepa is still evolving and some patent applications may not issue prior to commercial launch, if ever.*</w:t>
      </w:r>
    </w:p>
    <w:p>
      <w:pPr>
        <w:spacing w:after="0" w:line="5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Because of the significant time and expense involved in developing new products and obtaining regulatory approvals, it is very important to obtain patent and trade secret protection for new technologies, products and processes. Our ability to successfully implement our business plan will depend in large part on our ability to:</w:t>
      </w:r>
    </w:p>
    <w:p>
      <w:pPr>
        <w:spacing w:after="0" w:line="59"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14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patent portfolio directed to the formulation and uses of Vascepa is still evolving and some patent applications may not issue prior to commercial launch, if ever. We currently have an issued U.S. patent directed to a pharmaceutical composition of Vascepa in a capsule, and have received a Notice of Allowance from the United States Patent and Trademark Office, or USPTO, for one additional patent application in the United States. A Notice of Allowance is issued after the USPTO makes a determination that a patent can be granted from an application. A Notice of Allowance does not afford patent protection until the underlying patent is issued by the USPTO. No assurance can be given that our issued patent and our pending patents, if and when issued, will prevent competitors from competing with Vascepa.</w:t>
      </w:r>
    </w:p>
    <w:p>
      <w:pPr>
        <w:spacing w:after="0" w:line="117"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We may be dependent in some cases upon third 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go into effect on March 16, 2013, it is possible that those parties will obtain patents that will be sufficiently broad so as to prevent us from utilizing such technology or commercializing our current and future products.</w:t>
      </w:r>
    </w:p>
    <w:p>
      <w:pPr>
        <w:spacing w:after="0" w:line="1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16"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We may in the future discover the existence of products that infringe upon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even if the opposition or challenge has little or no merit. Patent opposition proceedings and challenges are generally highly technical, time consuming and expensive to pursue. Were we to be subject to one or more patent oppositions or challenges, that effort could consume substantial time and resources, with no assurances of success, even when holding an issued patent.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issued patents and our pending patents, if and when issued, may not prevent competitors from competing with Vascepa.*</w:t>
      </w:r>
    </w:p>
    <w:p>
      <w:pPr>
        <w:spacing w:after="0" w:line="14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plan to vigorously defend our rights under issued patents. Other drug companies may challenge the validity, enforceability or both of the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We may not have sufficient resources to bring these actions to a successful conclusion.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144"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any of our pending patent applications will be granted or, if they grant, that they will prevent competitors from competing with Vascepa.</w:t>
      </w:r>
    </w:p>
    <w:p>
      <w:pPr>
        <w:spacing w:after="0" w:line="6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w:t>
      </w:r>
    </w:p>
    <w:p>
      <w:pPr>
        <w:sectPr>
          <w:pgSz w:w="11900" w:h="16838" w:orient="portrait"/>
          <w:cols w:equalWidth="0" w:num="1">
            <w:col w:w="11420"/>
          </w:cols>
          <w:pgMar w:left="240" w:top="459" w:right="239" w:bottom="886" w:gutter="0" w:footer="0" w:header="0"/>
        </w:sectPr>
      </w:pP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59" w:right="239" w:bottom="886"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supplemental NDA submissions. We cannot predict the timing or results of any patent application. In addition, we may elect to submit, or the patent office may require, additional evidence to support certain of the claims we are pursuing. Providing such additional evidence could prolong the patent office’s review of our applications and result in us incurring additional costs. We cannot be certain what commercial value any granted patent in our patent estate will provide to us.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Vascepa is not granted new chemical entity exclusivity protection from the FDA our business may be materially harmed.*</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Sections 505(c)(3)(E)(ii) and 505(j)(5)(F)(ii) of the Food Drug and Cosmetic Act, or FDCA, as amended by the Drug Price Competition and Patent Term Restoration Act of 1984, as amended, or the Hatch-Waxman Amendments, a new chemical entity that is granted regulatory approval may be eligible for five years of marketing exclusivity in the United States following regulatory approval. A drug can be classified as a new chemical entity if the FDA has not previously approved any other drug containing the same active moiety. We cannot assure you that FDA will make this determination in a timely manner, or that we will be granted NCE exclusivity.</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NCE marketing exclusivity, if granted, would preclude approval during the exclusivity period of certain 505(b)(2) applications or certain abbreviated new drug applications submitted by another company for another version of the drug. However, an application may be submitted after four years if it contains a certification of patent invalidity or non-infringement. If we are not able to gain or exploit the period of marketing exclusivity, we may face significant competitive threats to our commercialization of these compounds from other manufacturers, including the manufacturers of generic alternatives. Further, even if Vascepa is considered to be a new chemical entity and we are able to gain five-year marketing exclusivity, another company could challenge that decision to seek to overturn FDA’s determination. Another company could also gain such marketing exclusivity under the provisions of the FDCA, as amended by the Hatch-Waxman Amendments, if such company can, under certain circumstances, complete a human clinical trial process and obtain regulatory approval of its product.</w:t>
      </w:r>
    </w:p>
    <w:p>
      <w:pPr>
        <w:spacing w:after="0" w:line="9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If Vascepa is not granted new chemical entity exclusivity, it may be granted three years of new product exclusivity under Hatch-Waxman. Such exclusivity protection would preclude the FDA from approving a marketing application for a duplicate of Vascepa,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although the FDA may accept and commence review of such applications during the exclusivity period. Such three-year exclusivity would not prevent a company from challenging the validity of our patents at any time. This form of exclusivity may also not prevent the FDA from approving an NDA that relies only on its own data to support the change or innovation.</w:t>
      </w:r>
    </w:p>
    <w:p>
      <w:pPr>
        <w:spacing w:after="0" w:line="147"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engaged in the biopharmaceutical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5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2007, we purchased Ester Neurosciences Limited,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w:t>
      </w:r>
    </w:p>
    <w:p>
      <w:pPr>
        <w:sectPr>
          <w:pgSz w:w="11900" w:h="16838" w:orient="portrait"/>
          <w:cols w:equalWidth="0" w:num="1">
            <w:col w:w="11420"/>
          </w:cols>
          <w:pgMar w:left="240" w:top="459" w:right="239" w:bottom="1440" w:gutter="0" w:footer="0" w:header="0"/>
        </w:sectPr>
      </w:pP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June 2009, in keeping with our decision to re-focus our efforts on developing improved treatments for cardiovascular disease and cease development of all product candidates outside of our cardiovascular disease focus, we amended the terms of our acquisition agreement with the original shareholders of Ester. Under the terms of this amendment, Amarin was released from all research and development diligence obligations contained in the original agreement and was authorized to seek a partner for EN101. The amendment agreement also provided that any future payment obligations payable by us to the former shareholders of Ester would be made only out of income received from potential partners. In connection with this amendment agreement, in August 2009 we issued 1,315,789 ordinary shares to the former Ester shareholders. Under the terms of this amendment agreement, the former Ester shareholders have the option of reacquiring the original share capital of Ester if we are unable to successfully partner EN101.</w:t>
      </w:r>
    </w:p>
    <w:p>
      <w:pPr>
        <w:spacing w:after="0" w:line="91"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Following our decision to cease development of EN101, Yissum terminated its license agreement with us. In June 2011, Yissum announced that it had entered into a license agreement with BiolineRX Ltd for the development of EN101 in a different indication, inflammatory bowel disease.</w:t>
      </w:r>
    </w:p>
    <w:p>
      <w:pPr>
        <w:spacing w:after="0" w:line="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received several communications on behalf of the former shareholders of Ester asserting that we are in breach of its amended agreement due to the fact that the Yissum terminated its license and we failed to return shares of Ester, and assets relating to EN101, to the shareholders, as was required under certain circumstances under the amended agreement. We do not believe these circumstances constitute a breach of the amended agreement, but there can be no assurance as to the outcome of this dispute.</w:t>
      </w:r>
    </w:p>
    <w:p>
      <w:pPr>
        <w:spacing w:after="0" w:line="170" w:lineRule="exact"/>
        <w:rPr>
          <w:sz w:val="20"/>
          <w:szCs w:val="20"/>
          <w:color w:val="auto"/>
        </w:rPr>
      </w:pPr>
    </w:p>
    <w:p>
      <w:pPr>
        <w:ind w:left="240" w:right="440"/>
        <w:spacing w:after="0" w:line="268" w:lineRule="auto"/>
        <w:rPr>
          <w:sz w:val="20"/>
          <w:szCs w:val="20"/>
          <w:color w:val="auto"/>
        </w:rPr>
      </w:pPr>
      <w:r>
        <w:rPr>
          <w:rFonts w:ascii="Arial" w:cs="Arial" w:eastAsia="Arial" w:hAnsi="Arial"/>
          <w:sz w:val="18"/>
          <w:szCs w:val="18"/>
          <w:b w:val="1"/>
          <w:bCs w:val="1"/>
          <w:i w:val="1"/>
          <w:iCs w:val="1"/>
          <w:color w:val="auto"/>
        </w:rPr>
        <w:t>We will incur significant, increased costs as a result of provisions of the Sarbanes-Oxley Act of 2002, and our management will be required to devote substantial time to new compliance initiatives.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Sarbanes-Oxley Act of 2002 requires, among other things, that we maintain effective internal controls for financial reporting and disclosure. In particular, we perform system and process evaluation and testing of our internal controls over financial reporting and our independent registered public accounting firm reports on the effectiveness of our internal controls over financial reporting, as required by Section 404 of The Sarbanes-Oxley Act of 2002. Based on this evaluation and testing, our management identified a material weakness in internal control over financial reporting as of December 31, 2009 which persisted on December 31, 2010 and which was remediated as of December 31, 2011. Our testing, or the subsequent testing by our independent registered public accounting firm, may reveal deficiencies in our internal controls over financial reporting that are deemed to be new material weaknesses. We expect to incur significant expense and devote substantial management effort toward ensuring compliance with Section 404. We currently do not have an internal audit function, and we will need to hire additional accounting and financial staff with appropriate public company experience and technical accounting knowledge. Moreover, the identification by us or our independent registered public accounting firm of deficiencies in our internal controls that are deemed to be additional material weaknesses could cause the market price of the ADSs to decline, and we could be subject to sanctions or investigations by The NASDAQ Stock Market, the SEC or other regulatory authorities, which would entail expenditure of additional financial and management resources.</w:t>
      </w:r>
    </w:p>
    <w:p>
      <w:pPr>
        <w:spacing w:after="0" w:line="154" w:lineRule="exact"/>
        <w:rPr>
          <w:sz w:val="20"/>
          <w:szCs w:val="20"/>
          <w:color w:val="auto"/>
        </w:rPr>
      </w:pPr>
    </w:p>
    <w:p>
      <w:pPr>
        <w:ind w:left="240" w:right="680"/>
        <w:spacing w:after="0" w:line="268" w:lineRule="auto"/>
        <w:rPr>
          <w:sz w:val="20"/>
          <w:szCs w:val="20"/>
          <w:color w:val="auto"/>
        </w:rPr>
      </w:pPr>
      <w:r>
        <w:rPr>
          <w:rFonts w:ascii="Arial" w:cs="Arial" w:eastAsia="Arial" w:hAnsi="Arial"/>
          <w:sz w:val="18"/>
          <w:szCs w:val="18"/>
          <w:b w:val="1"/>
          <w:bCs w:val="1"/>
          <w:i w:val="1"/>
          <w:iCs w:val="1"/>
          <w:color w:val="auto"/>
        </w:rPr>
        <w:t>We have previously identified a material weakness in our internal control over financial reporting in the past and cannot assure you that material weaknesses will not occur in the future.</w:t>
      </w:r>
    </w:p>
    <w:p>
      <w:pPr>
        <w:spacing w:after="0" w:line="5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As part of the annual financial statement review under International Financial Reporting Standards for the period ended December 31, 2009, management concluded that as of December 31, 2009 there was a deficiency in the company’s internal control over financial reporting relating to the technical expertise and review over the accounting for complex, non-routine transactions that could result in a material misstatement of the consolidated financial statements that would not be prevented or detected on a timely basis. Accordingly, management determined that this control deficiency constituted a material weakness. During 2010, we did not engage in any new non-routine transactions. Nevertheless, based on management’s evaluation of our internal control over financial reporting as of December 31, 2010, management determined that this material weakness in our internal control over financial reporting remained. Specifically, our management concluded there was a deficiency in the company’s internal control over financial reporting relating to the technical expertise and review over the accounting for complex, non-routine transactions that could result in a material misstatement of the consolidated financial statements that would not be prevented or detected on a timely basis.</w:t>
      </w:r>
    </w:p>
    <w:p>
      <w:pPr>
        <w:spacing w:after="0" w:line="20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response to this material weakness, our management, with the input, oversight, and support of the Audit Committee, identified and took the following steps to remediate the control deficiency: non-ordinary course transactions are now considered and evaluated by senior finance management; we continue to prepare accounting position papers for all complex transactions; and, where appropriate, management seeks the advice of outside consultants on accounting matters related to the application of U.S. GAAP to complex, non-ordinary course transactions and in other instances as warranted. Any future deficiencies could materially and adversely affect our ability to provide timely and accurate financial information, and the current and future deficiencies may impact investors’ confidence in our internal controls and our company, which could cause our stock price to decline.</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8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90"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5"/>
          <w:szCs w:val="15"/>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w:t>
      </w:r>
    </w:p>
    <w:p>
      <w:pPr>
        <w:spacing w:after="0" w:line="3"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of August 2, 2012 we had 148,820,268 common shares outstanding. As of August 2, 2012 there were 148,429,704 shares held as ADSs and 390,564 held as common shares (which are not held in the form of ADSs). In our October 2009 private placement we issued 66.4 million ADSs and warrants to purchase an additional 33.2 million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such as the participants in our October 2009 private placement, seek to sell substantial amounts of our ADSs, particularly if these sales are in a rapid or disorderly manner, or other investors perceive that these sales could occur, the market price of our ADSs could decrease significantly.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9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status of our patent prosecution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or disputes concerning any future patent or proprietary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developments in the United States, the European Union or other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198"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140"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In accordance with the guidelines specified under Rule 10b5-1 of the Securities and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w:t>
      </w:r>
    </w:p>
    <w:p>
      <w:pPr>
        <w:spacing w:after="0" w:line="1"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ectPr>
          <w:pgSz w:w="11900" w:h="16838" w:orient="portrait"/>
          <w:cols w:equalWidth="0" w:num="1">
            <w:col w:w="11420"/>
          </w:cols>
          <w:pgMar w:left="240" w:top="459" w:right="239" w:bottom="1440" w:gutter="0" w:footer="0" w:header="0"/>
        </w:sectPr>
      </w:pPr>
    </w:p>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5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existing indebtedness could adversely affect our financial condition.</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existing indebtedness, which we entered into in January 2012, consists of $150.0 million in aggregate principal amount of 3.50% exchangeable senior notes due 2032, with provisions for the notes to be called on or after January 19, 2017. Our indebtedness and the related annual debt service requirements may adversely impact our business, operations and financial condition in the future. For example, they could:</w:t>
      </w:r>
    </w:p>
    <w:p>
      <w:pPr>
        <w:spacing w:after="0" w:line="26"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57"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159"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The accounting method for convertible debt securities that may be settled in cash, such as our notes, could have a material effect on our reported financial results.</w:t>
      </w:r>
    </w:p>
    <w:p>
      <w:pPr>
        <w:spacing w:after="0" w:line="51"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Under the FASB Accounting Standards Codification, or ASC, we may be required to separately account for the liability and equity components of the convertible debt instruments (such as the notes) that may be settled entirely or partially in cash upon conversion in a manner that reflects the issuer’s economic interest cost. The effect of ASC on the accounting for our outstanding convertible notes may be that the equity component is required to be included in the additional paid-in capital section of stockholders’ equity on our consolidated balance sheets and the value of the equity component would be treated as original issue discount for purposes of accounting for the debt component of the notes. As a result, we may be required to record non-cash interest expense as a result of the amortization of the discounted carrying value of the notes to their face amount over the term of the notes. We may be required to report higher interest expense in our financial results because ASC may require interest to include both the current period’s amortization of the debt discount and the instrument’s coupon interest, which could adversely affect our reported or future financial results and the trading price of our ADSs.</w:t>
      </w:r>
    </w:p>
    <w:p>
      <w:pPr>
        <w:spacing w:after="0" w:line="9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Servicing our debt may require a significant amount of cash, and we may not have sufficient cash flow from our business to provide the funds sufficient to pay our substantial debt.</w:t>
      </w:r>
    </w:p>
    <w:p>
      <w:pPr>
        <w:spacing w:after="0" w:line="10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notes, and have a material adverse effect on the trading price of our ADSs.</w:t>
      </w:r>
    </w:p>
    <w:p>
      <w:pPr>
        <w:spacing w:after="0" w:line="9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be able to incur substantial additional debt in the future, subject to the restrictions contained in our future debt instruments, if any, which would intensify the risks discussed above.</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would result in adverse U.S. tax consequences to U.S. investors.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22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While we cannot provide any assurance that we are, are not, or will or will not be, a PFIC now or in the future, we believe it prudent to assume that the we were classified as a PFIC in 2011 and that we could be classified as such in 2012 or in future years.</w:t>
      </w:r>
    </w:p>
    <w:p>
      <w:pPr>
        <w:spacing w:after="0" w:line="10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conditional exchange feature of the notes, if triggered, may adversely affect our financial condition and operating results.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the event the conditional exchange feature of the notes is triggered, holders of notes will be entitled to exchange the notes at any time during specified periods at their option. If one or more holders elect to exchange their notes, unless we elect to satisfy its exchange obligation by delivering solely the ADSs (other than cash in lieu of any fractional ADS), we would be required to settle a portion or all of its exchange obligation through the payment of cash, which could adversely affect our liquidity. In addition, even if holders do not elect to exchange their notes, we could be required under applicable accounting rules to reclassify all or a portion of the outstanding principal of the notes as a current rather than long-term liability, which would result in a material reduction of our net working capital.</w:t>
      </w:r>
    </w:p>
    <w:p>
      <w:pPr>
        <w:sectPr>
          <w:pgSz w:w="11900" w:h="16838" w:orient="portrait"/>
          <w:cols w:equalWidth="0" w:num="1">
            <w:col w:w="11420"/>
          </w:cols>
          <w:pgMar w:left="240" w:top="459" w:right="23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fundamental change repurchase feature of the notes may delay or prevent an otherwise beneficial takeover attempt of us.</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indenture governing the notes will require us to repurchase the notes for cash upon the occurrence of a fundamental change of Amarin and, in certain circumstances, to increase the exchange rate for a holder that exchanges its notes in connection with a make-whole fundamental change. A takeover of us may trigger the requirement that we purchase the notes and/or increase the exchange rate, which could make it more costly for a potential acquirer to engage in a combinatory transaction with us. Such additional costs may have the effect of delaying or preventing a takeover of us that would otherwise be beneficial to investors.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59" w:lineRule="exact"/>
        <w:rPr>
          <w:sz w:val="20"/>
          <w:szCs w:val="20"/>
          <w:color w:val="auto"/>
        </w:rPr>
      </w:pPr>
    </w:p>
    <w:p>
      <w:pPr>
        <w:ind w:left="900" w:right="180" w:hanging="325"/>
        <w:spacing w:after="0" w:line="298"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 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31" w:lineRule="exact"/>
        <w:rPr>
          <w:rFonts w:ascii="Arial" w:cs="Arial" w:eastAsia="Arial" w:hAnsi="Arial"/>
          <w:sz w:val="16"/>
          <w:szCs w:val="16"/>
          <w:color w:val="auto"/>
        </w:rPr>
      </w:pPr>
    </w:p>
    <w:p>
      <w:pPr>
        <w:ind w:left="900" w:right="320" w:hanging="325"/>
        <w:spacing w:after="0" w:line="306"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25" w:lineRule="exact"/>
        <w:rPr>
          <w:rFonts w:ascii="Arial" w:cs="Arial" w:eastAsia="Arial" w:hAnsi="Arial"/>
          <w:sz w:val="16"/>
          <w:szCs w:val="16"/>
          <w:color w:val="auto"/>
        </w:rPr>
      </w:pPr>
    </w:p>
    <w:p>
      <w:pPr>
        <w:ind w:left="900" w:right="80" w:hanging="325"/>
        <w:spacing w:after="0" w:line="256"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62" w:lineRule="exact"/>
        <w:rPr>
          <w:rFonts w:ascii="Arial" w:cs="Arial" w:eastAsia="Arial" w:hAnsi="Arial"/>
          <w:sz w:val="18"/>
          <w:szCs w:val="18"/>
          <w:color w:val="auto"/>
        </w:rPr>
      </w:pPr>
    </w:p>
    <w:p>
      <w:pPr>
        <w:jc w:val="both"/>
        <w:ind w:left="900" w:hanging="325"/>
        <w:spacing w:after="0" w:line="303"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w:t>
      </w:r>
    </w:p>
    <w:p>
      <w:pPr>
        <w:spacing w:after="0" w:line="1" w:lineRule="exact"/>
        <w:rPr>
          <w:rFonts w:ascii="Arial" w:cs="Arial" w:eastAsia="Arial" w:hAnsi="Arial"/>
          <w:sz w:val="15"/>
          <w:szCs w:val="15"/>
          <w:color w:val="auto"/>
        </w:rPr>
      </w:pPr>
    </w:p>
    <w:p>
      <w:pPr>
        <w:ind w:left="900" w:right="40"/>
        <w:spacing w:after="0" w:line="295" w:lineRule="auto"/>
        <w:rPr>
          <w:rFonts w:ascii="Arial" w:cs="Arial" w:eastAsia="Arial" w:hAnsi="Arial"/>
          <w:sz w:val="15"/>
          <w:szCs w:val="15"/>
          <w:color w:val="auto"/>
        </w:rPr>
      </w:pPr>
      <w:r>
        <w:rPr>
          <w:rFonts w:ascii="Arial" w:cs="Arial" w:eastAsia="Arial" w:hAnsi="Arial"/>
          <w:sz w:val="16"/>
          <w:szCs w:val="16"/>
          <w:color w:val="auto"/>
        </w:rPr>
        <w:t>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representing 75% of the ordinary shares and a majority of the shareholders voting at the meeting for approval.</w:t>
      </w:r>
    </w:p>
    <w:p>
      <w:pPr>
        <w:spacing w:after="0" w:line="34" w:lineRule="exact"/>
        <w:rPr>
          <w:rFonts w:ascii="Arial" w:cs="Arial" w:eastAsia="Arial" w:hAnsi="Arial"/>
          <w:sz w:val="15"/>
          <w:szCs w:val="15"/>
          <w:color w:val="auto"/>
        </w:rPr>
      </w:pPr>
    </w:p>
    <w:p>
      <w:pPr>
        <w:ind w:left="900" w:right="140" w:hanging="325"/>
        <w:spacing w:after="0" w:line="298"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31" w:lineRule="exact"/>
        <w:rPr>
          <w:rFonts w:ascii="Arial" w:cs="Arial" w:eastAsia="Arial" w:hAnsi="Arial"/>
          <w:sz w:val="16"/>
          <w:szCs w:val="16"/>
          <w:color w:val="auto"/>
        </w:rPr>
      </w:pPr>
    </w:p>
    <w:p>
      <w:pPr>
        <w:ind w:left="900" w:right="80" w:hanging="325"/>
        <w:spacing w:after="0" w:line="255"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70" w:lineRule="exact"/>
        <w:rPr>
          <w:sz w:val="20"/>
          <w:szCs w:val="20"/>
          <w:color w:val="auto"/>
        </w:rPr>
      </w:pPr>
    </w:p>
    <w:p>
      <w:pPr>
        <w:ind w:left="240" w:right="320"/>
        <w:spacing w:after="0" w:line="268" w:lineRule="auto"/>
        <w:rPr>
          <w:sz w:val="20"/>
          <w:szCs w:val="20"/>
          <w:color w:val="auto"/>
        </w:rPr>
      </w:pPr>
      <w:r>
        <w:rPr>
          <w:rFonts w:ascii="Arial" w:cs="Arial" w:eastAsia="Arial" w:hAnsi="Arial"/>
          <w:sz w:val="18"/>
          <w:szCs w:val="18"/>
          <w:b w:val="1"/>
          <w:bCs w:val="1"/>
          <w:i w:val="1"/>
          <w:iCs w:val="1"/>
          <w:color w:val="auto"/>
        </w:rPr>
        <w:t>We may in the future be subject to the UK Takeover Code which we do not believe is binding on our company at the present time. Nevertheless, the UK Takeover Code could apply to our company under certain circumstances in the future.*</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We may in the future be subject to the UK City Code on Takeovers and Mergers which we do not believe is binding on our company at the present time.</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the United Kingdom, takeover offers and certain other transactions in respect of certain public companies are regulated by the UK City Code on Takeovers and Mergers, or the Takeover Code, which is administered by the Takeover Panel. Currently, the Takeover Code applies to public companies which have their registered offices in the United Kingdom, the Channel Islands or the Isle of Man if their securities are admitted to trading on a regulated market in the United Kingdom or on a stock exchange in the Channel Islands or the Isle of Man. The Takeover Code also applies to public companies which have their registered office in the United Kingdom, the Channel Islands or the Isle of Man notwithstanding that their securities are not admitted to trading on one of the markets mentioned above, if the Takeover Panel considers that the company has its place of central management and control in the UK, the Channel Islands or the Isle of Man, or the so-called residency test. We do not believe that our company has its place of central management and control in the UK, the Channel Islands or the Isle of Man and we therefore do not believe that the Takeover Code currently applies to us.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July 2012, the Takeover Panel published three public consultation papers setting out proposed amendments to the Takeover Code, which include a proposal to eliminate the residency test described above. If this proposal is adopted, we could become subject to the Takeover Code since our registered office is in the United Kingdom.</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summary, the Takeover Code sets out binding rules that provide a framework within which takeovers are required to be conducted and this approach differs from the typical U.S. approach which permits the incumbent board greater flexibility to act in a manner it believes is in the best interests of shareholders. The Takeover Code is designed principally to ensure that shareholders in an offeree company are treated fairly, that they are not denied an opportunity to decide on the merits of a takeover and that they are each afforded equivalent treatment by an offeror.</w:t>
      </w:r>
    </w:p>
    <w:p>
      <w:pPr>
        <w:spacing w:after="0" w:line="14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One of the rules of the Takeover Code requires that if an offeror (and persons acting in concert with it) were to acquire interests in our ordinary shares representing 30% or more of the voting rights of all our ordinary shares, the offeror (and, depending upon the circumstances, persons acting in concert with it) would be required (except with the consent of the Takeover Panel) to make a cash offer for the outstanding ordinary shares at a price not less than the highest price paid for any interest in the ordinary shares by the offeror (or persons acting in concert with it) during the 12 months prior to the announcement of that offer. A similar obligation to make such a mandatory offer would also arise on the acquisition of an interest in our ordinary shares by a person holding (together with persons acting in concert with it) an interest representing between 30% and 50% of the voting rights of all our ordinary shares.</w:t>
      </w:r>
    </w:p>
    <w:p>
      <w:pPr>
        <w:spacing w:after="0" w:line="12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If we become subject to the Takeover Code, we will be subject to greater controls in relation to the conduct of any takeover offer for our ordinary shares and this may affect the willingness of potential acquirers to proceed with a takeover offer that would otherwise be beneficial to investors. In addition, if we become subject to the Takeover Code, our board of directors would be less able to exercise its judgment over the conduct of any proposed takeover than it would if the Takeover Code did not apply.</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effect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147" w:lineRule="exact"/>
        <w:rPr>
          <w:sz w:val="20"/>
          <w:szCs w:val="20"/>
          <w:color w:val="auto"/>
        </w:rPr>
      </w:pPr>
    </w:p>
    <w:p>
      <w:pPr>
        <w:ind w:left="240" w:right="560"/>
        <w:spacing w:after="0" w:line="268" w:lineRule="auto"/>
        <w:rPr>
          <w:sz w:val="20"/>
          <w:szCs w:val="20"/>
          <w:color w:val="auto"/>
        </w:rPr>
      </w:pPr>
      <w:r>
        <w:rPr>
          <w:rFonts w:ascii="Arial" w:cs="Arial" w:eastAsia="Arial" w:hAnsi="Arial"/>
          <w:sz w:val="18"/>
          <w:szCs w:val="18"/>
          <w:b w:val="1"/>
          <w:bCs w:val="1"/>
          <w:i w:val="1"/>
          <w:iCs w:val="1"/>
          <w:color w:val="auto"/>
        </w:rPr>
        <w:t>Our directors, management and affiliated investment funds exercise significant control over our company, which will limit your ability to influence corporate matters.</w:t>
      </w:r>
    </w:p>
    <w:p>
      <w:pPr>
        <w:spacing w:after="0" w:line="5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of July 31, 2012 our executive officers, directors and affiliated investment funds collectively controlled approximately 9.86% of our outstanding ordinary shares, excluding any shares subject to ADSs that such persons may have the right to acquire upon exercise of outstanding options or warrants. As a result, these shareholders, if they act together, will be able to influence our management and affairs and all matters requiring shareholder approval, including the election of directors and approval of significant corporate transactions.</w:t>
      </w:r>
    </w:p>
    <w:p>
      <w:pPr>
        <w:spacing w:after="0" w:line="116" w:lineRule="exact"/>
        <w:rPr>
          <w:sz w:val="20"/>
          <w:szCs w:val="20"/>
          <w:color w:val="auto"/>
        </w:rPr>
      </w:pPr>
    </w:p>
    <w:p>
      <w:pPr>
        <w:ind w:right="40" w:firstLine="456"/>
        <w:spacing w:after="0" w:line="303" w:lineRule="auto"/>
        <w:rPr>
          <w:sz w:val="20"/>
          <w:szCs w:val="20"/>
          <w:color w:val="auto"/>
        </w:rPr>
      </w:pPr>
      <w:r>
        <w:rPr>
          <w:rFonts w:ascii="Arial" w:cs="Arial" w:eastAsia="Arial" w:hAnsi="Arial"/>
          <w:sz w:val="15"/>
          <w:szCs w:val="15"/>
          <w:color w:val="auto"/>
        </w:rPr>
        <w:t>In addition, we entered into an agreement with various participants in the October 2009 private placement under which investment funds affiliated with Orbimed Advisors LLC, Sofinnova Ventures and Abingworth LLP have the ability to designate persons for Amarin to nominate to its Board of Directors and the other participants have given these investments funds a proxy to vote their securities in favor of these nominees. We have a continuing obligation to nominate one</w:t>
      </w:r>
    </w:p>
    <w:p>
      <w:pPr>
        <w:spacing w:after="0" w:line="1" w:lineRule="exact"/>
        <w:rPr>
          <w:sz w:val="20"/>
          <w:szCs w:val="20"/>
          <w:color w:val="auto"/>
        </w:rPr>
      </w:pPr>
    </w:p>
    <w:p>
      <w:pPr>
        <w:ind w:right="60" w:firstLine="8"/>
        <w:spacing w:after="0" w:line="290" w:lineRule="auto"/>
        <w:tabs>
          <w:tab w:leader="none" w:pos="2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designee of investment funds affiliated with Sofinnova Ventures to its Board of Directors for so long as such funds beneficially own at least fifty percent (50%) of the ADSs they purchased in the October 2009 private placement. Dr. James I. Healy was designated by investment funds affiliated with Sofinnova Ventures pursuant to this arrangement. In addition, we have agreed to nominate one (1) designee of investment funds affiliated with Abingworth LLP to its Board of Directors for so long as such funds beneficially own at least five percent (5%) of our outstanding voting securities. Dr. Joseph Anderson was designated by investment funds affiliated with Abingworth LLP under this arrangement. This concentration of ownership and the above-described arrangement may have the effect of delaying or preventing a change in control of our company that other shareholders may desire and might negatively affect the market price of the ADSs.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U.S. holders of the ADSs or ordinary shares may be subject to U.S. income taxation at ordinary income tax rates on undistributed earnings and profits.</w:t>
      </w:r>
    </w:p>
    <w:p>
      <w:pPr>
        <w:spacing w:after="0" w:line="1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incorporated by reference or filed as part of this report.</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Exhibit</w:t>
            </w:r>
          </w:p>
        </w:tc>
        <w:tc>
          <w:tcPr>
            <w:tcW w:w="2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1060" w:type="dxa"/>
            <w:vAlign w:val="bottom"/>
            <w:gridSpan w:val="2"/>
          </w:tcPr>
          <w:p>
            <w:pPr>
              <w:jc w:val="center"/>
              <w:ind w:right="280"/>
              <w:spacing w:after="0" w:line="203" w:lineRule="exact"/>
              <w:rPr>
                <w:sz w:val="20"/>
                <w:szCs w:val="20"/>
                <w:color w:val="auto"/>
              </w:rPr>
            </w:pPr>
            <w:r>
              <w:rPr>
                <w:rFonts w:ascii="Arial" w:cs="Arial" w:eastAsia="Arial" w:hAnsi="Arial"/>
                <w:sz w:val="18"/>
                <w:szCs w:val="18"/>
                <w:b w:val="1"/>
                <w:bCs w:val="1"/>
                <w:color w:val="auto"/>
                <w:w w:val="91"/>
              </w:rPr>
              <w:t>Number</w:t>
            </w:r>
          </w:p>
        </w:tc>
        <w:tc>
          <w:tcPr>
            <w:tcW w:w="8240" w:type="dxa"/>
            <w:vAlign w:val="bottom"/>
            <w:gridSpan w:val="3"/>
          </w:tcPr>
          <w:p>
            <w:pPr>
              <w:ind w:left="280"/>
              <w:spacing w:after="0" w:line="203"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0" w:type="dxa"/>
            <w:vAlign w:val="bottom"/>
            <w:tcBorders>
              <w:top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330"/>
        </w:trPr>
        <w:tc>
          <w:tcPr>
            <w:tcW w:w="800" w:type="dxa"/>
            <w:vAlign w:val="bottom"/>
            <w:gridSpan w:val="2"/>
          </w:tcPr>
          <w:p>
            <w:pPr>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8240" w:type="dxa"/>
            <w:vAlign w:val="bottom"/>
            <w:gridSpan w:val="3"/>
          </w:tcPr>
          <w:p>
            <w:pPr>
              <w:ind w:left="280"/>
              <w:spacing w:after="0"/>
              <w:rPr>
                <w:sz w:val="20"/>
                <w:szCs w:val="20"/>
                <w:color w:val="auto"/>
              </w:rPr>
            </w:pPr>
            <w:r>
              <w:rPr>
                <w:rFonts w:ascii="Arial" w:cs="Arial" w:eastAsia="Arial" w:hAnsi="Arial"/>
                <w:sz w:val="18"/>
                <w:szCs w:val="18"/>
                <w:color w:val="auto"/>
              </w:rPr>
              <w:t>Amendment No. 1 to 2011 Stock Option Incentive Plan</w:t>
            </w:r>
          </w:p>
        </w:tc>
      </w:tr>
      <w:tr>
        <w:trPr>
          <w:trHeight w:val="432"/>
        </w:trPr>
        <w:tc>
          <w:tcPr>
            <w:tcW w:w="800" w:type="dxa"/>
            <w:vAlign w:val="bottom"/>
            <w:gridSpan w:val="2"/>
          </w:tcPr>
          <w:p>
            <w:pPr>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4"/>
                <w:szCs w:val="24"/>
                <w:color w:val="auto"/>
              </w:rPr>
            </w:pPr>
          </w:p>
        </w:tc>
        <w:tc>
          <w:tcPr>
            <w:tcW w:w="8240" w:type="dxa"/>
            <w:vAlign w:val="bottom"/>
            <w:gridSpan w:val="3"/>
          </w:tcPr>
          <w:p>
            <w:pPr>
              <w:ind w:left="280"/>
              <w:spacing w:after="0"/>
              <w:rPr>
                <w:sz w:val="20"/>
                <w:szCs w:val="20"/>
                <w:color w:val="auto"/>
              </w:rPr>
            </w:pPr>
            <w:r>
              <w:rPr>
                <w:rFonts w:ascii="Arial" w:cs="Arial" w:eastAsia="Arial" w:hAnsi="Arial"/>
                <w:sz w:val="18"/>
                <w:szCs w:val="18"/>
                <w:color w:val="auto"/>
              </w:rPr>
              <w:t>Amendment No. 2 to 2011 Stock Option Incentive Plan</w:t>
            </w:r>
          </w:p>
        </w:tc>
      </w:tr>
      <w:tr>
        <w:trPr>
          <w:trHeight w:val="426"/>
        </w:trPr>
        <w:tc>
          <w:tcPr>
            <w:tcW w:w="800" w:type="dxa"/>
            <w:vAlign w:val="bottom"/>
            <w:gridSpan w:val="2"/>
          </w:tcPr>
          <w:p>
            <w:pPr>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24"/>
                <w:szCs w:val="24"/>
                <w:color w:val="auto"/>
              </w:rPr>
            </w:pPr>
          </w:p>
        </w:tc>
        <w:tc>
          <w:tcPr>
            <w:tcW w:w="8240" w:type="dxa"/>
            <w:vAlign w:val="bottom"/>
            <w:gridSpan w:val="3"/>
          </w:tcPr>
          <w:p>
            <w:pPr>
              <w:ind w:left="280"/>
              <w:spacing w:after="0"/>
              <w:rPr>
                <w:sz w:val="20"/>
                <w:szCs w:val="20"/>
                <w:color w:val="auto"/>
              </w:rPr>
            </w:pPr>
            <w:r>
              <w:rPr>
                <w:rFonts w:ascii="Arial" w:cs="Arial" w:eastAsia="Arial" w:hAnsi="Arial"/>
                <w:sz w:val="18"/>
                <w:szCs w:val="18"/>
                <w:color w:val="auto"/>
                <w:w w:val="88"/>
              </w:rPr>
              <w:t>Sublease Agreement by and among Advance Realty Management, Inc., Bedminster 2 Funding, LLC and Amarin</w:t>
            </w:r>
          </w:p>
        </w:tc>
      </w:tr>
      <w:tr>
        <w:trPr>
          <w:trHeight w:val="222"/>
        </w:trPr>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40" w:type="dxa"/>
            <w:vAlign w:val="bottom"/>
            <w:gridSpan w:val="3"/>
          </w:tcPr>
          <w:p>
            <w:pPr>
              <w:ind w:left="280"/>
              <w:spacing w:after="0"/>
              <w:rPr>
                <w:sz w:val="20"/>
                <w:szCs w:val="20"/>
                <w:color w:val="auto"/>
              </w:rPr>
            </w:pPr>
            <w:r>
              <w:rPr>
                <w:rFonts w:ascii="Arial" w:cs="Arial" w:eastAsia="Arial" w:hAnsi="Arial"/>
                <w:sz w:val="18"/>
                <w:szCs w:val="18"/>
                <w:color w:val="auto"/>
              </w:rPr>
              <w:t>Pharma Inc., dated April 25, 2012</w:t>
            </w:r>
          </w:p>
        </w:tc>
      </w:tr>
      <w:tr>
        <w:trPr>
          <w:trHeight w:val="426"/>
        </w:trPr>
        <w:tc>
          <w:tcPr>
            <w:tcW w:w="800" w:type="dxa"/>
            <w:vAlign w:val="bottom"/>
            <w:gridSpan w:val="2"/>
          </w:tcPr>
          <w:p>
            <w:pPr>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4"/>
                <w:szCs w:val="24"/>
                <w:color w:val="auto"/>
              </w:rPr>
            </w:pPr>
          </w:p>
        </w:tc>
        <w:tc>
          <w:tcPr>
            <w:tcW w:w="8240" w:type="dxa"/>
            <w:vAlign w:val="bottom"/>
            <w:gridSpan w:val="3"/>
          </w:tcPr>
          <w:p>
            <w:pPr>
              <w:ind w:left="280"/>
              <w:spacing w:after="0"/>
              <w:rPr>
                <w:sz w:val="20"/>
                <w:szCs w:val="20"/>
                <w:color w:val="auto"/>
              </w:rPr>
            </w:pPr>
            <w:r>
              <w:rPr>
                <w:rFonts w:ascii="Arial" w:cs="Arial" w:eastAsia="Arial" w:hAnsi="Arial"/>
                <w:sz w:val="18"/>
                <w:szCs w:val="18"/>
                <w:color w:val="auto"/>
                <w:w w:val="88"/>
              </w:rPr>
              <w:t>Second Amendment to Irrevocable License Agreement, by and between Bedminster 2 Funding, LLC and Amarin</w:t>
            </w:r>
          </w:p>
        </w:tc>
      </w:tr>
      <w:tr>
        <w:trPr>
          <w:trHeight w:val="222"/>
        </w:trPr>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40" w:type="dxa"/>
            <w:vAlign w:val="bottom"/>
            <w:gridSpan w:val="3"/>
          </w:tcPr>
          <w:p>
            <w:pPr>
              <w:ind w:left="280"/>
              <w:spacing w:after="0"/>
              <w:rPr>
                <w:sz w:val="20"/>
                <w:szCs w:val="20"/>
                <w:color w:val="auto"/>
              </w:rPr>
            </w:pPr>
            <w:r>
              <w:rPr>
                <w:rFonts w:ascii="Arial" w:cs="Arial" w:eastAsia="Arial" w:hAnsi="Arial"/>
                <w:sz w:val="18"/>
                <w:szCs w:val="18"/>
                <w:color w:val="auto"/>
              </w:rPr>
              <w:t>Pharmaceuticals Ireland Ltd., dated April 25, 2012</w:t>
            </w:r>
          </w:p>
        </w:tc>
      </w:tr>
      <w:tr>
        <w:trPr>
          <w:trHeight w:val="426"/>
        </w:trPr>
        <w:tc>
          <w:tcPr>
            <w:tcW w:w="800" w:type="dxa"/>
            <w:vAlign w:val="bottom"/>
            <w:gridSpan w:val="2"/>
          </w:tcPr>
          <w:p>
            <w:pPr>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24"/>
                <w:szCs w:val="24"/>
                <w:color w:val="auto"/>
              </w:rPr>
            </w:pPr>
          </w:p>
        </w:tc>
        <w:tc>
          <w:tcPr>
            <w:tcW w:w="8240" w:type="dxa"/>
            <w:vAlign w:val="bottom"/>
            <w:gridSpan w:val="3"/>
          </w:tcPr>
          <w:p>
            <w:pPr>
              <w:ind w:left="280"/>
              <w:spacing w:after="0"/>
              <w:rPr>
                <w:sz w:val="20"/>
                <w:szCs w:val="20"/>
                <w:color w:val="auto"/>
              </w:rPr>
            </w:pPr>
            <w:r>
              <w:rPr>
                <w:rFonts w:ascii="Arial" w:cs="Arial" w:eastAsia="Arial" w:hAnsi="Arial"/>
                <w:sz w:val="18"/>
                <w:szCs w:val="18"/>
                <w:color w:val="auto"/>
                <w:w w:val="91"/>
              </w:rPr>
              <w:t>Third Amendment to Irrevocable License Agreement by and between Bedminster 2 Funding, LLC and Amarin</w:t>
            </w:r>
          </w:p>
        </w:tc>
      </w:tr>
      <w:tr>
        <w:trPr>
          <w:trHeight w:val="222"/>
        </w:trPr>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40" w:type="dxa"/>
            <w:vAlign w:val="bottom"/>
            <w:gridSpan w:val="3"/>
          </w:tcPr>
          <w:p>
            <w:pPr>
              <w:ind w:left="280"/>
              <w:spacing w:after="0"/>
              <w:rPr>
                <w:sz w:val="20"/>
                <w:szCs w:val="20"/>
                <w:color w:val="auto"/>
              </w:rPr>
            </w:pPr>
            <w:r>
              <w:rPr>
                <w:rFonts w:ascii="Arial" w:cs="Arial" w:eastAsia="Arial" w:hAnsi="Arial"/>
                <w:sz w:val="18"/>
                <w:szCs w:val="18"/>
                <w:color w:val="auto"/>
              </w:rPr>
              <w:t>Pharmaceuticals Ireland Ltd., dated July 17, 2012</w:t>
            </w:r>
          </w:p>
        </w:tc>
      </w:tr>
      <w:tr>
        <w:trPr>
          <w:trHeight w:val="426"/>
        </w:trPr>
        <w:tc>
          <w:tcPr>
            <w:tcW w:w="1100" w:type="dxa"/>
            <w:vAlign w:val="bottom"/>
            <w:gridSpan w:val="3"/>
          </w:tcPr>
          <w:p>
            <w:pPr>
              <w:spacing w:after="0"/>
              <w:rPr>
                <w:sz w:val="20"/>
                <w:szCs w:val="20"/>
                <w:color w:val="auto"/>
              </w:rPr>
            </w:pPr>
            <w:r>
              <w:rPr>
                <w:rFonts w:ascii="Arial" w:cs="Arial" w:eastAsia="Arial" w:hAnsi="Arial"/>
                <w:sz w:val="18"/>
                <w:szCs w:val="18"/>
                <w:color w:val="auto"/>
              </w:rPr>
              <w:t>10.6†</w:t>
            </w:r>
          </w:p>
        </w:tc>
        <w:tc>
          <w:tcPr>
            <w:tcW w:w="8240" w:type="dxa"/>
            <w:vAlign w:val="bottom"/>
            <w:gridSpan w:val="3"/>
          </w:tcPr>
          <w:p>
            <w:pPr>
              <w:ind w:left="280"/>
              <w:spacing w:after="0"/>
              <w:rPr>
                <w:sz w:val="20"/>
                <w:szCs w:val="20"/>
                <w:color w:val="auto"/>
              </w:rPr>
            </w:pPr>
            <w:r>
              <w:rPr>
                <w:rFonts w:ascii="Arial" w:cs="Arial" w:eastAsia="Arial" w:hAnsi="Arial"/>
                <w:sz w:val="18"/>
                <w:szCs w:val="18"/>
                <w:color w:val="auto"/>
                <w:w w:val="92"/>
              </w:rPr>
              <w:t>Amendment to API Commercial Supply Agreement by and between Amarin Pharmaceuticals Ireland Ltd and</w:t>
            </w:r>
          </w:p>
        </w:tc>
      </w:tr>
      <w:tr>
        <w:trPr>
          <w:trHeight w:val="222"/>
        </w:trPr>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40" w:type="dxa"/>
            <w:vAlign w:val="bottom"/>
            <w:gridSpan w:val="3"/>
          </w:tcPr>
          <w:p>
            <w:pPr>
              <w:ind w:left="280"/>
              <w:spacing w:after="0"/>
              <w:rPr>
                <w:sz w:val="20"/>
                <w:szCs w:val="20"/>
                <w:color w:val="auto"/>
              </w:rPr>
            </w:pPr>
            <w:r>
              <w:rPr>
                <w:rFonts w:ascii="Arial" w:cs="Arial" w:eastAsia="Arial" w:hAnsi="Arial"/>
                <w:sz w:val="18"/>
                <w:szCs w:val="18"/>
                <w:color w:val="auto"/>
              </w:rPr>
              <w:t>Chemport Inc., dated April 4, 2012</w:t>
            </w:r>
          </w:p>
        </w:tc>
      </w:tr>
      <w:tr>
        <w:trPr>
          <w:trHeight w:val="426"/>
        </w:trPr>
        <w:tc>
          <w:tcPr>
            <w:tcW w:w="800" w:type="dxa"/>
            <w:vAlign w:val="bottom"/>
            <w:gridSpan w:val="2"/>
          </w:tcPr>
          <w:p>
            <w:pPr>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8240" w:type="dxa"/>
            <w:vAlign w:val="bottom"/>
            <w:gridSpan w:val="3"/>
          </w:tcPr>
          <w:p>
            <w:pPr>
              <w:ind w:left="280"/>
              <w:spacing w:after="0"/>
              <w:rPr>
                <w:sz w:val="20"/>
                <w:szCs w:val="20"/>
                <w:color w:val="auto"/>
              </w:rPr>
            </w:pPr>
            <w:r>
              <w:rPr>
                <w:rFonts w:ascii="Arial" w:cs="Arial" w:eastAsia="Arial" w:hAnsi="Arial"/>
                <w:sz w:val="18"/>
                <w:szCs w:val="18"/>
                <w:color w:val="auto"/>
                <w:w w:val="90"/>
              </w:rPr>
              <w:t>Certification of Chief Executive Officer (Principal Executive Officer) pursuant to Section 302 of Sarbanes-Oxley</w:t>
            </w:r>
          </w:p>
        </w:tc>
      </w:tr>
      <w:tr>
        <w:trPr>
          <w:trHeight w:val="222"/>
        </w:trPr>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40" w:type="dxa"/>
            <w:vAlign w:val="bottom"/>
            <w:gridSpan w:val="3"/>
          </w:tcPr>
          <w:p>
            <w:pPr>
              <w:ind w:left="280"/>
              <w:spacing w:after="0"/>
              <w:rPr>
                <w:sz w:val="20"/>
                <w:szCs w:val="20"/>
                <w:color w:val="auto"/>
              </w:rPr>
            </w:pPr>
            <w:r>
              <w:rPr>
                <w:rFonts w:ascii="Arial" w:cs="Arial" w:eastAsia="Arial" w:hAnsi="Arial"/>
                <w:sz w:val="18"/>
                <w:szCs w:val="18"/>
                <w:color w:val="auto"/>
              </w:rPr>
              <w:t>Act of 2002</w:t>
            </w:r>
          </w:p>
        </w:tc>
      </w:tr>
      <w:tr>
        <w:trPr>
          <w:trHeight w:val="432"/>
        </w:trPr>
        <w:tc>
          <w:tcPr>
            <w:tcW w:w="800" w:type="dxa"/>
            <w:vAlign w:val="bottom"/>
            <w:gridSpan w:val="2"/>
          </w:tcPr>
          <w:p>
            <w:pPr>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8240" w:type="dxa"/>
            <w:vAlign w:val="bottom"/>
            <w:gridSpan w:val="3"/>
          </w:tcPr>
          <w:p>
            <w:pPr>
              <w:ind w:left="280"/>
              <w:spacing w:after="0"/>
              <w:rPr>
                <w:sz w:val="20"/>
                <w:szCs w:val="20"/>
                <w:color w:val="auto"/>
              </w:rPr>
            </w:pPr>
            <w:r>
              <w:rPr>
                <w:rFonts w:ascii="Arial" w:cs="Arial" w:eastAsia="Arial" w:hAnsi="Arial"/>
                <w:sz w:val="18"/>
                <w:szCs w:val="18"/>
                <w:color w:val="auto"/>
                <w:w w:val="92"/>
              </w:rPr>
              <w:t>Certification of President (Principal Financial Officer) pursuant to Section 302 of Sarbanes-Oxley Act of 2002</w:t>
            </w:r>
          </w:p>
        </w:tc>
      </w:tr>
      <w:tr>
        <w:trPr>
          <w:trHeight w:val="426"/>
        </w:trPr>
        <w:tc>
          <w:tcPr>
            <w:tcW w:w="800" w:type="dxa"/>
            <w:vAlign w:val="bottom"/>
            <w:gridSpan w:val="2"/>
          </w:tcPr>
          <w:p>
            <w:pPr>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8240" w:type="dxa"/>
            <w:vAlign w:val="bottom"/>
            <w:gridSpan w:val="3"/>
          </w:tcPr>
          <w:p>
            <w:pPr>
              <w:ind w:left="280"/>
              <w:spacing w:after="0"/>
              <w:rPr>
                <w:sz w:val="20"/>
                <w:szCs w:val="20"/>
                <w:color w:val="auto"/>
              </w:rPr>
            </w:pPr>
            <w:r>
              <w:rPr>
                <w:rFonts w:ascii="Arial" w:cs="Arial" w:eastAsia="Arial" w:hAnsi="Arial"/>
                <w:sz w:val="18"/>
                <w:szCs w:val="18"/>
                <w:color w:val="auto"/>
                <w:w w:val="91"/>
              </w:rPr>
              <w:t>Certification of Chief Executive Officer (Principal Executive Officer) and President (Principal Financial Officer)</w:t>
            </w:r>
          </w:p>
        </w:tc>
      </w:tr>
      <w:tr>
        <w:trPr>
          <w:trHeight w:val="222"/>
        </w:trPr>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40" w:type="dxa"/>
            <w:vAlign w:val="bottom"/>
            <w:gridSpan w:val="3"/>
          </w:tcPr>
          <w:p>
            <w:pPr>
              <w:ind w:left="280"/>
              <w:spacing w:after="0"/>
              <w:rPr>
                <w:sz w:val="20"/>
                <w:szCs w:val="20"/>
                <w:color w:val="auto"/>
              </w:rPr>
            </w:pPr>
            <w:r>
              <w:rPr>
                <w:rFonts w:ascii="Arial" w:cs="Arial" w:eastAsia="Arial" w:hAnsi="Arial"/>
                <w:sz w:val="18"/>
                <w:szCs w:val="18"/>
                <w:color w:val="auto"/>
              </w:rPr>
              <w:t>pursuant to Section 906 of Sarbanes-Oxley Act of 2002</w:t>
            </w:r>
          </w:p>
        </w:tc>
      </w:tr>
      <w:tr>
        <w:trPr>
          <w:trHeight w:val="432"/>
        </w:trPr>
        <w:tc>
          <w:tcPr>
            <w:tcW w:w="11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8240" w:type="dxa"/>
            <w:vAlign w:val="bottom"/>
            <w:gridSpan w:val="3"/>
          </w:tcPr>
          <w:p>
            <w:pPr>
              <w:ind w:left="280"/>
              <w:spacing w:after="0"/>
              <w:rPr>
                <w:sz w:val="20"/>
                <w:szCs w:val="20"/>
                <w:color w:val="auto"/>
              </w:rPr>
            </w:pPr>
            <w:r>
              <w:rPr>
                <w:rFonts w:ascii="Arial" w:cs="Arial" w:eastAsia="Arial" w:hAnsi="Arial"/>
                <w:sz w:val="18"/>
                <w:szCs w:val="18"/>
                <w:color w:val="auto"/>
              </w:rPr>
              <w:t>XBRL Instance Document</w:t>
            </w:r>
          </w:p>
        </w:tc>
      </w:tr>
      <w:tr>
        <w:trPr>
          <w:trHeight w:val="432"/>
        </w:trPr>
        <w:tc>
          <w:tcPr>
            <w:tcW w:w="1100" w:type="dxa"/>
            <w:vAlign w:val="bottom"/>
            <w:gridSpan w:val="3"/>
          </w:tcPr>
          <w:p>
            <w:pPr>
              <w:jc w:val="center"/>
              <w:ind w:right="260"/>
              <w:spacing w:after="0"/>
              <w:rPr>
                <w:sz w:val="20"/>
                <w:szCs w:val="20"/>
                <w:color w:val="auto"/>
              </w:rPr>
            </w:pPr>
            <w:r>
              <w:rPr>
                <w:rFonts w:ascii="Arial" w:cs="Arial" w:eastAsia="Arial" w:hAnsi="Arial"/>
                <w:sz w:val="18"/>
                <w:szCs w:val="18"/>
                <w:color w:val="auto"/>
                <w:w w:val="96"/>
              </w:rPr>
              <w:t>101.SCH**</w:t>
            </w:r>
          </w:p>
        </w:tc>
        <w:tc>
          <w:tcPr>
            <w:tcW w:w="8240" w:type="dxa"/>
            <w:vAlign w:val="bottom"/>
            <w:gridSpan w:val="3"/>
          </w:tcPr>
          <w:p>
            <w:pPr>
              <w:ind w:left="280"/>
              <w:spacing w:after="0"/>
              <w:rPr>
                <w:sz w:val="20"/>
                <w:szCs w:val="20"/>
                <w:color w:val="auto"/>
              </w:rPr>
            </w:pPr>
            <w:r>
              <w:rPr>
                <w:rFonts w:ascii="Arial" w:cs="Arial" w:eastAsia="Arial" w:hAnsi="Arial"/>
                <w:sz w:val="18"/>
                <w:szCs w:val="18"/>
                <w:color w:val="auto"/>
              </w:rPr>
              <w:t>XBRL Schema Document</w:t>
            </w:r>
          </w:p>
        </w:tc>
      </w:tr>
      <w:tr>
        <w:trPr>
          <w:trHeight w:val="432"/>
        </w:trPr>
        <w:tc>
          <w:tcPr>
            <w:tcW w:w="110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101.CAL**</w:t>
            </w:r>
          </w:p>
        </w:tc>
        <w:tc>
          <w:tcPr>
            <w:tcW w:w="8240" w:type="dxa"/>
            <w:vAlign w:val="bottom"/>
            <w:gridSpan w:val="3"/>
          </w:tcPr>
          <w:p>
            <w:pPr>
              <w:ind w:left="280"/>
              <w:spacing w:after="0"/>
              <w:rPr>
                <w:sz w:val="20"/>
                <w:szCs w:val="20"/>
                <w:color w:val="auto"/>
              </w:rPr>
            </w:pPr>
            <w:r>
              <w:rPr>
                <w:rFonts w:ascii="Arial" w:cs="Arial" w:eastAsia="Arial" w:hAnsi="Arial"/>
                <w:sz w:val="18"/>
                <w:szCs w:val="18"/>
                <w:color w:val="auto"/>
              </w:rPr>
              <w:t>XBRL Calculation Linkbase Document</w:t>
            </w:r>
          </w:p>
        </w:tc>
      </w:tr>
      <w:tr>
        <w:trPr>
          <w:trHeight w:val="432"/>
        </w:trPr>
        <w:tc>
          <w:tcPr>
            <w:tcW w:w="1100" w:type="dxa"/>
            <w:vAlign w:val="bottom"/>
            <w:gridSpan w:val="3"/>
          </w:tcPr>
          <w:p>
            <w:pPr>
              <w:jc w:val="center"/>
              <w:ind w:right="260"/>
              <w:spacing w:after="0"/>
              <w:rPr>
                <w:sz w:val="20"/>
                <w:szCs w:val="20"/>
                <w:color w:val="auto"/>
              </w:rPr>
            </w:pPr>
            <w:r>
              <w:rPr>
                <w:rFonts w:ascii="Arial" w:cs="Arial" w:eastAsia="Arial" w:hAnsi="Arial"/>
                <w:sz w:val="18"/>
                <w:szCs w:val="18"/>
                <w:color w:val="auto"/>
              </w:rPr>
              <w:t>101.LAB**</w:t>
            </w:r>
          </w:p>
        </w:tc>
        <w:tc>
          <w:tcPr>
            <w:tcW w:w="8240" w:type="dxa"/>
            <w:vAlign w:val="bottom"/>
            <w:gridSpan w:val="3"/>
          </w:tcPr>
          <w:p>
            <w:pPr>
              <w:ind w:left="280"/>
              <w:spacing w:after="0"/>
              <w:rPr>
                <w:sz w:val="20"/>
                <w:szCs w:val="20"/>
                <w:color w:val="auto"/>
              </w:rPr>
            </w:pPr>
            <w:r>
              <w:rPr>
                <w:rFonts w:ascii="Arial" w:cs="Arial" w:eastAsia="Arial" w:hAnsi="Arial"/>
                <w:sz w:val="18"/>
                <w:szCs w:val="18"/>
                <w:color w:val="auto"/>
              </w:rPr>
              <w:t>XBRL Labels Linkbase Document</w:t>
            </w:r>
          </w:p>
        </w:tc>
      </w:tr>
      <w:tr>
        <w:trPr>
          <w:trHeight w:val="432"/>
        </w:trPr>
        <w:tc>
          <w:tcPr>
            <w:tcW w:w="1100" w:type="dxa"/>
            <w:vAlign w:val="bottom"/>
            <w:gridSpan w:val="3"/>
          </w:tcPr>
          <w:p>
            <w:pPr>
              <w:jc w:val="center"/>
              <w:ind w:right="280"/>
              <w:spacing w:after="0"/>
              <w:rPr>
                <w:sz w:val="20"/>
                <w:szCs w:val="20"/>
                <w:color w:val="auto"/>
              </w:rPr>
            </w:pPr>
            <w:r>
              <w:rPr>
                <w:rFonts w:ascii="Arial" w:cs="Arial" w:eastAsia="Arial" w:hAnsi="Arial"/>
                <w:sz w:val="18"/>
                <w:szCs w:val="18"/>
                <w:color w:val="auto"/>
                <w:w w:val="95"/>
              </w:rPr>
              <w:t>101.PRE**</w:t>
            </w:r>
          </w:p>
        </w:tc>
        <w:tc>
          <w:tcPr>
            <w:tcW w:w="8240" w:type="dxa"/>
            <w:vAlign w:val="bottom"/>
            <w:gridSpan w:val="3"/>
          </w:tcPr>
          <w:p>
            <w:pPr>
              <w:ind w:left="280"/>
              <w:spacing w:after="0"/>
              <w:rPr>
                <w:sz w:val="20"/>
                <w:szCs w:val="20"/>
                <w:color w:val="auto"/>
              </w:rPr>
            </w:pPr>
            <w:r>
              <w:rPr>
                <w:rFonts w:ascii="Arial" w:cs="Arial" w:eastAsia="Arial" w:hAnsi="Arial"/>
                <w:sz w:val="18"/>
                <w:szCs w:val="18"/>
                <w:color w:val="auto"/>
              </w:rPr>
              <w:t>XBRL Presentation Linkbase Document</w:t>
            </w:r>
          </w:p>
        </w:tc>
      </w:tr>
      <w:tr>
        <w:trPr>
          <w:trHeight w:val="432"/>
        </w:trPr>
        <w:tc>
          <w:tcPr>
            <w:tcW w:w="1100" w:type="dxa"/>
            <w:vAlign w:val="bottom"/>
            <w:gridSpan w:val="3"/>
          </w:tcPr>
          <w:p>
            <w:pPr>
              <w:jc w:val="center"/>
              <w:ind w:right="280"/>
              <w:spacing w:after="0"/>
              <w:rPr>
                <w:sz w:val="20"/>
                <w:szCs w:val="20"/>
                <w:color w:val="auto"/>
              </w:rPr>
            </w:pPr>
            <w:r>
              <w:rPr>
                <w:rFonts w:ascii="Arial" w:cs="Arial" w:eastAsia="Arial" w:hAnsi="Arial"/>
                <w:sz w:val="18"/>
                <w:szCs w:val="18"/>
                <w:color w:val="auto"/>
                <w:w w:val="96"/>
              </w:rPr>
              <w:t>101.DEF**</w:t>
            </w:r>
          </w:p>
        </w:tc>
        <w:tc>
          <w:tcPr>
            <w:tcW w:w="8240" w:type="dxa"/>
            <w:vAlign w:val="bottom"/>
            <w:gridSpan w:val="3"/>
          </w:tcPr>
          <w:p>
            <w:pPr>
              <w:ind w:left="280"/>
              <w:spacing w:after="0"/>
              <w:rPr>
                <w:sz w:val="20"/>
                <w:szCs w:val="20"/>
                <w:color w:val="auto"/>
              </w:rPr>
            </w:pPr>
            <w:r>
              <w:rPr>
                <w:rFonts w:ascii="Arial" w:cs="Arial" w:eastAsia="Arial" w:hAnsi="Arial"/>
                <w:sz w:val="18"/>
                <w:szCs w:val="18"/>
                <w:color w:val="auto"/>
              </w:rPr>
              <w:t>XBRL Definition Linkbase Document</w:t>
            </w:r>
          </w:p>
        </w:tc>
      </w:tr>
    </w:tbl>
    <w:p>
      <w:pPr>
        <w:spacing w:after="0" w:line="156" w:lineRule="exact"/>
        <w:rPr>
          <w:sz w:val="20"/>
          <w:szCs w:val="20"/>
          <w:color w:val="auto"/>
        </w:rPr>
      </w:pPr>
    </w:p>
    <w:p>
      <w:pPr>
        <w:ind w:left="1440" w:hanging="519"/>
        <w:spacing w:after="0"/>
        <w:tabs>
          <w:tab w:leader="none" w:pos="1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71" w:lineRule="exact"/>
        <w:rPr>
          <w:sz w:val="20"/>
          <w:szCs w:val="20"/>
          <w:color w:val="auto"/>
        </w:rPr>
      </w:pPr>
    </w:p>
    <w:p>
      <w:pPr>
        <w:ind w:left="920" w:firstLine="1"/>
        <w:spacing w:after="0" w:line="259" w:lineRule="auto"/>
        <w:tabs>
          <w:tab w:leader="none" w:pos="14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Sections 11 or 12 of the Securities Act of 1933, as amended, are deemed not filed for purposes of Section 18 of the Exchange Act and otherwise are not subject to liability under those sections.</w:t>
      </w:r>
    </w:p>
    <w:p>
      <w:pPr>
        <w:spacing w:after="0" w:line="140" w:lineRule="exact"/>
        <w:rPr>
          <w:rFonts w:ascii="Arial" w:cs="Arial" w:eastAsia="Arial" w:hAnsi="Arial"/>
          <w:sz w:val="18"/>
          <w:szCs w:val="18"/>
          <w:color w:val="auto"/>
        </w:rPr>
      </w:pPr>
    </w:p>
    <w:p>
      <w:pPr>
        <w:ind w:left="1440" w:hanging="519"/>
        <w:spacing w:after="0"/>
        <w:tabs>
          <w:tab w:leader="none" w:pos="1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w:t>
      </w:r>
    </w:p>
    <w:p>
      <w:pPr>
        <w:spacing w:after="0" w:line="171" w:lineRule="exact"/>
        <w:rPr>
          <w:sz w:val="20"/>
          <w:szCs w:val="20"/>
          <w:color w:val="auto"/>
        </w:rPr>
      </w:pPr>
    </w:p>
    <w:p>
      <w:pPr>
        <w:ind w:left="920" w:firstLine="1"/>
        <w:spacing w:after="0" w:line="259" w:lineRule="auto"/>
        <w:tabs>
          <w:tab w:leader="none" w:pos="14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portions of this exhibit pursuant to an application requesting confidential treatment under Rule 24b-2 of the Securities Exchange Act of 1934. A complete copy of this exhibit, including the redacted terms, has been separately filed with the Securities and Exchange Commission.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45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15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4"/>
          <w:szCs w:val="14"/>
          <w:color w:val="auto"/>
        </w:rPr>
        <w:t>MARIN</w:t>
      </w:r>
      <w:r>
        <w:rPr>
          <w:rFonts w:ascii="Arial" w:cs="Arial" w:eastAsia="Arial" w:hAnsi="Arial"/>
          <w:sz w:val="18"/>
          <w:szCs w:val="18"/>
          <w:color w:val="auto"/>
        </w:rPr>
        <w:t xml:space="preserve"> C </w:t>
      </w:r>
      <w:r>
        <w:rPr>
          <w:rFonts w:ascii="Arial" w:cs="Arial" w:eastAsia="Arial" w:hAnsi="Arial"/>
          <w:sz w:val="14"/>
          <w:szCs w:val="14"/>
          <w:color w:val="auto"/>
        </w:rPr>
        <w:t>ORPORATION</w:t>
      </w:r>
      <w:r>
        <w:rPr>
          <w:rFonts w:ascii="Arial" w:cs="Arial" w:eastAsia="Arial" w:hAnsi="Arial"/>
          <w:sz w:val="18"/>
          <w:szCs w:val="18"/>
          <w:color w:val="auto"/>
        </w:rPr>
        <w:t xml:space="preserve"> P </w:t>
      </w:r>
      <w:r>
        <w:rPr>
          <w:rFonts w:ascii="Arial" w:cs="Arial" w:eastAsia="Arial" w:hAnsi="Arial"/>
          <w:sz w:val="14"/>
          <w:szCs w:val="14"/>
          <w:color w:val="auto"/>
        </w:rPr>
        <w:t>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i w:val="1"/>
          <w:iCs w:val="1"/>
          <w:color w:val="auto"/>
        </w:rPr>
        <w:t xml:space="preserve">President </w:t>
      </w:r>
      <w:r>
        <w:rPr>
          <w:rFonts w:ascii="Arial" w:cs="Arial" w:eastAsia="Arial" w:hAnsi="Arial"/>
          <w:sz w:val="16"/>
          <w:szCs w:val="16"/>
          <w:color w:val="auto"/>
        </w:rPr>
        <w:t>(Principal Financial and Accounting Officer)</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(On behalf of the Registrant)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2012</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240" w:top="459" w:right="47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AMARIN CORPORATION PLC</w:t>
      </w:r>
    </w:p>
    <w:p>
      <w:pPr>
        <w:spacing w:after="0" w:line="11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AMENDMENT NO. 1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STOCK INCENTIVE PLAN</w:t>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The Amarin Corporation plc 2011 Stock Incentive Plan (the “Plan”) is hereby amended by the Board of Directors of Amarin Corporation plc as follows: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4(a) of the Plan is hereby amended to add the following to the end of the third sentence thereof:</w:t>
      </w:r>
    </w:p>
    <w:p>
      <w:pPr>
        <w:spacing w:after="0" w:line="171"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 provided, however, that Shares tendered or held back upon exercise of an Option or settlement of an Award to cover the exercise price or tax withholding shall not be considered a Lapsed Award.”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that Section 4(a) of the Plan, as so amended, shall read in its entirety as follows: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 Shares Available for Awards</w:t>
      </w:r>
    </w:p>
    <w:p>
      <w:pPr>
        <w:spacing w:after="0" w:line="96" w:lineRule="exact"/>
        <w:rPr>
          <w:sz w:val="20"/>
          <w:szCs w:val="20"/>
          <w:color w:val="auto"/>
        </w:rPr>
      </w:pPr>
    </w:p>
    <w:p>
      <w:pPr>
        <w:ind w:left="900" w:right="20" w:hanging="446"/>
        <w:spacing w:after="0" w:line="286"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Shares Available</w:t>
      </w:r>
      <w:r>
        <w:rPr>
          <w:rFonts w:ascii="Arial" w:cs="Arial" w:eastAsia="Arial" w:hAnsi="Arial"/>
          <w:sz w:val="16"/>
          <w:szCs w:val="16"/>
          <w:color w:val="auto"/>
        </w:rPr>
        <w:t>. Subject to adjustment as provided in Section 4(c) of the Plan, the number of Shares in respect of which Awards may be made under this Plan on any day shall not exceed the sum of (i) 3.5 million Shares, (ii) the number of Shares that remain available for grants under the 2002 Plan as of the Effective Date and (iii) the number of Shares subject to grants under the 2002 Plan that are outstanding as of the Effective Date but subsequently become Lapsed Awards (as defined below) (“the Plan Limit”). Shares to be issued under the Plan may be either authorized but unissued Shares, or Shares acquired in the open market or otherwise. If any award over Shares granted under this Plan or the 2002 Plan expires or is forfeited, surrendered, canceled or otherwise terminated in whole or in part without Shares being issued (“Lapsed Award”), then the Shares subject to such Lapsed Award may, at the discretion of the Committee, be made available for subsequent grants under the Plan; provided, however, that Shares tendered or held back upon exercise of an Option or settlement of an Award to cover the exercise price or tax withholding shall not be considered a Lapsed Award. Notwithstanding the foregoing, the number of Shares available for granting Incentive Stock Options under the Plan shall not exceed the ISO Limit, and Options with respect to no more than 3.5 million Shares may be granted to any one individual Participant during any one calendar year period.</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AMARIN CORPORATION PLC</w:t>
      </w:r>
    </w:p>
    <w:p>
      <w:pPr>
        <w:spacing w:after="0" w:line="17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AMENDMENT NO. 2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STOCK INCENTIVE PLAN</w:t>
      </w:r>
    </w:p>
    <w:p>
      <w:pPr>
        <w:spacing w:after="0" w:line="16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Amarin Corporation plc 2011 Stock Incentive Plan (the “Plan”) is hereby amended by the Board of Directors and shareholders of Amarin Corporation plc as follows:</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Section 4(a) of the Plan is hereby amended to increase the total number of Shares available for issuance under the Plan shall be increased by 8,000,000 shares, such that Section 4(a) of the Plan, as so amended, shall read in its entirety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 Shares Available for Awards</w:t>
      </w:r>
    </w:p>
    <w:p>
      <w:pPr>
        <w:spacing w:after="0" w:line="96" w:lineRule="exact"/>
        <w:rPr>
          <w:sz w:val="20"/>
          <w:szCs w:val="20"/>
          <w:color w:val="auto"/>
        </w:rPr>
      </w:pPr>
    </w:p>
    <w:p>
      <w:pPr>
        <w:ind w:left="900" w:right="20" w:hanging="446"/>
        <w:spacing w:after="0" w:line="303" w:lineRule="auto"/>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u w:val="single" w:color="auto"/>
          <w:color w:val="auto"/>
        </w:rPr>
        <w:t>Shares Available</w:t>
      </w:r>
      <w:r>
        <w:rPr>
          <w:rFonts w:ascii="Arial" w:cs="Arial" w:eastAsia="Arial" w:hAnsi="Arial"/>
          <w:sz w:val="15"/>
          <w:szCs w:val="15"/>
          <w:color w:val="auto"/>
        </w:rPr>
        <w:t>. Subject to adjustment as provided in Section 4(c) of the Plan, the number of Shares in respect of which Awards may be made under this Plan on any day shall not exceed the sum of (i) 11.5 million Shares, (ii) 3,074,680 Shares (being Shares that remained available for grants under the Company’s existing 2002 Stock Option Plan (the “2002 Plan”) as of July 12, 2011) and (iii) the number of Shares subject to grants under the</w:t>
      </w:r>
    </w:p>
    <w:p>
      <w:pPr>
        <w:spacing w:after="0" w:line="1" w:lineRule="exact"/>
        <w:rPr>
          <w:rFonts w:ascii="Arial" w:cs="Arial" w:eastAsia="Arial" w:hAnsi="Arial"/>
          <w:sz w:val="15"/>
          <w:szCs w:val="15"/>
          <w:color w:val="auto"/>
        </w:rPr>
      </w:pPr>
    </w:p>
    <w:p>
      <w:pPr>
        <w:ind w:left="900" w:right="40"/>
        <w:spacing w:after="0" w:line="287" w:lineRule="auto"/>
        <w:rPr>
          <w:rFonts w:ascii="Arial" w:cs="Arial" w:eastAsia="Arial" w:hAnsi="Arial"/>
          <w:sz w:val="15"/>
          <w:szCs w:val="15"/>
          <w:color w:val="auto"/>
        </w:rPr>
      </w:pPr>
      <w:r>
        <w:rPr>
          <w:rFonts w:ascii="Arial" w:cs="Arial" w:eastAsia="Arial" w:hAnsi="Arial"/>
          <w:sz w:val="16"/>
          <w:szCs w:val="16"/>
          <w:color w:val="auto"/>
        </w:rPr>
        <w:t>2002 Plan that are outstanding as of the Effective Date but subsequently become Lapsed Awards (as defined below) (“the Plan Limit”). Shares to be issued under the Plan may be either authorized but unissued Shares, or Shares acquired in the open market or otherwise. If any award over Shares granted under this Plan or the 2002 Plan expires or is forfeited, surrendered, canceled or otherwise terminated in whole or in part without Shares being issued (“Lapsed Award”), then the Shares subject to such Lapsed Award may, at the discretion of the Committee, be made available for subsequent grants under the Plan; provided, however, that Shares tendered or held back upon exercise of an Option or settlement of an Award to cover the exercise price or tax withholding shall not be considered a Lapsed Award. Notwithstanding the foregoing, the number of Shares available for granting Incentive Stock Options under the Plan shall not exceed the ISO Limit, and Options with respect to no more than 3.5 million Shares may be granted to any one individual Participant during any one calendar year period.</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10.3</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SUBLEASE AGREEMENT</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THIS SUBLEASE AGREEMENT (“Sublease”) is made and entered into this 25th day of April, 2012, by and among Advance Realty Management, Inc. a New Jersey corporation, having a principal place of business at 1430 Route 206, Bedminster, NJ 07921, (the “Sublessor”) and Amarin Pharma Inc., a Delaware corporation, having a principal place of business at 1430 US Highway 206, Bedminster, New Jersey 07921 (“Sublessee”) and Bedminster 2 Funding, LLC (the “Prime Lessor”).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Sublessor desires to sublet the Sublease Premises, as hereinafter defined, and Sublessee agrees to accept a sublease thereof.</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it is mutually agreed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 DEMISE OF SUBLEASE PREMISES</w:t>
      </w:r>
    </w:p>
    <w:p>
      <w:pPr>
        <w:spacing w:after="0" w:line="9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In consideration of the rent and other sums to be paid by Sublessee hereunder and in further consideration of the other terms, covenants and conditions on Sublessee’s part to be kept and performed hereunder, the Sublessor hereby subleases to Sublessee, and Sublessee hereby takes and hires from Sublessor, subject to all of the terms and conditions set forth herein and in the Prime Lease (defined below), an agreed upon 2,800 square feet of rentable space located on the first floor of the property located at 1430 US Highway 206, Bedminster, New Jersey 07921 (the “Building”) and designated as Suite 120 (the “Sublease Premises”), which is a portion of the Premises that are more fully described in Section 1.36 of that certain Lease Agreement by and between Prime Lessor and Sublessor dated as of March 1, 2012 (“Prime Lease”). The Prime Lease is incorporated herein by this reference. Prime Lessor hereby consents to this Sublease and agrees that if the Prime Lease shall terminate for any reason prior to the expiration date thereof, Prime Lessor shall assume the obligations of Sublessor hereunder and Sublessee shall recognize Prime Lessor as its landlord hereunder, in all cases upon the terms and conditions herein and for the remaining Term of this Sublease.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2. TERM AND EXTENSIONS OF TERM</w:t>
      </w:r>
    </w:p>
    <w:p>
      <w:pPr>
        <w:spacing w:after="0" w:line="90"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color w:val="auto"/>
        </w:rPr>
        <w:t>The term of this Sublease shall commence on the later of May 1, 2012 or the date that the Sublessor delivers the Sublease Premises to Sublessee (“Commencement Date”) and end on June 30, 2014 (“Termination Date”), subject to earlier termination as provided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3. CONDITIONS PRECEDENT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3.1. The Sublease Premises and the building to which the Sublease Premises are a part are subleased to Sublessee subject to their condition as of the Commencement Date, and Sublessor does not make any representation or warranty, either express or implied, as to the condition of the Sublease Premises or as to the adequacy or suitability of the Sublease Premises for the purposes or needs of Sublessee. The Sublessee shall be responsible for all costs associated with the Sublease Premises which are incurred as of the Commencement Date.</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3.2. Sublessee agrees that following the Commencement Date, the Sublessor shall have no responsibility or obligation for expenses with respect to the care or maintenance of the Sublease Premises or for the operation and conduct of business on the Sublease Premises, regardless of the nature of the expense.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3.3 Prior to the Commencement, Sublandlord will, at its expense, clean the existing carpets, repair (where necessary) and paint the walls.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4. USE OF SUBLEASE PREMISES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Sublease Premises shall be used and occupied by the Sublessee only for the Permitted Use (defined in the Prime Lease as general office space) and for no other purpose.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5. RENT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Effective on the Commencement Date, Sublessee agrees to pay and Sublessor agrees to accept, Monthly Base Rent for the duration of the sublease term of $7,000.00. Sublessee shall also pay to Sublessor all Additional Rent, Operating Charges, Operating Charges Escalations, and Real Estate Tax Escalations over a 2012 Base Year (as such terms are defined in the Prime Lease) allocable to the Sublease Premises on a pro rata square foot basis. All such payments shall be made at the offices of Sublessor herein specified or at such other place as the Sublessor may from time to time designate in writing.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6. TAXES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Following the Commencement Date, in the event the taxing authorities change the manner in which Taxes are levied, charged or assessed from the present existing tax system, Sublessee shall pay such Taxes imposed upon the Sublease Premises under any alternative or revised system of taxation as required by the Prime Landlord.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7. ACCEPTANCE OF PAYMENTS BY SUBLESSOR</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 payment by Sublessee, or acceptance by Sublessor, of a lesser amount than shall be due from Sublessee to Sublessor shall be treated otherwise than as a payment on account. The acceptance by Sublessor of a check for a lesser amount with an endorsement or statement thereon, or upon any letter from Sublessee stating that such lesser amount shall constitute payment in full, shall be given no effect and Sublessor may accept such payment without prejudice to any other rights or remedies which Sublessor may have against Sublessee. Any payment, however designated, may be accepted by Sublessor and applied against any part of Sublessee’s then existing and then due Monthly Base Rent, Additional Rent, Taxes or other obligations, or Sublessor may apply such payment against any sum then due or may retain such payment (without interest) as a credit against Sublessee’s accruing future obligations.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8. ELECTRIC AND OPERATING CHARGES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the Commencement Date, Sublessee shall pay promptly to Sublessor $1.50 psf, or $350.00 per month, for electric directly to the Sublessor.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9. SECURITY DEPOSIT</w:t>
      </w:r>
    </w:p>
    <w:p>
      <w:pPr>
        <w:spacing w:after="0" w:line="9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Sublessee shall deliver to Sublessor a security deposit of one (1) month’s rent (“Security Deposit”) with the execution of this Sublease. Upon the commencement of the term of this Sublease,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4" w:name="page45"/>
    <w:bookmarkEnd w:id="44"/>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Sublessor shall hold said Security Deposit for the duration of the term of this Sublease. The Security Deposit shall be held by the Sublessor as security for the full and faithful performance by Sublessee of all the Sublessee’s terms, covenants and conditions of this Sublease, which Security Deposit shall be returned to Sublessee upon the expiration of this Sublease, provided Sublessee has faithfully performed all of the Sublessee’s terms, covenants and conditions set forth in this Sublease . The Security Deposit shall be transferable to the benefit of any successor </w:t>
      </w:r>
      <w:r>
        <w:rPr>
          <w:rFonts w:ascii="Arial" w:cs="Arial" w:eastAsia="Arial" w:hAnsi="Arial"/>
          <w:sz w:val="16"/>
          <w:szCs w:val="16"/>
          <w:i w:val="1"/>
          <w:iCs w:val="1"/>
          <w:color w:val="auto"/>
        </w:rPr>
        <w:t>or</w:t>
      </w:r>
      <w:r>
        <w:rPr>
          <w:rFonts w:ascii="Arial" w:cs="Arial" w:eastAsia="Arial" w:hAnsi="Arial"/>
          <w:sz w:val="16"/>
          <w:szCs w:val="16"/>
          <w:color w:val="auto"/>
        </w:rPr>
        <w:t xml:space="preserve"> assignee of the Sublessor.</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the event of Sublessee’s default or failure to perform the terms, covenants or conditions of this Sublease beyond applicable notice and cure periods (as defined in the Prime Lease), the Sublessor may draw upon the Security Deposit to recovery any costs, liabilities or other amount s due and owing by the Sublessee and Sublessee shall immediately replenish the Security Deposit amount so that a Security Deposit balance of one (1) month’s rent is always maintained during the Sublease term.</w:t>
      </w:r>
    </w:p>
    <w:p>
      <w:pPr>
        <w:spacing w:after="0" w:line="224" w:lineRule="exact"/>
        <w:rPr>
          <w:sz w:val="20"/>
          <w:szCs w:val="20"/>
          <w:color w:val="auto"/>
        </w:rPr>
      </w:pPr>
    </w:p>
    <w:p>
      <w:pPr>
        <w:ind w:left="720" w:hanging="256"/>
        <w:spacing w:after="0"/>
        <w:tabs>
          <w:tab w:leader="none" w:pos="7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28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INSURANCE ON SUBLEASE PREMISES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12.1. During the term of this Sublease, Sublessee shall provide and maintain at Sublessee’s sole expense all insurance coverage, in such amounts and subject to the requirements of Article 13 of the Prime Lease as well as such other insurance upon or with respect to the Sublease Premises or the operation thereof in such amounts and against such other insurable hazards as are, from time to time, reasonably required by the Sublessor, the Prime Lessor or lender.</w:t>
      </w:r>
    </w:p>
    <w:p>
      <w:pPr>
        <w:spacing w:after="0" w:line="10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12.2. In addition to the requirements set forth in the Prime Lease, all such insurance shall be written by companies of recognized financial standing which are authorized to do insurance business in New Jersey, and such insurance shall name as the insured parties Sublessor, Sublessee and the Prime Lessor (as their respective interests may appear).</w:t>
      </w:r>
    </w:p>
    <w:p>
      <w:pPr>
        <w:spacing w:after="0" w:line="14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12.3. In the event any damage to or destruction of the Sublease Premises shall occur, the provisions of the Prime Lease with respect to damage or destruction shall apply. I.</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12.4. Every policy required by this Section 12 shall contain an agreement by the insurer that it will not cancel or modify such policy except after thirty</w:t>
      </w:r>
    </w:p>
    <w:p>
      <w:pPr>
        <w:spacing w:after="0" w:line="38" w:lineRule="exact"/>
        <w:rPr>
          <w:sz w:val="20"/>
          <w:szCs w:val="20"/>
          <w:color w:val="auto"/>
        </w:rPr>
      </w:pPr>
    </w:p>
    <w:p>
      <w:pPr>
        <w:ind w:firstLine="8"/>
        <w:spacing w:after="0" w:line="288" w:lineRule="auto"/>
        <w:tabs>
          <w:tab w:leader="none" w:pos="336" w:val="left"/>
        </w:tabs>
        <w:numPr>
          <w:ilvl w:val="0"/>
          <w:numId w:val="39"/>
        </w:numPr>
        <w:rPr>
          <w:rFonts w:ascii="Arial" w:cs="Arial" w:eastAsia="Arial" w:hAnsi="Arial"/>
          <w:sz w:val="16"/>
          <w:szCs w:val="16"/>
          <w:color w:val="auto"/>
        </w:rPr>
      </w:pPr>
      <w:r>
        <w:rPr>
          <w:rFonts w:ascii="Arial" w:cs="Arial" w:eastAsia="Arial" w:hAnsi="Arial"/>
          <w:sz w:val="16"/>
          <w:szCs w:val="16"/>
          <w:color w:val="auto"/>
        </w:rPr>
        <w:t>days’ prior written notice sent by registered mail to Sublessor, and that any loss otherwise payable thereunder shall be payable notwithstanding any change in title or other ownership of the Sublease Premises. Sublessee shall submit to Sublessor a letter or binder for all the insurance coverage required hereunder at the time it executes this Sublease and shall submit to Sublessor original insurance policies or certificates of insurance demonstrating Sublessee’s full performance of its insurance obligations under this Sublease, together with proof of premium payment, within thirty (30) days following the execution of this Sublease. Thereafter, Sublessee shall submit to Sublessor copies of renewal policies or renewal certificates with proof of premium payment at least ten (10) days before the expiration of such policies. Sublessor’s receipt of information whether or not evidence of coverage, shall not affect the respective rights and duties of Sublessor and Sublessee as they are stated herein.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13. INDEMNIFICATION</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Sublessee agrees to pay, and to protect, indemnify and save harmless Sublessor, its officers, directors, employees, agents, representatives and attorneys from and against any and all liabilities,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45" w:name="page46"/>
    <w:bookmarkEnd w:id="45"/>
    <w:p>
      <w:pPr>
        <w:ind w:right="14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losses, damages, costs, expenses (including, without implied limitation, all reasonable attorneys’ fees and expenses of Sublessor), causes of action, suits, claims, demands or judgments of any nature whatsoever, arising from (a) any injury to, or the death of, any persons or any damage to property on the Sublease Premises or in any manner growing out of or connected with the use or occupation of the Sublease Premises or any part thereof, or resulting from the condition thereof caused by Sublessee; and (b) violation by Sublessee of any term or provision of this Sublease; (c) violation by Sublessee of any term or provision of the Prime Lease; (d) violation by Sublessee of any contract or agreement to which Sublessee is a party; and (e) violation by Sublessee of any restriction, statute, law, ordinance or regulation, affecting the Sublease Premises or any part thereof or the ownership, occupancy or use thereof. The obligations of Sublessee under this Section 13 relating to events occurring during the term of this Sublease shall survive the expiration or other termination of this Sublease.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14. MAINTENANCE/SERVICES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Sublessee shall, at all times, maintain the Sublease Premises as well as the furniture therein, and be responsible for the maintenance and required services of the tenant under the Prime Lease as set forth in the Prime Lease.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15. ALTERATIONS AND/OR REMODELS</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Sublessee shall not make any alterations, improvements, or additions to the Sublease Premises without first obtaining the prior written consent of the Sublessor, which consent shall not be unreasonably withheld.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16. DUTIES AND RIGHTS UNDER PRIME LEASE,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16.1. Sublessee shall be responsible for all duties and obligations of Sublessor under the Prime Lease with respect to the Sublease Premises on Sublessee’s own initiative and shall perform all such duties and obligations without being asked to do so in each particular instance. Sublessee shall not do or allow to be done any act or omission, on its part or on the part of any of its officers, directors, agents, servants or employees which would adversely affect Sublessor’s rights, privileges, powers and immunities under the Prime Lease or which would be contrary to the requirements of the Prime Lease. Any and all rights held by Prime Lessor under the Prime Lease shall be deemed to be held by and to enure to the benefit of Sublessor for purposes of this Sublease, and Sublessor may exercise any or all such rights as if Sublessor were the Prime Lessor.</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16.2. Sublessor represents, covenants and agrees that: (i) Sublessor has delivered toSublessee a copy of the Prime Lease and there are no understandings relating the Sublease Premises which will adversely affect or diminish the rights of Sublessee or impose any greater obligations on Sublessee other than those which are expressly stated therein; and (ii) the Prime Lease is in full force and effect; and (iii) neither Sublessor nor Prime Lessor are currently in default under the Prime Lease and no event has occurred which with the passing of time or giving of notice would constitute a default under the Prime Lease. Sublessor shall pay, when and as due, all fixed rent and additional rent payable by Sublessor to Prime Lessor under the Prime Lease. Sublessor shall timely perform its covenants and obligations under the Prime Lease which do not require possession of the Sublease Premises for their performance and which are not otherwise to be performed hereunder by Sublessee on behalf of Sublessor and Sublessor will indemnify and hold harmless Sublessee from and against all claims, liabilities, losses and damages of any kind whatsoever that Sublessee may incur by reason of, resulting from or arising out of, a failure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6" w:name="page47"/>
    <w:bookmarkEnd w:id="46"/>
    <w:p>
      <w:pPr>
        <w:ind w:right="2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Sublessor to comply with the provisions of this Sublease or the Prime Lease, for any reason whatsoever. Sublessor shall timely enforce all of Sublessor’s rights under the Prime Lease and shall not allow the Prime Lease to terminate prior to the Termination Date under this Sublease.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17. ASSIGNMENT AND SUBLETTING</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Upon obtaining the prior written consent of the Prime Lessor in accordance with the provisions of the Prime Lease and upon satisfaction of the conditions stated in the Prime Lease, Sublessee shall have the right from time to time without consent of Sublessor to sublet, assign or transfer any interest in all or any part of the Sublease Premises to any third party. Without limiting the foregoing, Subleasor and Prime Leasor hereby agree that Sublessee may, without the prior consent of Sublessor or Prime Lessor, sublet, assign or transfer any interest in all or any part of the Sublease Premises to a parent, subsidiary, or affiliate or franchisee of Sublessee or franchisee of Sublessee’s parent, subsidiary or affiliate or to a corporation resulting from consolidation or merger or in connection with the sale or substantially all of the assets of Sublessee including this Sublease, provided that Sublessee is current in all obligations under the Prime Lease. No assignment, sub-sublease, or transfer made shall affect or reduce any of the obligations of Sublessee hereunder, and all such obligations shall continue in full effect.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18. SURRENDER OF POSSESSION BY SUBLESSEE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18.1. Upon the earlier of (i) the expiration of the term of the Prime Lease, or (ii) the termination of this Sublease, at any time and for any reason other than a default of Sublessor under the Prime Lease or a voluntary termination of the Prime Lease, Sublessee promptly and peaceably shall surrender to the Sublessor the Sublease Premises, in the same condition as at the Commencement Date, ordinary wear and tear and Sublessor approved improvements, excepted. On or before the last day of this Sublease, Sublessee shall remove from the Sublease Premises all furniture, trade fixtures, equipment and other property belonging to Sublessee (“Sublessee’s Property”). Any damage to the Sublease Premises caused by such removal of Sublessee’s Property shall be repaired to the Sublessor’s reasonable satisfaction; in no event shall Sublessee’s Property which has become permanently affixed to the Sublease Premises be removed, or the furniture being provided to Sublessee by Sublessor for use during the sublease term.</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18.2. lf Sublessee has not removed Sublessee’s Property on or before the Termination Date, the Sublessor may, solely at its option, either (a) retain Sublessee’s Property at its own without liability therefor and without compensating Sublessee therefor; or (b) remove Sublessee’s Property from the Sublease Premises, the costs and expense for such to be for Sublessee’s account, which shall be paid in full by Sublessee immediately upon demand by Sublessor, offset against the Security Deposit, or both, to the extent necessary to fully pay said costs and expense. If this Sublease is terminated by reason of default by Sublessee, then Sublessor shall have the option with respect to Sublessee’s Property as set forth in the immediately preceding sentence.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19. ACCESS TO SUBLEASE PREMISES</w:t>
      </w:r>
    </w:p>
    <w:p>
      <w:pPr>
        <w:spacing w:after="0" w:line="9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Sublessor, its agents, servants and employees may enter the Sublease Premises upon reasonable notice to Sublessee, which notice may be oral, however, such persons shall be accompanied by an employee of the Sublessee during any such access. Any access to the Sublease Premises by Sublessor shall be during normal business hours (except in case of emergency) and Sublessor shall use reasonable efforts not to interfere with Sublessee’s business.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 DEFAULT, TERMINATION AND REMEDIES OF SUBLESSOR.</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Sublessee shall be in default of this Sublease if at any time there shall occur any of the events of default by Sublessee as defined in the Prime Lease, or if Subleasee shall fail to perform any of the covenants, conditions or obligations of this Sublease within the applicable notice and cure periods provided in the Prime Lease. In the event any such default, Sublessor shall be entitled to the same remedies as Prime Lessor under the Prime Lease.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21. SUBLESSOR’S WAIVER</w:t>
      </w:r>
    </w:p>
    <w:p>
      <w:pPr>
        <w:spacing w:after="0" w:line="90"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Sublessor’s failure at any time or from time to time to require strict compliance by Sublessee with this Sublease shall neither waive nor prejudice Sublessor’s continued right to insist upon the due and timely performance of this Sublease and to avail itself of all remedies provided by law or by this Sublease.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22. GOVERNING LAW</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law applicable to the performance of this Sublease shall be the law of the State of New Jersey and any action or otherwise related to or arising out of this Sublease shall be heard in the courts located in the County of Morris, State of New Jersey.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23. SIGNAGE.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Sublessee shall not install or remove any signage within or outside the Sublease Premises without, in each instance, first obtaining the express written consent of the Prime Lessor. Sublessee shall be responsible, on or before the Termination Date, to remove any signage installed by, or on behalf of, Sublessee and repair all resulting damage. In addition, Sublessee shall maintain all signage, through the term of this Sublease, in such condition as required by the Prime Lease, but in no event, less then good condition.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24. SUBLESSEE’S INSPECTION</w:t>
      </w:r>
    </w:p>
    <w:p>
      <w:pPr>
        <w:spacing w:after="0" w:line="9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Sublessee warrants and covenants that Sublessee has made all necessary or desirable examinations, inspections and inquiries regarding the Sublease Premises and has consulted with such professional advisors as Sublessee deems necessary or desirable to satisfy Sublessee, at Sublessee’s discretion and on Sublessee’s own initiative, that the Sublease Premises are acceptable to Sublessee, that this Sublease is lawful in substance and in form, and that Sublessee is financially prepared to assume any and all risks and obligations of any kind that may be involved in becoming Sublessee.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25. NO OTHER ASSURANCES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Sublessee makes this Sublease in reliance upon its provisions, and not in reliance upon any alleged assurances, representations and warranties made by Sublessor, its officers, directors, agents, servants or employees.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26. BROKERS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Each party represents to the other that, other than Colliers International, it has not utilized the services of any real estate broker in connection herewith. In the event any broker claims or demands arise as a result of the making of this Sublease, each party hereto covenants and agrees to indemnify the other against any claims or demands with respect to the making of this Sublease allegedly resulting from arrangements or contracts made by the indemnifying party.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27. NOTICES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Where this Sublease requires notices to be given, except where it expressly provides to the contrary, all such notices shall be in writing and (except for those that are delivered by hand) shall be deemed given when received via nationally recognized overnight courier, addressed to the party entitled to receive the notice at his or its address stated below, or at such other address as the party to receive the notice last may have designated for such purpose by notice given to the other party. Any notice given by facsimile shall be confirmed by certified mail.</w:t>
      </w:r>
    </w:p>
    <w:p>
      <w:pPr>
        <w:sectPr>
          <w:pgSz w:w="11900" w:h="16838" w:orient="portrait"/>
          <w:cols w:equalWidth="0" w:num="1">
            <w:col w:w="11380"/>
          </w:cols>
          <w:pgMar w:left="240" w:top="280" w:right="27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SUBLESSOR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Advance Realty Management,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1430 US Highway 206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Bedminster, NJ 07921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Lease Administration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908 719 3000</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SUBLESSEE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Amarin Pharma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1430 US Highway 206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Bedminster, NJ 07921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Telephone: 908 719 1315</w:t>
      </w:r>
    </w:p>
    <w:p>
      <w:pPr>
        <w:spacing w:after="0" w:line="234" w:lineRule="exact"/>
        <w:rPr>
          <w:sz w:val="20"/>
          <w:szCs w:val="20"/>
          <w:color w:val="auto"/>
        </w:rPr>
      </w:pPr>
    </w:p>
    <w:p>
      <w:pPr>
        <w:sectPr>
          <w:pgSz w:w="11900" w:h="16838" w:orient="portrait"/>
          <w:cols w:equalWidth="0" w:num="2">
            <w:col w:w="5340" w:space="720"/>
            <w:col w:w="5320"/>
          </w:cols>
          <w:pgMar w:left="240" w:top="280" w:right="27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28. DEFAULTS BY SUBLESSEE</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If Sublessee should be in default in the performance of any of its obligations under this Sublease, or the Prime Lease beyond the applicable notice and cure periods, the Sublessor may, without notice, and in addition to any other remedy available at law or in equity, at its option, incur any reasonable expense necessary to perform the obligation of Sublessee and charge such expense as Additional Rent due and payable upon demand.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29. MISCELLANEOUS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29.1. When the sense so requires, words of any gender used in this Sublease shall be held to include any other gender and words in the singular shall be held to include the plural. “Sublessee” shall include the heirs, executors, administrators and personal representatives of any individual Sublessee as well as Sublessee’s assigns (subject to Sublessor’s prior written consent) and the successor of Sublessee unless the context precludes such construction. The captions or headings of particular paragraphs or parts of this Sublease are inserted for convenience only and shall not affect the meaning of this Sublease as a whole, or any paragraph or any part of it.</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29.2. No alleged modifications, termination or waiver of this Sublease shall be binding unless it is set out in writing and signed by the party against whom or which it is sought to be enforced. In order for any document or writing to be binding on Sublessor, whether this Sublease or any amendment, supplement or extension, it must be signed by both Sublessee and Sublessor.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type w:val="continuous"/>
        </w:sectPr>
      </w:pPr>
    </w:p>
    <w:bookmarkStart w:id="49" w:name="page50"/>
    <w:bookmarkEnd w:id="49"/>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29.3. If any term or provision of this Sublease or the application hereof to any person or circumstance shall, to any extent, be invalid or unenforceable, the remainder of this Sublease shall not be affected thereby, nor shall the application of such term or provision to persons or circumstances other than those as to which it is held invalid or unenforceable be affected thereby.</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29.4. This Sublease contains the entire understanding between the parties with respect to its subject matter, the Sublease Premises, and all aspects of the relationship between Sublessee and Sublessor relating to the Sublease Premises.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29.5. The Sublessee shall not record this Sublease.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29.6. Capitalized terms utilized herein, but not otherwise defined herein, shall have such meanings as assigned to such terms in the Prime Lease.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29.7. Sublesee shall, at all times, comply with all of the rules and regulations established, from time to time, by the Prime Lessor.</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TERMS AND CONDITIONS OF THIS SUBLEASE ARE SUBJECT AND SUBORDINATE TO THE TERMS AND CONDITIONS OF THE PRIME LEASE AS SAME RELATES TO THE PRIME LESSOR AND (EXCEPT FOR THE PAYMENT OF MONTHLY BASE RENT AND ELECTRIC CHARGES) WHEREVER THERE IS A CONFLICT BETWEEN SUBLESSEE’S OBLIGATIONS TO SUBLESSOR UNDER THIS SUBLEASE AND THE SUBLESSEE’S OBLIGATIONS TO THE PRIME LESSOR (, THE PRIME LEASE SHALL CONTROL AND SUBLESSEE SHALL BE SUBJECT TO COMPLIANCE WITH THE TERMS OF THE PRIME LEASE.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Sublessor and Sublessee have caused this Agreement to be executed and sealed as of the day and year first above written.</w:t>
      </w: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[THE REMAINDER OF THIS PAGE INTENTIONALLY LEFT BLANK]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280" w:right="359" w:bottom="1440" w:gutter="0" w:footer="0" w:header="0"/>
        </w:sectPr>
      </w:pPr>
    </w:p>
    <w:bookmarkStart w:id="50" w:name="page51"/>
    <w:bookmarkEnd w:id="50"/>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SUBLESSOR: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ADVANCE REALTY MANAGEMENT, INC.</w:t>
      </w:r>
    </w:p>
    <w:p>
      <w:pPr>
        <w:spacing w:after="0" w:line="231"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Kurt R. Padavano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Kurt R. Padavano</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Operating Officer</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SUBLESSEE: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AMARIN PHARMA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John F. Thero</w:t>
            </w: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John F. Thero</w:t>
            </w: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President</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SUBLESSOR:</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BEDMINSTER 2 FUNDING,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Advance Realty Development, LLC,</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Kurt R. Padavano</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Operating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10.4</w:t>
      </w:r>
    </w:p>
    <w:p>
      <w:pPr>
        <w:spacing w:after="0" w:line="333"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SECOND AMENDMENT TO IRREVOCABLE LICENSE AGREEMENT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SECOND AMENDMENT TO IRREVOCABLE LICENSE AGREEMENT (this “Agreement”), made as of the 3rd day of April 2011</w:t>
      </w:r>
    </w:p>
    <w:p>
      <w:pPr>
        <w:sectPr>
          <w:pgSz w:w="11900" w:h="16838" w:orient="portrait"/>
          <w:cols w:equalWidth="0" w:num="1">
            <w:col w:w="11420"/>
          </w:cols>
          <w:pgMar w:left="240" w:top="125" w:right="239" w:bottom="1440" w:gutter="0" w:footer="0" w:header="0"/>
        </w:sect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By and Between:</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Bedminster 2 Funding, LLC, having an address c/o Advance Realty, 1430 Route 206, Suite 100, Bedminster, NJ 07921 (hereinafter designated as the “Licensor”);</w:t>
      </w:r>
    </w:p>
    <w:p>
      <w:pPr>
        <w:spacing w:after="0" w:line="78" w:lineRule="exact"/>
        <w:rPr>
          <w:sz w:val="20"/>
          <w:szCs w:val="20"/>
          <w:color w:val="auto"/>
        </w:rPr>
      </w:pPr>
    </w:p>
    <w:p>
      <w:pPr>
        <w:sectPr>
          <w:pgSz w:w="11900" w:h="16838" w:orient="portrait"/>
          <w:cols w:equalWidth="0" w:num="2">
            <w:col w:w="1360" w:space="720"/>
            <w:col w:w="934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ind w:right="600"/>
        <w:spacing w:after="0" w:line="268" w:lineRule="auto"/>
        <w:rPr>
          <w:sz w:val="20"/>
          <w:szCs w:val="20"/>
          <w:color w:val="auto"/>
        </w:rPr>
      </w:pPr>
      <w:r>
        <w:rPr>
          <w:rFonts w:ascii="Arial" w:cs="Arial" w:eastAsia="Arial" w:hAnsi="Arial"/>
          <w:sz w:val="18"/>
          <w:szCs w:val="18"/>
          <w:color w:val="auto"/>
        </w:rPr>
        <w:t>Amarin Pharmaceuticals Ireland Ltd., having its U.S. billing address at 12 Roosevelt Avenue, Mystic, CT 06355 (hereinafter designated as the “Licensee”).</w:t>
      </w:r>
    </w:p>
    <w:p>
      <w:pPr>
        <w:spacing w:after="0" w:line="200" w:lineRule="exact"/>
        <w:rPr>
          <w:sz w:val="20"/>
          <w:szCs w:val="20"/>
          <w:color w:val="auto"/>
        </w:rPr>
      </w:pPr>
    </w:p>
    <w:p>
      <w:pPr>
        <w:sectPr>
          <w:pgSz w:w="11900" w:h="16838" w:orient="portrait"/>
          <w:cols w:equalWidth="0" w:num="2">
            <w:col w:w="1360" w:space="720"/>
            <w:col w:w="9340"/>
          </w:cols>
          <w:pgMar w:left="240" w:top="125" w:right="239" w:bottom="1440" w:gutter="0" w:footer="0" w:header="0"/>
          <w:type w:val="continuous"/>
        </w:sectPr>
      </w:pP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WHEREAS, Licensor and Licensee entered into a License Agreement dated April 11, 2011 for an agreed upon 3,303 square feet of office space located at 1420 Route 206, Bedminster, NJ (the “1420 Premises”); and a First Amendment dated May 11, 2011 which relocated Licensee to Suite # 200 consisting of an agreed-upon 9,747 square feet of office space located in 1430 Route 206, Bedminster, NJ (the “1430 Premises”); and</w:t>
      </w:r>
    </w:p>
    <w:p>
      <w:pPr>
        <w:spacing w:after="0" w:line="107"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WHEREAS, Licensee wishes to expand their Premises by 2,142 square feet (Suite #220, the “Expansion Premises”) and Licensor agrees to license said additional premises conditioned upon Licensee’s compliance with the terms and conditions contained herein.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the parties agree as follows:</w:t>
      </w:r>
    </w:p>
    <w:p>
      <w:pPr>
        <w:spacing w:after="0" w:line="171" w:lineRule="exact"/>
        <w:rPr>
          <w:sz w:val="20"/>
          <w:szCs w:val="20"/>
          <w:color w:val="auto"/>
        </w:rPr>
      </w:pPr>
    </w:p>
    <w:p>
      <w:pPr>
        <w:ind w:right="40" w:firstLine="921"/>
        <w:spacing w:after="0" w:line="268" w:lineRule="auto"/>
        <w:tabs>
          <w:tab w:leader="none" w:pos="1088"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Grant of License</w:t>
      </w:r>
      <w:r>
        <w:rPr>
          <w:rFonts w:ascii="Arial" w:cs="Arial" w:eastAsia="Arial" w:hAnsi="Arial"/>
          <w:sz w:val="18"/>
          <w:szCs w:val="18"/>
          <w:color w:val="auto"/>
        </w:rPr>
        <w:t>. Licensor hereby grants unto Licensee an irrevocable license, subject to Licensee adhering to all License terms, including but not limited to payment of License Fee and other Costs and to occupy and use the Expansion Premises.</w:t>
      </w:r>
    </w:p>
    <w:p>
      <w:pPr>
        <w:spacing w:after="0" w:line="131" w:lineRule="exact"/>
        <w:rPr>
          <w:rFonts w:ascii="Arial" w:cs="Arial" w:eastAsia="Arial" w:hAnsi="Arial"/>
          <w:sz w:val="18"/>
          <w:szCs w:val="18"/>
          <w:color w:val="auto"/>
        </w:rPr>
      </w:pPr>
    </w:p>
    <w:p>
      <w:pPr>
        <w:ind w:right="60" w:firstLine="921"/>
        <w:spacing w:after="0" w:line="291" w:lineRule="auto"/>
        <w:tabs>
          <w:tab w:leader="none" w:pos="1088"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for the Expansion Premises shall be one (1) year. The anticipated commencement date of the Expansion Premises shall be May 1, 2012 (the “Expansion Premises Commencement Date”) and terminate on April 30, 2013 (the “Term”), unless sooner terminated by Licensor or Licensee as expressly provided for in this Agreement. The Expansion Premises Commencement Date is contingent upon Licensor executing an Early Termination and Surrender Agreement with the existing tenant and said tenant timely vacating the Expansion Premises. All dates will be adjusted to reflect actual dates of existing tenant surrender and Licensor’s ability to give notice and possession to Licensee. Licensor shall give Licensee written notice once Licensor has taken possession of the Expansion Premises and Licensee shall then have five (5) business days to take possession of the Expansion Premises</w:t>
      </w:r>
    </w:p>
    <w:p>
      <w:pPr>
        <w:spacing w:after="0" w:line="120" w:lineRule="exact"/>
        <w:rPr>
          <w:rFonts w:ascii="Arial" w:cs="Arial" w:eastAsia="Arial" w:hAnsi="Arial"/>
          <w:sz w:val="16"/>
          <w:szCs w:val="16"/>
          <w:color w:val="auto"/>
        </w:rPr>
      </w:pPr>
    </w:p>
    <w:p>
      <w:pPr>
        <w:ind w:left="1100" w:hanging="179"/>
        <w:spacing w:after="0"/>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Condition</w:t>
      </w:r>
      <w:r>
        <w:rPr>
          <w:rFonts w:ascii="Arial" w:cs="Arial" w:eastAsia="Arial" w:hAnsi="Arial"/>
          <w:sz w:val="18"/>
          <w:szCs w:val="18"/>
          <w:color w:val="auto"/>
        </w:rPr>
        <w:t>. Licensee accepts the Expansion Premises in its “as is” condition as of the Expansion Premises Commencement Date.</w:t>
      </w:r>
    </w:p>
    <w:p>
      <w:pPr>
        <w:spacing w:after="0" w:line="171" w:lineRule="exact"/>
        <w:rPr>
          <w:rFonts w:ascii="Arial" w:cs="Arial" w:eastAsia="Arial" w:hAnsi="Arial"/>
          <w:sz w:val="18"/>
          <w:szCs w:val="18"/>
          <w:color w:val="auto"/>
        </w:rPr>
      </w:pPr>
    </w:p>
    <w:p>
      <w:pPr>
        <w:ind w:right="180" w:firstLine="921"/>
        <w:spacing w:after="0" w:line="306" w:lineRule="auto"/>
        <w:tabs>
          <w:tab w:leader="none" w:pos="1088"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License Fee</w:t>
      </w:r>
      <w:r>
        <w:rPr>
          <w:rFonts w:ascii="Arial" w:cs="Arial" w:eastAsia="Arial" w:hAnsi="Arial"/>
          <w:sz w:val="16"/>
          <w:szCs w:val="16"/>
          <w:color w:val="auto"/>
        </w:rPr>
        <w:t>. The consideration for the license shall be the sum of five Thousand One Hundred Seventy Six &amp; 50/100ths Dollars ($5,176.50) per month (“License Fee”), which shall be payable in advance on the first day of each month, without deduction, set-off or abatement whatsoever, throughout the Term beginning on the Expansion Premises Commencement Date. All License Fees shall be paid to Licensor at Licensor’s address as set forth above.</w:t>
      </w:r>
    </w:p>
    <w:p>
      <w:pPr>
        <w:spacing w:after="0" w:line="106" w:lineRule="exact"/>
        <w:rPr>
          <w:rFonts w:ascii="Arial" w:cs="Arial" w:eastAsia="Arial" w:hAnsi="Arial"/>
          <w:sz w:val="16"/>
          <w:szCs w:val="16"/>
          <w:color w:val="auto"/>
        </w:rPr>
      </w:pPr>
    </w:p>
    <w:p>
      <w:pPr>
        <w:ind w:right="20" w:firstLine="921"/>
        <w:spacing w:after="0" w:line="259" w:lineRule="auto"/>
        <w:tabs>
          <w:tab w:leader="none" w:pos="1088"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Other Costs</w:t>
      </w:r>
      <w:r>
        <w:rPr>
          <w:rFonts w:ascii="Arial" w:cs="Arial" w:eastAsia="Arial" w:hAnsi="Arial"/>
          <w:sz w:val="18"/>
          <w:szCs w:val="18"/>
          <w:color w:val="auto"/>
        </w:rPr>
        <w:t>. In addition to the License Fee outlined above, Licensee shall be responsible for monthly utility charges for the Expansion Premises in the amount of $312.38 per month and HVAC for non-business hours in the amount of $45.00 per hour, as well as any costs incurred by Licensor resulting from any default by Licensee of its insurance or maintenance obligations hereunder.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type w:val="continuous"/>
        </w:sectPr>
      </w:pPr>
    </w:p>
    <w:bookmarkStart w:id="52" w:name="page53"/>
    <w:bookmarkEnd w:id="52"/>
    <w:p>
      <w:pPr>
        <w:ind w:right="420" w:firstLine="921"/>
        <w:spacing w:after="0" w:line="268" w:lineRule="auto"/>
        <w:tabs>
          <w:tab w:leader="none" w:pos="108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Deposit</w:t>
      </w:r>
      <w:r>
        <w:rPr>
          <w:rFonts w:ascii="Arial" w:cs="Arial" w:eastAsia="Arial" w:hAnsi="Arial"/>
          <w:sz w:val="18"/>
          <w:szCs w:val="18"/>
          <w:color w:val="auto"/>
        </w:rPr>
        <w:t>. Simultaneously with the execution of this Second Amendment, Licensee shall deliver to Licensor a Security Deposit in the amount of Five Thousand One Hundred Seventy Six &amp; 50/100 Dollars ($5,176.50).</w:t>
      </w:r>
    </w:p>
    <w:p>
      <w:pPr>
        <w:spacing w:after="0" w:line="131" w:lineRule="exact"/>
        <w:rPr>
          <w:rFonts w:ascii="Arial" w:cs="Arial" w:eastAsia="Arial" w:hAnsi="Arial"/>
          <w:sz w:val="18"/>
          <w:szCs w:val="18"/>
          <w:color w:val="auto"/>
        </w:rPr>
      </w:pPr>
    </w:p>
    <w:p>
      <w:pPr>
        <w:ind w:firstLine="921"/>
        <w:spacing w:after="0" w:line="290" w:lineRule="auto"/>
        <w:tabs>
          <w:tab w:leader="none" w:pos="1088"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Operating Charges and Real Estate Taxes</w:t>
      </w:r>
      <w:r>
        <w:rPr>
          <w:rFonts w:ascii="Arial" w:cs="Arial" w:eastAsia="Arial" w:hAnsi="Arial"/>
          <w:sz w:val="16"/>
          <w:szCs w:val="16"/>
          <w:color w:val="auto"/>
        </w:rPr>
        <w:t>. Licensee shall pay to Licensor, as “Additional Rent”, Licensee’s proportionate share of the amount by which Operating Charges for each license year following the Base Year exceed the Base Year Operating Charges (hereinafter referred to as the “Operating Charges Escalation”) falling entirely or partly within the Term. “Operating Charges” shall mean the sum of all direct and indirect costs and expenses of any kind or nature whatsoever incurred in connection with the management, operation, maintenance, repair, replacement and cleaning of the Building, the Land and the Common Areas. The base year for the Expansion Premises for Operating Charges and Real Estate Taxes has been established as 2008 (the “Base Year”). Effective on the Commencement Date for the Expansion Premises, Licensee shall pay its proportionate share of escalations calendar year 2012 as follows: $0 for Operating Expenses per month and $72.31 for Real Estate Tax per month. Licensee’s Proportionate Share for the Expansion Premises is 6.83%.</w:t>
      </w:r>
    </w:p>
    <w:p>
      <w:pPr>
        <w:spacing w:after="0" w:line="118" w:lineRule="exact"/>
        <w:rPr>
          <w:rFonts w:ascii="Arial" w:cs="Arial" w:eastAsia="Arial" w:hAnsi="Arial"/>
          <w:sz w:val="16"/>
          <w:szCs w:val="16"/>
          <w:color w:val="auto"/>
        </w:rPr>
      </w:pPr>
    </w:p>
    <w:p>
      <w:pPr>
        <w:ind w:right="460" w:firstLine="921"/>
        <w:spacing w:after="0" w:line="268" w:lineRule="auto"/>
        <w:tabs>
          <w:tab w:leader="none" w:pos="1088"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Except as expressly provided herein, all other terms, conditions, covenants, conditions and agreements as set forth in the License Agreement remain unchanged and in full force and effect.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left intentionally blank — Signature page to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3" w:name="page54"/>
    <w:bookmarkEnd w:id="53"/>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as duly authorized parties this Agreement as of the date first set forth hereinabove.</w:t>
      </w:r>
    </w:p>
    <w:p>
      <w:pPr>
        <w:spacing w:after="0" w:line="24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AGREED TO:</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LICENSOR:</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BEDMINSTER 2 FUNDING, LLC,</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 New Jersey limited liability company</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Kurt R. Padavano</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Kurt R. Padavano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-129540</wp:posOffset>
            </wp:positionV>
            <wp:extent cx="27184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Title: Authorized Representative</w:t>
      </w:r>
    </w:p>
    <w:p>
      <w:pPr>
        <w:spacing w:after="0" w:line="20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LICENSEE:</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AMARIN PHARMACEUTICALS IRELAND LTD</w:t>
      </w:r>
    </w:p>
    <w:p>
      <w:pPr>
        <w:spacing w:after="0" w:line="23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3974465</wp:posOffset>
            </wp:positionH>
            <wp:positionV relativeFrom="paragraph">
              <wp:posOffset>10795</wp:posOffset>
            </wp:positionV>
            <wp:extent cx="26930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9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John F. Thero</w:t>
      </w:r>
    </w:p>
    <w:p>
      <w:pPr>
        <w:spacing w:after="0" w:line="11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Director</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40"/>
          </w:cols>
          <w:pgMar w:left="1160" w:top="280" w:right="699" w:bottom="144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EXHIBIT A </w:t>
      </w:r>
      <w:r>
        <w:rPr>
          <w:rFonts w:ascii="Arial" w:cs="Arial" w:eastAsia="Arial" w:hAnsi="Arial"/>
          <w:sz w:val="16"/>
          <w:szCs w:val="16"/>
          <w:color w:val="auto"/>
        </w:rPr>
        <w:t>– 1430 PREMISES</w:t>
      </w:r>
    </w:p>
    <w:p>
      <w:pPr>
        <w:sectPr>
          <w:pgSz w:w="11900" w:h="16838" w:orient="portrait"/>
          <w:cols w:equalWidth="0" w:num="1">
            <w:col w:w="9019"/>
          </w:cols>
          <w:pgMar w:left="1440" w:top="274" w:right="1440"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(separately attached)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019"/>
          </w:cols>
          <w:pgMar w:left="1440" w:top="274" w:right="1440" w:bottom="1440" w:gutter="0" w:footer="0" w:header="0"/>
          <w:type w:val="continuous"/>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10.5</w:t>
      </w:r>
    </w:p>
    <w:p>
      <w:pPr>
        <w:spacing w:after="0" w:line="33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THIRD AMENDMENT TO IRREVOCABLE LICENSE AGREEMENT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THIS THIRD AMENDMENT TO IRREVOCABLE LICENSE AGREEMENT (this “Agreement”), made as of the </w:t>
      </w:r>
      <w:r>
        <w:rPr>
          <w:rFonts w:ascii="Arial" w:cs="Arial" w:eastAsia="Arial" w:hAnsi="Arial"/>
          <w:sz w:val="18"/>
          <w:szCs w:val="18"/>
          <w:u w:val="single" w:color="auto"/>
          <w:color w:val="auto"/>
        </w:rPr>
        <w:t>17th</w:t>
      </w:r>
      <w:r>
        <w:rPr>
          <w:rFonts w:ascii="Arial" w:cs="Arial" w:eastAsia="Arial" w:hAnsi="Arial"/>
          <w:sz w:val="18"/>
          <w:szCs w:val="18"/>
          <w:color w:val="auto"/>
        </w:rPr>
        <w:t xml:space="preserve"> day of July 2012.</w:t>
      </w:r>
    </w:p>
    <w:p>
      <w:pPr>
        <w:sectPr>
          <w:pgSz w:w="11900" w:h="16838" w:orient="portrait"/>
          <w:cols w:equalWidth="0" w:num="1">
            <w:col w:w="11420"/>
          </w:cols>
          <w:pgMar w:left="240" w:top="125"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By and Between: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Bedminster 2 Funding, LLC, having an address c/o Advance Realty, 1430 Route 206, Suite 100, Bedminster, NJ 07921 (hereinafter designated as the “Licensor”);</w:t>
      </w:r>
    </w:p>
    <w:p>
      <w:pPr>
        <w:spacing w:after="0" w:line="78" w:lineRule="exact"/>
        <w:rPr>
          <w:sz w:val="20"/>
          <w:szCs w:val="20"/>
          <w:color w:val="auto"/>
        </w:rPr>
      </w:pPr>
    </w:p>
    <w:p>
      <w:pPr>
        <w:sectPr>
          <w:pgSz w:w="11900" w:h="16838" w:orient="portrait"/>
          <w:cols w:equalWidth="0" w:num="2">
            <w:col w:w="1220" w:space="500"/>
            <w:col w:w="970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Amarin Pharmaceuticals Ireland Ltd., having its U.S. billing address at 12 Roosevelt Avenue, Mystic, CT 06355 (hereinafter designated as the “Licensee”).</w:t>
      </w:r>
    </w:p>
    <w:p>
      <w:pPr>
        <w:spacing w:after="0" w:line="200" w:lineRule="exact"/>
        <w:rPr>
          <w:sz w:val="20"/>
          <w:szCs w:val="20"/>
          <w:color w:val="auto"/>
        </w:rPr>
      </w:pPr>
    </w:p>
    <w:p>
      <w:pPr>
        <w:sectPr>
          <w:pgSz w:w="11900" w:h="16838" w:orient="portrait"/>
          <w:cols w:equalWidth="0" w:num="2">
            <w:col w:w="1000" w:space="720"/>
            <w:col w:w="9700"/>
          </w:cols>
          <w:pgMar w:left="240" w:top="125" w:right="239" w:bottom="1440" w:gutter="0" w:footer="0" w:header="0"/>
          <w:type w:val="continuous"/>
        </w:sectPr>
      </w:pP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171"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WHEREAS, Licensor and Licensee entered into a License Agreement dated April 11, 2011 for an agreed upon 3,303 square feet of office space located at 1420 Route 206, Bedminster, NJ (the “1420 Premises”); a First Amendment dated May 11, 2011 which relocated Licensee to Suite # 200 consisting of an agreed-upon 9,747 square feet of office space located in 1430 Route 206, Bedminster, NJ (the “1430 Premises”) and Second Amendment dated April 25, 2012; and</w:t>
      </w:r>
    </w:p>
    <w:p>
      <w:pPr>
        <w:spacing w:after="0" w:line="143"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WHEREAS, Licensee wishes to expand their Premises by 2,262 square feet (Suite #110, the “Expansion Premises”) and Licensor agrees to license said additional premises conditioned upon Licensee’s compliance with the terms and conditions contained herein.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the parties agree as follows:</w:t>
      </w:r>
    </w:p>
    <w:p>
      <w:pPr>
        <w:spacing w:after="0" w:line="171" w:lineRule="exact"/>
        <w:rPr>
          <w:sz w:val="20"/>
          <w:szCs w:val="20"/>
          <w:color w:val="auto"/>
        </w:rPr>
      </w:pPr>
    </w:p>
    <w:p>
      <w:pPr>
        <w:ind w:right="40" w:firstLine="921"/>
        <w:spacing w:after="0" w:line="268" w:lineRule="auto"/>
        <w:tabs>
          <w:tab w:leader="none" w:pos="108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Grant of License</w:t>
      </w:r>
      <w:r>
        <w:rPr>
          <w:rFonts w:ascii="Arial" w:cs="Arial" w:eastAsia="Arial" w:hAnsi="Arial"/>
          <w:sz w:val="18"/>
          <w:szCs w:val="18"/>
          <w:color w:val="auto"/>
        </w:rPr>
        <w:t>. Licensor hereby grants unto Licensee an irrevocable license, subject to Licensee adhering to all License terms, including but not limited to payment of License Fee and other Costs and to occupy and use the Expansion Premises.</w:t>
      </w:r>
    </w:p>
    <w:p>
      <w:pPr>
        <w:spacing w:after="0" w:line="131" w:lineRule="exact"/>
        <w:rPr>
          <w:rFonts w:ascii="Arial" w:cs="Arial" w:eastAsia="Arial" w:hAnsi="Arial"/>
          <w:sz w:val="18"/>
          <w:szCs w:val="18"/>
          <w:color w:val="auto"/>
        </w:rPr>
      </w:pPr>
    </w:p>
    <w:p>
      <w:pPr>
        <w:ind w:right="60" w:firstLine="921"/>
        <w:spacing w:after="0" w:line="291" w:lineRule="auto"/>
        <w:tabs>
          <w:tab w:leader="none" w:pos="1088"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for the Expansion Premises shall be one (1) year, eleven (11) months. The anticipated commencement date of the Expansion Premises shall be July 25, 2012 (the “Expansion Premises Commencement Date”) and terminate on June 30, 2014 (the “Term”), unless sooner terminated by Licensor or Licensee as expressly provided for in this Agreement. The Expansion Premises Commencement Date is contingent upon Licensor executing an Early Termination and Surrender Agreement with the existing tenant and said tenant timely vacating the Expansion Premises. All dates will be adjusted to reflect actual dates of existing tenant surrender and Licensor’s ability to give notice and possession to Licensee. Licensor shall give Licensee written notice once Licensor has taken possession of the Expansion Premises and Licensee shall then have five (5) business days to take possession of the Expansion Premises</w:t>
      </w:r>
    </w:p>
    <w:p>
      <w:pPr>
        <w:spacing w:after="0" w:line="120" w:lineRule="exact"/>
        <w:rPr>
          <w:rFonts w:ascii="Arial" w:cs="Arial" w:eastAsia="Arial" w:hAnsi="Arial"/>
          <w:sz w:val="16"/>
          <w:szCs w:val="16"/>
          <w:color w:val="auto"/>
        </w:rPr>
      </w:pPr>
    </w:p>
    <w:p>
      <w:pPr>
        <w:ind w:left="1100" w:hanging="179"/>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Condition</w:t>
      </w:r>
      <w:r>
        <w:rPr>
          <w:rFonts w:ascii="Arial" w:cs="Arial" w:eastAsia="Arial" w:hAnsi="Arial"/>
          <w:sz w:val="18"/>
          <w:szCs w:val="18"/>
          <w:color w:val="auto"/>
        </w:rPr>
        <w:t>. Licensee accepts the Expansion Premises in its “as is” condition as of the Expansion Premises Commencement Date.</w:t>
      </w:r>
    </w:p>
    <w:p>
      <w:pPr>
        <w:spacing w:after="0" w:line="171" w:lineRule="exact"/>
        <w:rPr>
          <w:rFonts w:ascii="Arial" w:cs="Arial" w:eastAsia="Arial" w:hAnsi="Arial"/>
          <w:sz w:val="18"/>
          <w:szCs w:val="18"/>
          <w:color w:val="auto"/>
        </w:rPr>
      </w:pPr>
    </w:p>
    <w:p>
      <w:pPr>
        <w:ind w:right="220" w:firstLine="921"/>
        <w:spacing w:after="0" w:line="306" w:lineRule="auto"/>
        <w:tabs>
          <w:tab w:leader="none" w:pos="1088"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License Fee</w:t>
      </w:r>
      <w:r>
        <w:rPr>
          <w:rFonts w:ascii="Arial" w:cs="Arial" w:eastAsia="Arial" w:hAnsi="Arial"/>
          <w:sz w:val="16"/>
          <w:szCs w:val="16"/>
          <w:color w:val="auto"/>
        </w:rPr>
        <w:t>. The consideration for the license shall be the sum of Five Thousand Six Hundred Fifty Five and 00/100ths Dollars ($5,655.00) per month (“License Fee”), which shall be payable in advance on the first day of each month, without deduction, set-off or abatement whatsoever, throughout the Term beginning on the Expansion Premises Commencement Date. All License Fees shall be paid to Licensor at Licensor’s address as set forth above.</w:t>
      </w:r>
    </w:p>
    <w:p>
      <w:pPr>
        <w:spacing w:after="0" w:line="106" w:lineRule="exact"/>
        <w:rPr>
          <w:rFonts w:ascii="Arial" w:cs="Arial" w:eastAsia="Arial" w:hAnsi="Arial"/>
          <w:sz w:val="16"/>
          <w:szCs w:val="16"/>
          <w:color w:val="auto"/>
        </w:rPr>
      </w:pPr>
    </w:p>
    <w:p>
      <w:pPr>
        <w:ind w:right="20" w:firstLine="921"/>
        <w:spacing w:after="0" w:line="259" w:lineRule="auto"/>
        <w:tabs>
          <w:tab w:leader="none" w:pos="108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Other Costs</w:t>
      </w:r>
      <w:r>
        <w:rPr>
          <w:rFonts w:ascii="Arial" w:cs="Arial" w:eastAsia="Arial" w:hAnsi="Arial"/>
          <w:sz w:val="18"/>
          <w:szCs w:val="18"/>
          <w:color w:val="auto"/>
        </w:rPr>
        <w:t>. In addition to the License Fee outlined above, Licensee shall be responsible for monthly utility charges for the Expansion Premises in the amount of $282.75 per month and HVAC for non-business hours in the amount of $45.00 per hour, as well as any costs incurred by Licensor resulting from any default by Licensee of its insurance or maintenance obligations hereunder.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type w:val="continuous"/>
        </w:sectPr>
      </w:pPr>
    </w:p>
    <w:bookmarkStart w:id="56" w:name="page57"/>
    <w:bookmarkEnd w:id="56"/>
    <w:p>
      <w:pPr>
        <w:ind w:right="140" w:firstLine="921"/>
        <w:spacing w:after="0" w:line="254" w:lineRule="auto"/>
        <w:tabs>
          <w:tab w:leader="none" w:pos="108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Charges and Real Estate Taxes</w:t>
      </w:r>
      <w:r>
        <w:rPr>
          <w:rFonts w:ascii="Arial" w:cs="Arial" w:eastAsia="Arial" w:hAnsi="Arial"/>
          <w:sz w:val="18"/>
          <w:szCs w:val="18"/>
          <w:color w:val="auto"/>
        </w:rPr>
        <w:t>. Licensee shall pay to Licensor, as “Additional Rent”, Licensee’s proportionate share of the amount by which Operating Charges for each license year following the Base Year exceed the Base Year Operating Charges (hereinafter referred to as the “Operating Charges Escalation”) falling entirely or partly within the Term. “Operating Charges” shall mean the sum of all direct and indirect costs and expenses of any kind or nature whatsoever incurred in connection with the management, operation, maintenance, repair, replacement and cleaning of the Building, the Land and the Common Areas. The base year for the Expansion Premises for Operating Charges and Real Estate Taxes is 2012 (the “Base Year”). Licensee’s Proportionate Share is agreed to be 7.02%.</w:t>
      </w:r>
    </w:p>
    <w:p>
      <w:pPr>
        <w:spacing w:after="0" w:line="144" w:lineRule="exact"/>
        <w:rPr>
          <w:sz w:val="20"/>
          <w:szCs w:val="20"/>
          <w:color w:val="auto"/>
        </w:rPr>
      </w:pPr>
    </w:p>
    <w:p>
      <w:pPr>
        <w:ind w:right="80" w:firstLine="913"/>
        <w:spacing w:after="0" w:line="306" w:lineRule="auto"/>
        <w:rPr>
          <w:sz w:val="20"/>
          <w:szCs w:val="20"/>
          <w:color w:val="auto"/>
        </w:rPr>
      </w:pPr>
      <w:r>
        <w:rPr>
          <w:rFonts w:ascii="Arial" w:cs="Arial" w:eastAsia="Arial" w:hAnsi="Arial"/>
          <w:sz w:val="16"/>
          <w:szCs w:val="16"/>
          <w:color w:val="auto"/>
        </w:rPr>
        <w:t>Commencing on the first day of the year following the Base Year and thereafter for the remainder of the Term, Licensee shall pay, as Additional Rent, Licensee’s proportionate share of the amount by which Real Estate Taxes for each year falling entirely or partially within the Term following the Base Year exceeds the Base Year Real Estate Taxes (hereinafter referred to as the “Real Estate Taxes Escalation”). As of the date hereof,</w:t>
      </w:r>
    </w:p>
    <w:p>
      <w:pPr>
        <w:spacing w:after="0" w:line="107" w:lineRule="exact"/>
        <w:rPr>
          <w:sz w:val="20"/>
          <w:szCs w:val="20"/>
          <w:color w:val="auto"/>
        </w:rPr>
      </w:pPr>
    </w:p>
    <w:p>
      <w:pPr>
        <w:ind w:right="440" w:firstLine="921"/>
        <w:spacing w:after="0" w:line="268" w:lineRule="auto"/>
        <w:tabs>
          <w:tab w:leader="none" w:pos="10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Except as expressly provided herein, all other terms, conditions, covenants, conditions and agreements as set forth in the License Agreement remain unchanged and in full force and effect.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WITNESS WHEREOF, the parties hereto have executed as duly authorized parties this Agreement as of the date first set forth hereinabove.</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AGREED TO:</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LICENSOR:</w:t>
      </w:r>
    </w:p>
    <w:p>
      <w:pPr>
        <w:spacing w:after="0" w:line="11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BEDMINSTER 2 FUNDING, LLC,</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New Jersey limited liability company</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Kurt R. Padavano</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Kurt R. Padavano</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Authorized Representative</w:t>
            </w:r>
          </w:p>
        </w:tc>
      </w:tr>
    </w:tbl>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LICENSEE:</w:t>
      </w:r>
    </w:p>
    <w:p>
      <w:pPr>
        <w:spacing w:after="0" w:line="11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AMARIN PHARMACEUTICALS IRELAND LTD</w:t>
      </w:r>
    </w:p>
    <w:p>
      <w:pPr>
        <w:spacing w:after="0" w:line="231"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97"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97"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7" w:name="page58"/>
    <w:bookmarkEnd w:id="57"/>
    <w:p>
      <w:pPr>
        <w:ind w:left="10520"/>
        <w:spacing w:after="0"/>
        <w:rPr>
          <w:sz w:val="20"/>
          <w:szCs w:val="20"/>
          <w:color w:val="auto"/>
        </w:rPr>
      </w:pPr>
      <w:r>
        <w:rPr>
          <w:rFonts w:ascii="Arial" w:cs="Arial" w:eastAsia="Arial" w:hAnsi="Arial"/>
          <w:sz w:val="16"/>
          <w:szCs w:val="16"/>
          <w:b w:val="1"/>
          <w:bCs w:val="1"/>
          <w:color w:val="auto"/>
        </w:rPr>
        <w:t>Exhibit 10.6</w:t>
      </w:r>
    </w:p>
    <w:p>
      <w:pPr>
        <w:spacing w:after="0" w:line="200"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API COMMERCIAL SUPPLY AGREEMENT</w:t>
      </w:r>
    </w:p>
    <w:p>
      <w:pPr>
        <w:spacing w:after="0" w:line="17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A</w:t>
      </w:r>
      <w:r>
        <w:rPr>
          <w:rFonts w:ascii="Arial" w:cs="Arial" w:eastAsia="Arial" w:hAnsi="Arial"/>
          <w:sz w:val="13"/>
          <w:szCs w:val="13"/>
          <w:color w:val="auto"/>
        </w:rPr>
        <w:t>MENDMENT TO</w:t>
      </w:r>
      <w:r>
        <w:rPr>
          <w:rFonts w:ascii="Arial" w:cs="Arial" w:eastAsia="Arial" w:hAnsi="Arial"/>
          <w:sz w:val="16"/>
          <w:szCs w:val="16"/>
          <w:color w:val="auto"/>
        </w:rPr>
        <w:t xml:space="preserve"> API C</w:t>
      </w:r>
      <w:r>
        <w:rPr>
          <w:rFonts w:ascii="Arial" w:cs="Arial" w:eastAsia="Arial" w:hAnsi="Arial"/>
          <w:sz w:val="13"/>
          <w:szCs w:val="13"/>
          <w:color w:val="auto"/>
        </w:rPr>
        <w:t>OMMERCIAL</w:t>
      </w:r>
      <w:r>
        <w:rPr>
          <w:rFonts w:ascii="Arial" w:cs="Arial" w:eastAsia="Arial" w:hAnsi="Arial"/>
          <w:sz w:val="16"/>
          <w:szCs w:val="16"/>
          <w:color w:val="auto"/>
        </w:rPr>
        <w:t xml:space="preserve"> S</w:t>
      </w:r>
      <w:r>
        <w:rPr>
          <w:rFonts w:ascii="Arial" w:cs="Arial" w:eastAsia="Arial" w:hAnsi="Arial"/>
          <w:sz w:val="13"/>
          <w:szCs w:val="13"/>
          <w:color w:val="auto"/>
        </w:rPr>
        <w:t>UPPLY</w:t>
      </w:r>
      <w:r>
        <w:rPr>
          <w:rFonts w:ascii="Arial" w:cs="Arial" w:eastAsia="Arial" w:hAnsi="Arial"/>
          <w:sz w:val="16"/>
          <w:szCs w:val="16"/>
          <w:color w:val="auto"/>
        </w:rPr>
        <w:t xml:space="preserve"> A</w:t>
      </w:r>
      <w:r>
        <w:rPr>
          <w:rFonts w:ascii="Arial" w:cs="Arial" w:eastAsia="Arial" w:hAnsi="Arial"/>
          <w:sz w:val="13"/>
          <w:szCs w:val="13"/>
          <w:color w:val="auto"/>
        </w:rPr>
        <w:t>GREEMENT</w:t>
      </w:r>
      <w:r>
        <w:rPr>
          <w:rFonts w:ascii="Arial" w:cs="Arial" w:eastAsia="Arial" w:hAnsi="Arial"/>
          <w:sz w:val="16"/>
          <w:szCs w:val="16"/>
          <w:color w:val="auto"/>
        </w:rPr>
        <w:t xml:space="preserve"> (the “Amendment”) is made as of this 4 day of April, 2012 (the “Amendment Effective Date”), by and between Amarin Pharmaceuticals Ireland Ltd., a corporation organized under the laws of Ireland and having its principal office at First Floor, Block 3, The Oval, Shelbourne Road, Ballsbridge, Dublin 4, Ireland (“Amarin”), and Chemport Inc., a corporation organized under the laws of South Korea and having its principal offices at 15-1, Dongsu-dong, Naju-si, Jeollanam-do 520-330 Korea (“Chemport”).</w:t>
      </w:r>
    </w:p>
    <w:p>
      <w:pPr>
        <w:spacing w:after="0" w:line="113" w:lineRule="exact"/>
        <w:rPr>
          <w:sz w:val="20"/>
          <w:szCs w:val="20"/>
          <w:color w:val="auto"/>
        </w:rPr>
      </w:pPr>
    </w:p>
    <w:p>
      <w:pPr>
        <w:ind w:left="460" w:right="1880"/>
        <w:spacing w:after="0" w:line="438" w:lineRule="auto"/>
        <w:rPr>
          <w:sz w:val="20"/>
          <w:szCs w:val="20"/>
          <w:color w:val="auto"/>
        </w:rPr>
      </w:pPr>
      <w:r>
        <w:rPr>
          <w:rFonts w:ascii="Arial" w:cs="Arial" w:eastAsia="Arial" w:hAnsi="Arial"/>
          <w:sz w:val="18"/>
          <w:szCs w:val="18"/>
          <w:color w:val="auto"/>
        </w:rPr>
        <w:t>WHEREAS, the Parties entered into that certain API Commercial Supply Agreement as of May 25, 2011 (the “Agreement”); and WHEREAS, the Parties wish to amend the Agreement as set forth herein.</w:t>
      </w:r>
    </w:p>
    <w:p>
      <w:pPr>
        <w:spacing w:after="0" w:line="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NOW THEREFORE, in consideration of the premises and mutual covenants herein below, and for other good and valuable consideration, the receipt and sufficiency of which are hereby acknowledged, the Parties agree as follows:</w:t>
      </w:r>
    </w:p>
    <w:p>
      <w:pPr>
        <w:spacing w:after="0" w:line="132" w:lineRule="exact"/>
        <w:rPr>
          <w:sz w:val="20"/>
          <w:szCs w:val="20"/>
          <w:color w:val="auto"/>
        </w:rPr>
      </w:pPr>
    </w:p>
    <w:p>
      <w:pPr>
        <w:ind w:left="640" w:hanging="17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Capitalized terms used but not defined herein shall have the meanings given to them in the Agreement.</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new Section 9.5 is hereby added to the Agreement and shall hereafter read as follows: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 xml:space="preserve">9.5 </w:t>
      </w:r>
      <w:r>
        <w:rPr>
          <w:rFonts w:ascii="Arial" w:cs="Arial" w:eastAsia="Arial" w:hAnsi="Arial"/>
          <w:sz w:val="15"/>
          <w:szCs w:val="15"/>
          <w:u w:val="single" w:color="auto"/>
          <w:color w:val="auto"/>
        </w:rPr>
        <w:t>Amarin Representative</w:t>
      </w:r>
      <w:r>
        <w:rPr>
          <w:rFonts w:ascii="Arial" w:cs="Arial" w:eastAsia="Arial" w:hAnsi="Arial"/>
          <w:sz w:val="15"/>
          <w:szCs w:val="15"/>
          <w:color w:val="auto"/>
        </w:rPr>
        <w:t>. Amarin shall be allowed to have, at its expense, an employee of Amarin or a third party consultant present at all locations</w:t>
      </w:r>
    </w:p>
    <w:p>
      <w:pPr>
        <w:spacing w:after="0" w:line="50" w:lineRule="exact"/>
        <w:rPr>
          <w:sz w:val="20"/>
          <w:szCs w:val="20"/>
          <w:color w:val="auto"/>
        </w:rPr>
      </w:pPr>
    </w:p>
    <w:p>
      <w:pPr>
        <w:ind w:left="460" w:right="420" w:firstLine="4"/>
        <w:spacing w:after="0" w:line="253" w:lineRule="auto"/>
        <w:tabs>
          <w:tab w:leader="none" w:pos="884"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the purpose of [***]. Such employee or third party consultant shall execute a reasonable confidentiality agreement intended to protect Confidential Information of Chemport. Chemport will reasonably cooperate in enabling such employee or consultant of Amarin to carry out his or her activities [***]. The Amarin employee or consultant shall be obligated to follow reasonable rules and procedures made known to such employee and consultant and that apply generally to personnel of Chemport. Chemport agrees to [***]. This Section 9.4 shall expire upon approval of the Drug Application by the FDA.</w:t>
      </w:r>
    </w:p>
    <w:p>
      <w:pPr>
        <w:sectPr>
          <w:pgSz w:w="11900" w:h="16838" w:orient="portrait"/>
          <w:cols w:equalWidth="0" w:num="1">
            <w:col w:w="11420"/>
          </w:cols>
          <w:pgMar w:left="240" w:top="125" w:right="239" w:bottom="1440" w:gutter="0" w:footer="0" w:header="0"/>
        </w:sectPr>
      </w:pPr>
    </w:p>
    <w:bookmarkStart w:id="58" w:name="page59"/>
    <w:bookmarkEnd w:id="58"/>
    <w:p>
      <w:pPr>
        <w:jc w:val="both"/>
        <w:ind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Section 11.4 of the Agreement is deleted in its entirety and replaced with the following:</w:t>
      </w:r>
    </w:p>
    <w:p>
      <w:pPr>
        <w:spacing w:after="0" w:line="90" w:lineRule="exact"/>
        <w:rPr>
          <w:sz w:val="20"/>
          <w:szCs w:val="20"/>
          <w:color w:val="auto"/>
        </w:rPr>
      </w:pPr>
    </w:p>
    <w:p>
      <w:pPr>
        <w:ind w:left="460" w:firstLine="438"/>
        <w:spacing w:after="0" w:line="306"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Special Indemnity</w:t>
      </w:r>
      <w:r>
        <w:rPr>
          <w:rFonts w:ascii="Arial" w:cs="Arial" w:eastAsia="Arial" w:hAnsi="Arial"/>
          <w:sz w:val="16"/>
          <w:szCs w:val="16"/>
          <w:color w:val="auto"/>
        </w:rPr>
        <w:t>. In the event this Agreement is terminated by Amarin pursuant to Sections 15.5(a) or (h), Chemport shall pay to Amarin the amount of [***], which shall be Amarin’s sole and exclusive remedy with respect thereto, and in the event this Agreement is terminated by Amarin pursuant to Section 15.5(g), Chemport shall pay to Amarin the amount of [***], which shall be Amarin’s sole and exclusive remedy with respect thereto.</w:t>
      </w:r>
    </w:p>
    <w:p>
      <w:pPr>
        <w:spacing w:after="0" w:line="107" w:lineRule="exact"/>
        <w:rPr>
          <w:sz w:val="20"/>
          <w:szCs w:val="20"/>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new subsection (h) is hereby added to Section 15.5 of the Agreement and shall hereafter read as follows:</w:t>
      </w:r>
    </w:p>
    <w:p>
      <w:pPr>
        <w:spacing w:after="0" w:line="90" w:lineRule="exact"/>
        <w:rPr>
          <w:rFonts w:ascii="Arial" w:cs="Arial" w:eastAsia="Arial" w:hAnsi="Arial"/>
          <w:sz w:val="18"/>
          <w:szCs w:val="18"/>
          <w:color w:val="auto"/>
        </w:rPr>
      </w:pPr>
    </w:p>
    <w:p>
      <w:pPr>
        <w:ind w:left="460" w:right="40" w:firstLine="443"/>
        <w:spacing w:after="0" w:line="332" w:lineRule="auto"/>
        <w:tabs>
          <w:tab w:leader="none" w:pos="1147"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 In Amarin’s reasonable judgment, Chemport [***] on </w:t>
      </w:r>
      <w:r>
        <w:rPr>
          <w:rFonts w:ascii="Arial" w:cs="Arial" w:eastAsia="Arial" w:hAnsi="Arial"/>
          <w:sz w:val="16"/>
          <w:szCs w:val="16"/>
          <w:u w:val="single" w:color="auto"/>
          <w:color w:val="auto"/>
        </w:rPr>
        <w:t>Schedule 15.5(h)</w:t>
      </w:r>
      <w:r>
        <w:rPr>
          <w:rFonts w:ascii="Arial" w:cs="Arial" w:eastAsia="Arial" w:hAnsi="Arial"/>
          <w:sz w:val="16"/>
          <w:szCs w:val="16"/>
          <w:color w:val="auto"/>
        </w:rPr>
        <w:t xml:space="preserve"> hereto at the Facility on or before [***]; provided, however, that notwithstanding anything in this Section 15.5 to the contrary, such termination shall take immediate effect upon written notice from Amarin.</w:t>
      </w:r>
    </w:p>
    <w:p>
      <w:pPr>
        <w:spacing w:after="0" w:line="85" w:lineRule="exact"/>
        <w:rPr>
          <w:rFonts w:ascii="Arial" w:cs="Arial" w:eastAsia="Arial" w:hAnsi="Arial"/>
          <w:sz w:val="16"/>
          <w:szCs w:val="16"/>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Schedule 15.5(h)</w:t>
      </w:r>
      <w:r>
        <w:rPr>
          <w:rFonts w:ascii="Arial" w:cs="Arial" w:eastAsia="Arial" w:hAnsi="Arial"/>
          <w:sz w:val="18"/>
          <w:szCs w:val="18"/>
          <w:color w:val="auto"/>
        </w:rPr>
        <w:t xml:space="preserve"> attached hereto is hereby incorporated into the Agreement as </w:t>
      </w:r>
      <w:r>
        <w:rPr>
          <w:rFonts w:ascii="Arial" w:cs="Arial" w:eastAsia="Arial" w:hAnsi="Arial"/>
          <w:sz w:val="18"/>
          <w:szCs w:val="18"/>
          <w:u w:val="single" w:color="auto"/>
          <w:color w:val="auto"/>
        </w:rPr>
        <w:t>Schedule 15.5(h)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 w:firstLine="464"/>
        <w:spacing w:after="0" w:line="294" w:lineRule="auto"/>
        <w:tabs>
          <w:tab w:leader="none" w:pos="632"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This Amendment and any other future amendment of the Agreement may be executed in two (2) or more counterparts, each of which shall be an original, but all of which together shall constitute one and the same instrument. To evidence the fact that it has executed this Amendment and any other future amendment of the Agreement, a Party may send a copy of its executed counterpart to the other Parties by facsimile transmission or by email transmission in portable document format, or similar format. Signatures of the Parties transmitted by facsimile or by email transmission in portable document format, or similar format, shall be deemed to be their original signatures for all purposes.</w:t>
      </w:r>
    </w:p>
    <w:p>
      <w:pPr>
        <w:spacing w:after="0" w:line="115" w:lineRule="exact"/>
        <w:rPr>
          <w:rFonts w:ascii="Arial" w:cs="Arial" w:eastAsia="Arial" w:hAnsi="Arial"/>
          <w:sz w:val="16"/>
          <w:szCs w:val="16"/>
          <w:color w:val="auto"/>
        </w:rPr>
      </w:pPr>
    </w:p>
    <w:p>
      <w:pPr>
        <w:jc w:val="center"/>
        <w:ind w:left="4860" w:right="760" w:hanging="4396"/>
        <w:spacing w:after="0" w:line="430" w:lineRule="auto"/>
        <w:tabs>
          <w:tab w:leader="none" w:pos="639"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Except as expressly provided in this Amendment, all other provisions of the Agreement shall remain unmodified and in full force and effect. [signature page follows]</w:t>
      </w:r>
    </w:p>
    <w:p>
      <w:pPr>
        <w:spacing w:after="0" w:line="1" w:lineRule="exact"/>
        <w:rPr>
          <w:rFonts w:ascii="Arial" w:cs="Arial" w:eastAsia="Arial" w:hAnsi="Arial"/>
          <w:sz w:val="18"/>
          <w:szCs w:val="18"/>
          <w:color w:val="auto"/>
        </w:rPr>
      </w:pPr>
    </w:p>
    <w:p>
      <w:pPr>
        <w:ind w:left="5680"/>
        <w:spacing w:after="0"/>
        <w:rPr>
          <w:rFonts w:ascii="Arial" w:cs="Arial" w:eastAsia="Arial" w:hAnsi="Arial"/>
          <w:sz w:val="18"/>
          <w:szCs w:val="18"/>
          <w:color w:val="auto"/>
        </w:rPr>
      </w:pPr>
      <w:r>
        <w:rPr>
          <w:rFonts w:ascii="Arial" w:cs="Arial" w:eastAsia="Arial" w:hAnsi="Arial"/>
          <w:sz w:val="18"/>
          <w:szCs w:val="18"/>
          <w:color w:val="auto"/>
        </w:rPr>
        <w:t>2</w:t>
      </w:r>
    </w:p>
    <w:p>
      <w:pPr>
        <w:sectPr>
          <w:pgSz w:w="11900" w:h="16838" w:orient="portrait"/>
          <w:cols w:equalWidth="0" w:num="1">
            <w:col w:w="11260"/>
          </w:cols>
          <w:pgMar w:left="240" w:top="280" w:right="399" w:bottom="1440" w:gutter="0" w:footer="0" w:header="0"/>
        </w:sectPr>
      </w:pPr>
    </w:p>
    <w:bookmarkStart w:id="59" w:name="page60"/>
    <w:bookmarkEnd w:id="59"/>
    <w:p>
      <w:pPr>
        <w:jc w:val="both"/>
        <w:ind w:right="4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to API Commercial Supply Agreement]</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IN WITNESS WHEREOF, the Parties have caused their duly authorized representative to execute this Amendment effective as of the Amendment Effective Date.</w:t>
      </w:r>
    </w:p>
    <w:p>
      <w:pPr>
        <w:spacing w:after="0" w:line="4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AMARIN PHARMACEUTICALS IRELAND LTD.</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Thomas G. Lynch</w:t>
            </w: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0" w:lineRule="exact"/>
              <w:rPr>
                <w:sz w:val="20"/>
                <w:szCs w:val="20"/>
                <w:color w:val="auto"/>
              </w:rPr>
            </w:pPr>
            <w:r>
              <w:rPr>
                <w:rFonts w:ascii="Arial" w:cs="Arial" w:eastAsia="Arial" w:hAnsi="Arial"/>
                <w:sz w:val="18"/>
                <w:szCs w:val="18"/>
                <w:color w:val="auto"/>
              </w:rPr>
              <w:t>Thomas G. Lynch</w:t>
            </w:r>
          </w:p>
        </w:tc>
      </w:tr>
      <w:tr>
        <w:trPr>
          <w:trHeight w:val="23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Director + Officer</w:t>
            </w:r>
          </w:p>
        </w:tc>
      </w:tr>
      <w:tr>
        <w:trPr>
          <w:trHeight w:val="635"/>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CHEMPORT INC.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Young Joo Kim</w:t>
            </w: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0" w:lineRule="exact"/>
              <w:rPr>
                <w:sz w:val="20"/>
                <w:szCs w:val="20"/>
                <w:color w:val="auto"/>
              </w:rPr>
            </w:pPr>
            <w:r>
              <w:rPr>
                <w:rFonts w:ascii="Arial" w:cs="Arial" w:eastAsia="Arial" w:hAnsi="Arial"/>
                <w:sz w:val="18"/>
                <w:szCs w:val="18"/>
                <w:color w:val="auto"/>
              </w:rPr>
              <w:t>Young Joo Kim</w:t>
            </w:r>
          </w:p>
        </w:tc>
      </w:tr>
      <w:tr>
        <w:trPr>
          <w:trHeight w:val="23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CEO/President</w:t>
            </w:r>
          </w:p>
        </w:tc>
      </w:tr>
    </w:tbl>
    <w:p>
      <w:pPr>
        <w:sectPr>
          <w:pgSz w:w="11900" w:h="16838" w:orient="portrait"/>
          <w:cols w:equalWidth="0" w:num="1">
            <w:col w:w="11420"/>
          </w:cols>
          <w:pgMar w:left="240" w:top="280" w:right="239" w:bottom="1440" w:gutter="0" w:footer="0" w:header="0"/>
        </w:sectPr>
      </w:pPr>
    </w:p>
    <w:bookmarkStart w:id="60" w:name="page61"/>
    <w:bookmarkEnd w:id="60"/>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u w:val="single" w:color="auto"/>
          <w:color w:val="auto"/>
        </w:rPr>
        <w:t>SCHEDULE 15.5(H)</w:t>
      </w:r>
    </w:p>
    <w:p>
      <w:pPr>
        <w:spacing w:after="0" w:line="9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u w:val="single" w:color="auto"/>
          <w:color w:val="auto"/>
        </w:rPr>
        <w:t>[***]</w:t>
      </w:r>
    </w:p>
    <w:p>
      <w:pPr>
        <w:sectPr>
          <w:pgSz w:w="11900" w:h="16838" w:orient="portrait"/>
          <w:cols w:equalWidth="0" w:num="1">
            <w:col w:w="11020"/>
          </w:cols>
          <w:pgMar w:left="240" w:top="280" w:right="6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Joseph Zakrzewski, certify that:</w:t>
      </w:r>
    </w:p>
    <w:p>
      <w:pPr>
        <w:spacing w:after="0" w:line="90"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60" w:hanging="446"/>
        <w:spacing w:after="0" w:line="259"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580" w:val="left"/>
          <w:tab w:leader="none" w:pos="7920" w:val="left"/>
        </w:tabs>
        <w:rPr>
          <w:sz w:val="20"/>
          <w:szCs w:val="20"/>
          <w:color w:val="auto"/>
        </w:rPr>
      </w:pPr>
      <w:r>
        <w:rPr>
          <w:rFonts w:ascii="Arial" w:cs="Arial" w:eastAsia="Arial" w:hAnsi="Arial"/>
          <w:sz w:val="18"/>
          <w:szCs w:val="18"/>
          <w:color w:val="auto"/>
        </w:rPr>
        <w:t>Date: August 8, 2012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Joseph Zakrzewski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Joseph Zakrzewski</w:t>
      </w:r>
    </w:p>
    <w:p>
      <w:pPr>
        <w:spacing w:after="0" w:line="1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90"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780" w:val="left"/>
          <w:tab w:leader="none" w:pos="8120" w:val="left"/>
        </w:tabs>
        <w:rPr>
          <w:sz w:val="20"/>
          <w:szCs w:val="20"/>
          <w:color w:val="auto"/>
        </w:rPr>
      </w:pPr>
      <w:r>
        <w:rPr>
          <w:rFonts w:ascii="Arial" w:cs="Arial" w:eastAsia="Arial" w:hAnsi="Arial"/>
          <w:sz w:val="18"/>
          <w:szCs w:val="18"/>
          <w:color w:val="auto"/>
        </w:rPr>
        <w:t>Date: August 8, 2012</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President (Principal Financial Officer)</w:t>
      </w:r>
    </w:p>
    <w:p>
      <w:pPr>
        <w:sectPr>
          <w:pgSz w:w="11900" w:h="16838" w:orient="portrait"/>
          <w:cols w:equalWidth="0" w:num="1">
            <w:col w:w="11420"/>
          </w:cols>
          <w:pgMar w:left="240" w:top="12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177"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Joseph Zakrzweski, Chief Executive Officer (Principal Executive Officer) of Amarin Corporation plc and John F. Thero, President (Principal Financial Officer) of the Company, each hereby certifies that, to the best of his knowledge:</w:t>
      </w:r>
    </w:p>
    <w:p>
      <w:pPr>
        <w:spacing w:after="0" w:line="26" w:lineRule="exact"/>
        <w:rPr>
          <w:sz w:val="20"/>
          <w:szCs w:val="20"/>
          <w:color w:val="auto"/>
        </w:rPr>
      </w:pPr>
    </w:p>
    <w:p>
      <w:pPr>
        <w:ind w:left="460" w:right="14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2012, to which this Certification is attached as Exhibit 32.1 (the “Quarterly Report”) fully complies with the requirements of Section 13(a) or 15(d) of the Securities Exchange Act of 1934; and</w:t>
      </w:r>
    </w:p>
    <w:p>
      <w:pPr>
        <w:spacing w:after="0" w:line="5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 at the end of such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Zakrzewski</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Date: August 8, 2012</w:t>
            </w:r>
          </w:p>
        </w:tc>
        <w:tc>
          <w:tcPr>
            <w:tcW w:w="5600" w:type="dxa"/>
            <w:vAlign w:val="bottom"/>
          </w:tcPr>
          <w:p>
            <w:pPr>
              <w:spacing w:after="0"/>
              <w:rPr>
                <w:sz w:val="20"/>
                <w:szCs w:val="20"/>
                <w:color w:val="auto"/>
              </w:rPr>
            </w:pPr>
            <w:r>
              <w:rPr>
                <w:rFonts w:ascii="Arial" w:cs="Arial" w:eastAsia="Arial" w:hAnsi="Arial"/>
                <w:sz w:val="18"/>
                <w:szCs w:val="18"/>
                <w:color w:val="auto"/>
              </w:rPr>
              <w:t>Joseph Zakrzweski</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582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Date: August 8, 2012</w:t>
            </w:r>
          </w:p>
        </w:tc>
        <w:tc>
          <w:tcPr>
            <w:tcW w:w="5600" w:type="dxa"/>
            <w:vAlign w:val="bottom"/>
          </w:tcPr>
          <w:p>
            <w:pPr>
              <w:spacing w:after="0"/>
              <w:rPr>
                <w:sz w:val="20"/>
                <w:szCs w:val="20"/>
                <w:color w:val="auto"/>
              </w:rPr>
            </w:pPr>
            <w:r>
              <w:rPr>
                <w:rFonts w:ascii="Arial" w:cs="Arial" w:eastAsia="Arial" w:hAnsi="Arial"/>
                <w:sz w:val="18"/>
                <w:szCs w:val="18"/>
                <w:color w:val="auto"/>
              </w:rPr>
              <w:t>John F. Thero</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President (Principal Financial Officer)</w:t>
            </w:r>
          </w:p>
        </w:tc>
      </w:tr>
    </w:tbl>
    <w:p>
      <w:pPr>
        <w:spacing w:after="0" w:line="15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2"/>
    </w:lvl>
  </w:abstractNum>
  <w:abstractNum w:abstractNumId="4">
    <w:nsid w:val="71F32454"/>
    <w:multiLevelType w:val="hybridMultilevel"/>
    <w:lvl w:ilvl="0">
      <w:lvlJc w:val="left"/>
      <w:lvlText w:val="(%1)"/>
      <w:numFmt w:val="decimal"/>
      <w:start w:val="3"/>
    </w:lvl>
  </w:abstractNum>
  <w:abstractNum w:abstractNumId="5">
    <w:nsid w:val="2CA88611"/>
    <w:multiLevelType w:val="hybridMultilevel"/>
    <w:lvl w:ilvl="0">
      <w:lvlJc w:val="left"/>
      <w:lvlText w:val="\endash "/>
      <w:numFmt w:val="bullet"/>
      <w:start w:val="1"/>
    </w:lvl>
  </w:abstractNum>
  <w:abstractNum w:abstractNumId="6">
    <w:nsid w:val="836C40E"/>
    <w:multiLevelType w:val="hybridMultilevel"/>
    <w:lvl w:ilvl="0">
      <w:lvlJc w:val="left"/>
      <w:lvlText w:val="(%1)"/>
      <w:numFmt w:val="decimal"/>
      <w:start w:val="4"/>
    </w:lvl>
  </w:abstractNum>
  <w:abstractNum w:abstractNumId="7">
    <w:nsid w:val="2901D82"/>
    <w:multiLevelType w:val="hybridMultilevel"/>
    <w:lvl w:ilvl="0">
      <w:lvlJc w:val="left"/>
      <w:lvlText w:val="(%1)"/>
      <w:numFmt w:val="decimal"/>
      <w:start w:val="5"/>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decimal"/>
      <w:start w:val="6"/>
    </w:lvl>
  </w:abstractNum>
  <w:abstractNum w:abstractNumId="10">
    <w:nsid w:val="1E7FF521"/>
    <w:multiLevelType w:val="hybridMultilevel"/>
    <w:lvl w:ilvl="0">
      <w:lvlJc w:val="left"/>
      <w:lvlText w:val="(%1)"/>
      <w:numFmt w:val="decimal"/>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emdash "/>
      <w:numFmt w:val="bullet"/>
      <w:start w:val="1"/>
    </w:lvl>
  </w:abstractNum>
  <w:abstractNum w:abstractNumId="15">
    <w:nsid w:val="4516DDE9"/>
    <w:multiLevelType w:val="hybridMultilevel"/>
    <w:lvl w:ilvl="0">
      <w:lvlJc w:val="left"/>
      <w:lvlText w:val="\emdash "/>
      <w:numFmt w:val="bullet"/>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emdash "/>
      <w:numFmt w:val="bullet"/>
      <w:start w:val="1"/>
    </w:lvl>
  </w:abstractNum>
  <w:abstractNum w:abstractNumId="19">
    <w:nsid w:val="5577F8E1"/>
    <w:multiLevelType w:val="hybridMultilevel"/>
    <w:lvl w:ilvl="0">
      <w:lvlJc w:val="left"/>
      <w:lvlText w:val="\emdash "/>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1"/>
      <w:numFmt w:val="decimal"/>
      <w:start w:val="1"/>
    </w:lvl>
    <w:lvl w:ilvl="1">
      <w:lvlJc w:val="left"/>
      <w:lvlText w:val="%2."/>
      <w:numFmt w:val="decimal"/>
      <w:start w:val="11"/>
    </w:lvl>
  </w:abstractNum>
  <w:abstractNum w:abstractNumId="37">
    <w:nsid w:val="725A06FB"/>
    <w:multiLevelType w:val="hybridMultilevel"/>
    <w:lvl w:ilvl="0">
      <w:lvlJc w:val="left"/>
      <w:lvlText w:val="%1."/>
      <w:numFmt w:val="decimal"/>
      <w:start w:val="12"/>
    </w:lvl>
    <w:lvl w:ilvl="1">
      <w:lvlJc w:val="left"/>
      <w:lvlText w:val="%2"/>
      <w:numFmt w:val="decimal"/>
      <w:start w:val="1"/>
    </w:lvl>
  </w:abstractNum>
  <w:abstractNum w:abstractNumId="38">
    <w:nsid w:val="2CD89A32"/>
    <w:multiLevelType w:val="hybridMultilevel"/>
    <w:lvl w:ilvl="0">
      <w:lvlJc w:val="left"/>
      <w:lvlText w:val="(%1)"/>
      <w:numFmt w:val="decimal"/>
      <w:start w:val="30"/>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6"/>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1."/>
      <w:numFmt w:val="decimal"/>
      <w:start w:val="7"/>
    </w:lvl>
  </w:abstractNum>
  <w:abstractNum w:abstractNumId="43">
    <w:nsid w:val="6DE91B18"/>
    <w:multiLevelType w:val="hybridMultilevel"/>
    <w:lvl w:ilvl="0">
      <w:lvlJc w:val="left"/>
      <w:lvlText w:val="%1."/>
      <w:numFmt w:val="decimal"/>
      <w:start w:val="8"/>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4"/>
    </w:lvl>
    <w:lvl w:ilvl="1">
      <w:lvlJc w:val="left"/>
      <w:lvlText w:val="(%2)"/>
      <w:numFmt w:val="lowerLetter"/>
      <w:start w:val="8"/>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2019-12-11T00:16:31Z</dcterms:created>
  <dcterms:modified xsi:type="dcterms:W3CDTF">2019-12-11T00:16:31Z</dcterms:modified>
</cp:coreProperties>
</file>