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color w:val="auto"/>
                <w:w w:val="88"/>
              </w:rPr>
              <w:t>(Exact name of registrant as specified in its charter)</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8"/>
              </w:rPr>
              <w:t>England and Wales</w:t>
            </w:r>
          </w:p>
        </w:tc>
        <w:tc>
          <w:tcPr>
            <w:tcW w:w="2260" w:type="dxa"/>
            <w:vAlign w:val="bottom"/>
            <w:gridSpan w:val="2"/>
          </w:tcPr>
          <w:p>
            <w:pPr>
              <w:jc w:val="center"/>
              <w:ind w:left="484"/>
              <w:spacing w:after="0"/>
              <w:rPr>
                <w:sz w:val="20"/>
                <w:szCs w:val="20"/>
                <w:color w:val="auto"/>
              </w:rPr>
            </w:pPr>
            <w:r>
              <w:rPr>
                <w:rFonts w:ascii="Arial" w:cs="Arial" w:eastAsia="Arial" w:hAnsi="Arial"/>
                <w:sz w:val="18"/>
                <w:szCs w:val="18"/>
                <w:b w:val="1"/>
                <w:bCs w:val="1"/>
                <w:color w:val="auto"/>
                <w:w w:val="89"/>
              </w:rPr>
              <w:t>Not applicable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60" w:type="dxa"/>
            <w:vAlign w:val="bottom"/>
            <w:gridSpan w:val="2"/>
          </w:tcPr>
          <w:p>
            <w:pPr>
              <w:jc w:val="center"/>
              <w:ind w:left="4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w w:val="88"/>
              </w:rPr>
              <w:t>incorporation or organization)</w:t>
            </w:r>
          </w:p>
        </w:tc>
        <w:tc>
          <w:tcPr>
            <w:tcW w:w="22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Identification No.)</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2 Pembroke House</w:t>
            </w: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90"/>
              </w:rPr>
              <w:t>Upper Pembroke Street 28-32, Dublin 2, Ireland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(Address of principal executive offices)</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80" w:type="dxa"/>
            <w:vAlign w:val="bottom"/>
            <w:gridSpan w:val="3"/>
          </w:tcPr>
          <w:p>
            <w:pPr>
              <w:jc w:val="center"/>
              <w:ind w:left="636"/>
              <w:spacing w:after="0"/>
              <w:rPr>
                <w:sz w:val="20"/>
                <w:szCs w:val="20"/>
                <w:color w:val="auto"/>
              </w:rPr>
            </w:pPr>
            <w:r>
              <w:rPr>
                <w:rFonts w:ascii="Arial" w:cs="Arial" w:eastAsia="Arial" w:hAnsi="Arial"/>
                <w:sz w:val="14"/>
                <w:szCs w:val="14"/>
                <w:color w:val="auto"/>
                <w:w w:val="86"/>
              </w:rPr>
              <w:t>(Registrant’s telephone number, including area code)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80" w:type="dxa"/>
            <w:vAlign w:val="bottom"/>
            <w:gridSpan w:val="5"/>
          </w:tcPr>
          <w:p>
            <w:pPr>
              <w:jc w:val="center"/>
              <w:ind w:right="180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gridSpan w:val="5"/>
          </w:tcPr>
          <w:p>
            <w:pPr>
              <w:jc w:val="center"/>
              <w:ind w:right="1800"/>
              <w:spacing w:after="0"/>
              <w:rPr>
                <w:sz w:val="20"/>
                <w:szCs w:val="20"/>
                <w:color w:val="auto"/>
              </w:rPr>
            </w:pPr>
            <w:r>
              <w:rPr>
                <w:rFonts w:ascii="Arial" w:cs="Arial" w:eastAsia="Arial" w:hAnsi="Arial"/>
                <w:sz w:val="18"/>
                <w:szCs w:val="18"/>
                <w:color w:val="auto"/>
                <w:w w:val="86"/>
              </w:rPr>
              <w:t>Ordinary Shares, 50 pence par value per share</w:t>
            </w:r>
          </w:p>
        </w:tc>
        <w:tc>
          <w:tcPr>
            <w:tcW w:w="29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00" w:type="dxa"/>
            <w:vAlign w:val="bottom"/>
            <w:gridSpan w:val="4"/>
          </w:tcPr>
          <w:p>
            <w:pPr>
              <w:jc w:val="center"/>
              <w:ind w:right="7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None</w:t>
            </w: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1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gridSpan w:val="2"/>
          </w:tcPr>
          <w:p>
            <w:pPr>
              <w:spacing w:after="0"/>
              <w:rPr>
                <w:sz w:val="13"/>
                <w:szCs w:val="13"/>
                <w:color w:val="auto"/>
              </w:rPr>
            </w:pP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8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500"/>
            <w:col w:w="6360" w:space="720"/>
            <w:col w:w="13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80"/>
            <w:col w:w="160" w:space="40"/>
            <w:col w:w="6240" w:space="720"/>
            <w:col w:w="1940" w:space="8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80"/>
            <w:col w:w="320" w:space="100"/>
            <w:col w:w="160" w:space="180"/>
            <w:col w:w="240" w:space="100"/>
            <w:col w:w="1820"/>
          </w:cols>
          <w:pgMar w:left="240" w:top="230" w:right="239" w:bottom="1440" w:gutter="0" w:footer="0" w:header="0"/>
          <w:type w:val="continuous"/>
        </w:sectPr>
      </w:pPr>
    </w:p>
    <w:p>
      <w:pPr>
        <w:ind w:right="44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2014 was approximately $277.0 million, based upon the closing price on the NASDAQ Capital Market reported for such date.</w:t>
      </w:r>
    </w:p>
    <w:p>
      <w:pPr>
        <w:spacing w:after="0" w:line="24"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176,228,632 shares held as American Depository Shares (ADS), each representing one Ordinary Share, 50 pence par value per share, and 865,904 Ordinary Shares, were outstanding as of March 2, 2015.</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16"/>
          </w:tcPr>
          <w:p>
            <w:pPr>
              <w:ind w:left="7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r>
      <w:tr>
        <w:trPr>
          <w:trHeight w:val="353"/>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4"/>
        </w:trPr>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60" w:type="dxa"/>
            <w:vAlign w:val="bottom"/>
            <w:gridSpan w:val="9"/>
          </w:tcPr>
          <w:p>
            <w:pPr>
              <w:spacing w:after="0"/>
              <w:rPr>
                <w:sz w:val="22"/>
                <w:szCs w:val="22"/>
                <w:color w:val="auto"/>
              </w:rPr>
            </w:pPr>
          </w:p>
        </w:tc>
        <w:tc>
          <w:tcPr>
            <w:tcW w:w="340" w:type="dxa"/>
            <w:vAlign w:val="bottom"/>
          </w:tcPr>
          <w:p>
            <w:pPr>
              <w:spacing w:after="0"/>
              <w:rPr>
                <w:sz w:val="22"/>
                <w:szCs w:val="22"/>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80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Unresolved Staff Comments</w:t>
              </w:r>
            </w:hyperlink>
          </w:p>
        </w:tc>
        <w:tc>
          <w:tcPr>
            <w:tcW w:w="780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Properties</w:t>
              </w:r>
            </w:hyperlink>
          </w:p>
        </w:tc>
        <w:tc>
          <w:tcPr>
            <w:tcW w:w="908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2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0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304"/>
        </w:trPr>
        <w:tc>
          <w:tcPr>
            <w:tcW w:w="10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1"/>
          </w:tcPr>
          <w:p>
            <w:pPr>
              <w:jc w:val="center"/>
              <w:ind w:right="4640"/>
              <w:spacing w:after="0"/>
              <w:rPr>
                <w:rFonts w:ascii="Arial" w:cs="Arial" w:eastAsia="Arial" w:hAnsi="Arial"/>
                <w:sz w:val="18"/>
                <w:szCs w:val="18"/>
                <w:b w:val="1"/>
                <w:bCs w:val="1"/>
                <w:color w:val="0000EE"/>
                <w:w w:val="96"/>
              </w:rPr>
            </w:pPr>
            <w:hyperlink w:anchor="page59">
              <w:r>
                <w:rPr>
                  <w:rFonts w:ascii="Arial" w:cs="Arial" w:eastAsia="Arial" w:hAnsi="Arial"/>
                  <w:sz w:val="18"/>
                  <w:szCs w:val="18"/>
                  <w:b w:val="1"/>
                  <w:bCs w:val="1"/>
                  <w:color w:val="0000EE"/>
                  <w:w w:val="96"/>
                </w:rPr>
                <w:t>PART II</w:t>
              </w:r>
            </w:hyperlink>
          </w:p>
        </w:tc>
        <w:tc>
          <w:tcPr>
            <w:tcW w:w="3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Selected Financial Data</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0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80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Financial Statements and Supplementary Data</w:t>
              </w:r>
            </w:hyperlink>
          </w:p>
        </w:tc>
        <w:tc>
          <w:tcPr>
            <w:tcW w:w="560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10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800" w:type="dxa"/>
            <w:vAlign w:val="bottom"/>
            <w:gridSpan w:val="2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34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808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304"/>
        </w:trPr>
        <w:tc>
          <w:tcPr>
            <w:tcW w:w="10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14"/>
          </w:tcPr>
          <w:p>
            <w:pPr>
              <w:jc w:val="center"/>
              <w:ind w:right="4300"/>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Directors, Executive Officers and Corporate Governance</w:t>
              </w:r>
            </w:hyperlink>
          </w:p>
        </w:tc>
        <w:tc>
          <w:tcPr>
            <w:tcW w:w="500" w:type="dxa"/>
            <w:vAlign w:val="bottom"/>
            <w:gridSpan w:val="2"/>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58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80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10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Certain Relationships and Related Transactions, and Director Independence</w:t>
              </w:r>
            </w:hyperlink>
          </w:p>
        </w:tc>
        <w:tc>
          <w:tcPr>
            <w:tcW w:w="44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80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304"/>
        </w:trPr>
        <w:tc>
          <w:tcPr>
            <w:tcW w:w="10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13"/>
          </w:tcPr>
          <w:p>
            <w:pPr>
              <w:jc w:val="center"/>
              <w:ind w:right="4600"/>
              <w:spacing w:after="0"/>
              <w:rPr>
                <w:rFonts w:ascii="Arial" w:cs="Arial" w:eastAsia="Arial" w:hAnsi="Arial"/>
                <w:sz w:val="18"/>
                <w:szCs w:val="18"/>
                <w:b w:val="1"/>
                <w:bCs w:val="1"/>
                <w:color w:val="0000EE"/>
                <w:w w:val="98"/>
              </w:rPr>
            </w:pPr>
            <w:hyperlink w:anchor="page92">
              <w:r>
                <w:rPr>
                  <w:rFonts w:ascii="Arial" w:cs="Arial" w:eastAsia="Arial" w:hAnsi="Arial"/>
                  <w:sz w:val="18"/>
                  <w:szCs w:val="18"/>
                  <w:b w:val="1"/>
                  <w:bCs w:val="1"/>
                  <w:color w:val="0000EE"/>
                  <w:w w:val="98"/>
                </w:rPr>
                <w:t>PART IV</w:t>
              </w:r>
            </w:hyperlink>
          </w:p>
        </w:tc>
        <w:tc>
          <w:tcPr>
            <w:tcW w:w="340" w:type="dxa"/>
            <w:vAlign w:val="bottom"/>
          </w:tcPr>
          <w:p>
            <w:pPr>
              <w:spacing w:after="0"/>
              <w:rPr>
                <w:sz w:val="24"/>
                <w:szCs w:val="24"/>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520" w:type="dxa"/>
            <w:vAlign w:val="bottom"/>
            <w:gridSpan w:val="1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5"/>
          </w:tcPr>
          <w:p>
            <w:pPr>
              <w:spacing w:after="0"/>
              <w:rPr>
                <w:sz w:val="17"/>
                <w:szCs w:val="17"/>
                <w:color w:val="auto"/>
              </w:rPr>
            </w:pPr>
          </w:p>
        </w:tc>
        <w:tc>
          <w:tcPr>
            <w:tcW w:w="46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10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3"/>
        </w:trPr>
        <w:tc>
          <w:tcPr>
            <w:tcW w:w="10860" w:type="dxa"/>
            <w:vAlign w:val="bottom"/>
            <w:gridSpan w:val="28"/>
          </w:tcPr>
          <w:p>
            <w:pPr>
              <w:spacing w:after="0"/>
              <w:rPr>
                <w:sz w:val="20"/>
                <w:szCs w:val="20"/>
                <w:color w:val="auto"/>
              </w:rPr>
            </w:pPr>
            <w:r>
              <w:rPr>
                <w:rFonts w:ascii="Arial" w:cs="Arial" w:eastAsia="Arial" w:hAnsi="Arial"/>
                <w:sz w:val="18"/>
                <w:szCs w:val="18"/>
                <w:color w:val="auto"/>
              </w:rPr>
              <w:t>SIGNATURES</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in its first approved indication, the MARINE indication; the potential for, conditions to, and timing of, approval of the Vascepa Supplemental New Drug Application, or sNDA, by the United States Food and Drug Administration, or FDA, in its potential second indication, the ANCHOR indication; the timing of enrollment, interim results or final results of our REDUCE-IT study; the safety and efficacy of our product candidates; potential for Vascepa to be marketed by partners outside of the United States; the scope of our intellectual property protection and the likelihood of securing additional patent protection; estimates of the potential markets for our product candidates; the likelihood of qualifying additional third party manufacturing suppliers and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2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Amarin Corporation plc (formerly Ethical Holdings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registered office is located at One New Change, London EC4M 9AF, England. Our principal offices are located at 2 Pembroke House, Upper Pembroke Street 28-32, Dublin 2 Ireland. Our primary office in the United States is located at 1430 Route 206, Bedminster, NJ 07921, USA. Our telephone number at that location is (908) 719-1315.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 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under which approximately 250 Kowa Pharmaceuticals America, Inc. sales representatives began to devote a substantial portion of their time to promoting Vascepa starting in May 2014. We operate in one business segment.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potential efficacy and safety of Vascepa (known in its development stage as AMR 101) was studied in two Phase 3 clinical trials, the MARINE trial and the ANCHOR trial. At a daily dose of 4 grams of Vascepa, the dose at which we requested and received FDA approval for Vascepa, these trials showed favorable clinical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daily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 The FDA has communicated to us that Vascepa demonstrated a reduction in triglycerides over placebo in the ANCHOR study and urged us to complete the REDUCE-IT cardiovascular outcomes study.</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alone as sufficient to establish the effectiveness of a drug intended to reduce cardiovascular risk in subjects with serum triglyceride levels below 500 mg/dL.</w:t>
      </w:r>
    </w:p>
    <w:p>
      <w:pPr>
        <w:spacing w:after="0" w:line="12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Beginning in November 2013, we sought reconsideration and appealed the SPA rescission decision to three levels of increasing authority within the FDA and were denied each time, most recently in September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Based on FDA’s repeated position in its appeal denials and its internal consultation with FDA officials at higher levels, we informed the FDA that we did not intend to appeal the SPA rescission further.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2013. Given our September 2014 determination to not appeal the SPA rescission further, we expect the FDA to take action on our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ANCHOR sNDA in the near future. The FDA has not committed to a specific date for this action.</w:t>
      </w:r>
    </w:p>
    <w:p>
      <w:pPr>
        <w:spacing w:after="0" w:line="16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are currently focused on the ongoing REDUCE-IT cardiovascular outcomes study of Vascepa.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indications for Vascepa beyond the indications studied in the ANCHOR and MARINE trials. In REDUCE-IT, cardiovascular event rates for patients on stable statin therapy plus four grams per day of Vascepa will be compared to cardiovascular event rates for patients on stable statin therapy plus placebo. The REDUCE-IT study is designed to be completed after reaching an aggregate number of cardiovascular events. Based on projected event rates, we estimate the REDUCE-IT study can be completed in or about 2017 with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The DMC has been more frequently examining interim reviews of the safety data from the study. Based on such safety reviews, the DMC has advised us that we should continue the study as planned. Amarin remains blinded to all data from the study. Over 90% of the 8,000 patients targeted for enrollment in the REDUCE-IT study have been enrolled.</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differentiated effects of the active ingredient in Vascepa, including the antioxidant properties and effects on inflammation markers associated with atherosclerosis. While various epidemiological data, genetics data, clinical data and outcomes data support a correlation between triglyceride levels and cardiovascular disease, the cardiovascular benefits of lowering triglycerides in the at-risk population being studied in REDUCE-IT has not previously been evaluated in a prospectively run, double blinded, placebo controlled outcomes study.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label expansion for Vascepa. There can be no assurance that we will be successful in our efforts to obtain a label expansion reflecting the ANCHOR clinical trial whether or not we obtain final positive results from the REDUCE-IT outcomes study. If the FDA does not approve the ANCHOR indication, it could have a material impact on our future results of operations and financial condition.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22, 2013, in an effort to lower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were made by the first half of 2014. As part of the reduction in force, we retained approximately 130 sales representatives, excluding sales management, in the United States in sales territories that we believe have demonstrated the greatest potential for Vascepa sales growth. This team covers the target base of physicians responsible for the majority of Vascepa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prescription volume and growth since its launch in early 2013. With these changes and the resulting target base coverage, as well as the addition of the promotional efforts of 250 sales representatives from Kowa Pharmaceuticals America, Inc. that began in May 2014, we anticipate continued Vascepa revenue growth over time. We also anticipate that such sales growth may be inconsistent from period to period.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We commenced the commercial launch of Vascepa in the United States in January 2013 with approximately 275 sales representatives. Vascepa has not yet been approved or commercially launched outside of the United States. In October 2013, we reduced our number of sales representatives in the United States to approximately 130, excluding sales management, to focus on the sales territories that we believe have demonstrated the greatest potential for Vascepa sales growth.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Inc. sales representatives began promoting Vascepa. We also employ various marketing personnel to support our commercialization of Vascepa. Our clinical and commercial supply is provided to us under agreements with various third-party suppliers. As of February 1, 2015, over 26,000 clinicians had written prescriptions for Vascepa.</w:t>
      </w:r>
    </w:p>
    <w:p>
      <w:pPr>
        <w:spacing w:after="0" w:line="120"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Under the co-promotion agreement with Kowa Pharmaceuticals America, Inc.,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is scheduled to increase from the high single digits in 2014, to mid-teen percent levels in 2015, and to the low twenty percent levels in 2018, subject to certain adjustments. The term of this co-promotion agreement expires December 31, 2018.</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December 31, 2014 was approximately 146,000 as compared to 132,000, 110,000, 93,000 and 94,000 prescriptions in the three months ended September 30, 2014, June 30, 2014, March 31, 2014 and December 31, 2013, respectively. According to data from another third party, IMS Health, the estimated number of normalized total Vascepa prescriptions for the three months ended December 31, 2014 was approximately 131,000 as compared to 113,000, 93,000, 78,000 and 79,000 prescriptions in the three months ended September 30, 2014, June 30, 2014 and March 31, 2014 and December 31, 2013,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 Timing of shipments to wholesalers, as used for revenue recognition purposes, and timing of prescriptions as estimated by these third parties may differ from period to period.</w:t>
      </w:r>
    </w:p>
    <w:p>
      <w:pPr>
        <w:spacing w:after="0" w:line="12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estimates and should not be relied upon as definitive. In addition, because we had limited selling history during the year ended December 31, 2013, we only recognized revenue on product that was resold for purposes of filling prescriptions. Those prescription data may differ from data reported by other third parties.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changes in the size of our sales force, our co-promotion agreement, and uncertainty regarding resolution of the ANCHOR sNDA with the FDA, we do not currently provide quantified revenue guidance.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secured managed care coverage for over 215 million lives, including as of February 1, 2015 over 125 million lives covered on Tier 2 for formulary purposes.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commercialization of a new pharmaceutical product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Update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September 2014, we announced our continued commitment to completing the ongoing REDUCE-IT cardiovascular outcomes study and outlined reasons why we believe that this study is positioned for success. This multinational, prospective, randomized, double-blind, placebo-controlled study is the first prospective cardiovascular outcomes study of any drug in a population of patients who, despite stable statin therapy, have elevated triglyceride levels.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over 7,300 patients enrolled in the REDUCE-IT study. We currently estimate that we will complete patient enrollment in this study within 2015. The REDUCE-IT study is designed to be completed after reaching an aggregate number of cardiovascular events. Based on projected event rates, we estimate the REDUCE-IT study can be completed in or about 2017 with results then expected to be available and published in 2018. Based on the results of REDUCE-IT, we may seek additional indicated uses for Vascepa beyond the indications studied in the ANCHOR or MARINE trials. An interim review of the efficacy and safety results of the trial is scheduled to occur upon reaching 60% of the target aggregate number of cardiovascular events. We currently expect this interim review by the independent data monitoring committee (DMC) to occur during 2016. As is typical, the statistical threshold for defining overwhelming efficacy on the primary endpoint and stopping the study early at the interim analysis is considerably higher than the threshold for defining statistical significance at the end of the study. Amarin remains blinded to all data from the study.</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differentiated effects of the active ingredient in Vascepa, including the antioxidant properties and effects on inflammation markers associated with atherosclerosis.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During 2013 and 2014, all of our active pharmaceutical ingredient, or API, was acquired through two suppliers, Nisshin and Chemport. Much of the inventory sold in 2014 was purchased in 2013 from Nisshin at a price which is higher than expected future average API costs.</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2014, we reached a settlement agreement with a former supplier, BASF, under which we received a refund for previous material purchases of $3.0 million, included within other income in the statement of operations. The amount of supply we seek to purchase in 2014 and beyond will depend on the level of growth of Vascepa revenues.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our cash and cash equivalents balance of $119.5 million at December 31, 2014 is sufficient to fund our projected operations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Heart attacks, strokes and other cardiovascular events represent the leading cause of death and disability among men and women in western societies. According to the Heart Disease and Stroke Statistics—2015 Update from the American Heart Association, more than 1 out of every 3 adults in the U.S. (approximately 86 million) currently lives with one or more types of cardiovascular disease; an estimated 935,000 new or recurrent coronary heart diseases (CHD) and 795,000 new or recurrent strokes occur each year; an estimated 31 million adults ³20 years of age have high total serum cholesterol levels (³240 mg/dL), and an estimated 74 million adults ³20 years of age have borderline high or high low-density lipoprotein (“bad”) cholesterol, or LDL-C, levels (³130 mg/dL).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cholesterol, lipoproteins such as LDL carry fats in the form of triglycerides. 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high density lipoprotein cholesterol (HDL-C; often called “good” cholesterol) and elevated levels of LDL-C. The effect of Vascepa on cardiovascular mortality and morbidity in patients with hypertriglyceridemia has not been determined.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Guidelines for the management of very high triglyceride levels (³500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(apo B), non-HDL-C, very low density lipoprotein cholesterol (VLDL-C), and HDL-C. The effect of Vascepa on the risk for pancreatitis in patients with hypertriglyceridemia has not been determined.</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It is estimated that over 40 million adults in the United States have elevated triglyceride levels </w:t>
      </w:r>
      <w:r>
        <w:rPr>
          <w:rFonts w:ascii="Arial" w:cs="Arial" w:eastAsia="Arial" w:hAnsi="Arial"/>
          <w:sz w:val="18"/>
          <w:szCs w:val="18"/>
          <w:u w:val="single" w:color="auto"/>
          <w:color w:val="auto"/>
        </w:rPr>
        <w:t>&gt;</w:t>
      </w:r>
      <w:r>
        <w:rPr>
          <w:rFonts w:ascii="Arial" w:cs="Arial" w:eastAsia="Arial" w:hAnsi="Arial"/>
          <w:sz w:val="18"/>
          <w:szCs w:val="18"/>
          <w:color w:val="auto"/>
        </w:rPr>
        <w:t>200 mg/dL and approximately 3 to 4 million people in the United States have very high triglyceride levels (³500 mg/dL). Since 1976, mean triglyceride levels have increased, in concert with the growing epidemic of obesity, insulin resistance, and type 2 diabetes mellitus. In contrast, mean LDL-C levels have decreased.</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is estimated that approximately 4% or less of U.S. adults with triglyceride levels ³200 mg/dL are currently receiving prescription medication for lowering triglycerides. Many of these patients are taking statin therapy directed primarily at lowering their LDL-C levels.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leading treatments to lower triglyceride levels are fibrates (fenofibrate and gemfibrozil), statins and a prescription only omega-3 fatty acid mixture, known as Lovaza</w:t>
      </w:r>
      <w:r>
        <w:rPr>
          <w:rFonts w:ascii="Arial" w:cs="Arial" w:eastAsia="Arial" w:hAnsi="Arial"/>
          <w:sz w:val="10"/>
          <w:szCs w:val="10"/>
          <w:color w:val="auto"/>
        </w:rPr>
        <w:t>®</w:t>
      </w:r>
      <w:r>
        <w:rPr>
          <w:rFonts w:ascii="Arial" w:cs="Arial" w:eastAsia="Arial" w:hAnsi="Arial"/>
          <w:sz w:val="16"/>
          <w:szCs w:val="16"/>
          <w:color w:val="auto"/>
        </w:rPr>
        <w:t xml:space="preserve"> in the United States, and as Omacor</w:t>
      </w:r>
      <w:r>
        <w:rPr>
          <w:rFonts w:ascii="Arial" w:cs="Arial" w:eastAsia="Arial" w:hAnsi="Arial"/>
          <w:sz w:val="10"/>
          <w:szCs w:val="10"/>
          <w:color w:val="auto"/>
        </w:rPr>
        <w:t>®</w:t>
      </w:r>
      <w:r>
        <w:rPr>
          <w:rFonts w:ascii="Arial" w:cs="Arial" w:eastAsia="Arial" w:hAnsi="Arial"/>
          <w:sz w:val="16"/>
          <w:szCs w:val="16"/>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 The use of gemfibrozil can lead to rhabdomyolysis (severe breakdown of muscles), especially when used with a statin. Lovaza is comprised of omega-3 ethyl esters, which the FDA has described as a complex mixture of eicosapentaenoic acid, or EPA, docosahexaenoic acid, or DHA, and other fatty acids. We believe that DHA may increase LDL-C levels and thereby partially offset one of the typically desired benefits of lipid-lowering therapies, which is lowering LDL-C. Also, in 2012, the FDA required an update to Lovaza product labeling to reflect the risk that Lovaza may increase the frequency of a heart rhythm problem known as atrial fibrillation, or heart flutter.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Vascepa is comprised of not less than 96% pure icosapent ethyl, or ethyl-EPA, and contains no DHA. We believe that the removal of DHA mitigates against the LDL-C raising effect observed in omega-3 compositions that include DHA, as well as removing the fishy taste and smell that is sometimes associated with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1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believe that the results of the MARINE trial and Vascepa’s EPA only/DHA-free composition suggest that Vascepa has the potential to become a “best-in-class” triglyceride-lowering agent in the United States and the European Union. In addition, currently no omega-3 based product is approved in the United States for lowering high triglycerides in patients with mixed dyslipidemia. If approved in that indication, Vascepa has the potential to become “first-in-class” in the prescription-only omega-3 market for lowering triglycerides in patients with mixed dyslipidemia. If the REDUCE-IT cardiovascular outcomes study is successful, Vascepa could be the first omega-3 based therapy approved for prevention of cardiovascular events as an add-on to statin therapy in this population.</w:t>
      </w:r>
    </w:p>
    <w:p>
      <w:pPr>
        <w:spacing w:after="0" w:line="10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believe the potential market for Vascepa is large and growing. We estimate that drug treatment for hypercholesterolemia patients exceeds $57 billion per year in the United States, with sales dominated by statin therapies. U.S. sales of fibrates as a class of products were approximately $3.4 billion in 2014 with generic fenofibrate and gemfibrozil leading the class. U.S. gross sales of prescription omega-3 therapies in 2014 were over $1.3 billion with Lovaza and generic Lovaza leading the class.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MARINE Trial (basis for currently FDA approved label for Vascepa)</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MARINE trial, the largest study ever conducted with the omega-3 fatty acid ethyl EPA in treating patients with very high triglycerides (³500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Special Protocol Assessment, or SPA, agreement with the FDA.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 treated groups (-18% for the 4-gram group [p &lt; 0.001] and -8% for the 2-gram group [p &lt; 0.05]).</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grams doses.</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 (basis for sNDA submitted to FDA seeking expanded indication for Vascepa)</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ANCHOR trial was a multi-center, placebo-controlled, randomized, double-blind, 12-week pivotal study in patients with high triglycerides (³200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A recently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a pending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8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ANCHOR trial clinical study was conducted under an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2013. Given our September 2014 determination to not appeal the SPA rescission further, we expect the FDA to take action on our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ANCHOR sNDA in the near future. The FDA has not committed to a specific date for this action.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In Japan, ethyl-EPA is marketed under the product name of Epadel by Mochida Pharmaceutical Co. and is indicated for hyperlipidemia and peripheral vascular disease. Clinical data from Japan suggests that Epadel is effective in reducing triglycerides. In addition,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³150 mg/dL ( median of 272 mg/dL at entry) and HDL-</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 &lt;40 mg/dL. Epadel has been approved and available by prescription in Japan for over a decade. In 2013, the Japan Ministry of Health approved Epadel for over-the-counter sales.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Vascepa</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Prior to commencing the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receiving continuous treatment for a year or more. In all studies performed to date, Vascepa has shown a favorable safety and tolerability profile. In both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REDUCE-IT Study (currently ongoing cardiovascular outcomes study)</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August 2011, we reached agreement with the FDA on an SPA for the design of the REDUCE-IT (Reduction of Cardiovascular Events with EPA— Intervention Trial) cardiovascular outcomes study. In May 2013, we amended the patient enrollment criteria within the SPA agreement with the FDA.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An SPA is generally binding upon the FDA unless a substantial scientific issue essential to determining safety or efficacy of the drug is identified after the testing begins. Moreover, any change to a study protocol can invalidate an SPA.</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2011, we engaged a clinical research organization, or CRO, and began initial trial and clinical site preparation for REDUCE-IT. In December 2011, we announced that the first patient was dosed in the study. The study duration is dependent on the rate of clinical events in the study which rate may be affected by the number of patients enrolled in the study, the epidemiology of the patients enrolled in the study, and the length of time that the enrolled patients are followed. Based on preliminary assumptions for patient enrollment rates and the clinical profile of these patients, it is assumed that fewer than 10,000 patients will be required to complete the study with an optimized target in which the study is completed in approximately six years of 8,000 patients.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REDUCE-IT study is designed to evaluate the efficacy of Vascepa in reducing major cardiovascular events in an at-risk patient population also receiving statin therapy. REDUCE-IT is a multi-center,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is comprised of patients on optimized statin therapy plus placebo. The active arm of the study is comprised of patients on optimized statin therapy plus Vascepa. All subjects enrolled in the study will have elevated triglyceride levels and either coronary heart disease or risk factors for coronary heart disease. This study is being conducted internationally.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currently expect that final positive results of the REDUCE-IT study will be required for FDA approval of Vascepa for the ANCHOR indication based on communications from the FDA. Based on the results of REDUCE-IT, we may seek additional indications for Vascepa beyond the indications studied in the ANCHOR and MARINE trials such as a potential indicated uses for prevention of cardiovascular events, although there can be no assurance as to whether the results of the study will support any such indication.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resolution of the ANCHOR sNDA with the FDA. If we do not receive FDA approval for the ANCHOR indication, we may suspend further development of AMR102.</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development activities are at formulation or pre-clinical stages.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use third party manufacturers and suppliers to manufacture clinical and commercial quantities of ethyl-EPA, which constitutes the only active pharmaceutical ingredient, or API, within Vascepa, to encapsulate, bottle and package Vascepa and to maintain inventory of Vascepa. The FDA approval of Vascepa in July 2012 included the approval of one API manufacturer, Nisshin Pharma, Inc., or Nisshin, and one API encapsulator, Patheon, Inc., or Patheon (formerly Banner Pharmacaps Europe BV). Nisshin and Patheon are the API manufacturer and API encapsulator, respectively, with which we have had the longest working relationships. Their facilities were inspected by regulatory authorities as part of the process that led to the FDA’s July 2012 approval of Vascepa, and we believe that the facilities are qualified to continue to support our commercialization of Vascepa.</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currently rely exclusively on Patheon for the encapsulation of Vascepa and we have encapsulation agreements with two other qualified commercial API encapsulators.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purchasing API from Nisshin, we have also purchased API from Chemport, Inc., or Chemport. In December 2012, we announced our submissions of two sNDAs to the FDA seeking approval for Chemport and BASF (formerly Equateq Limited) as additional Vascepa API suppliers. In April 2013, the FDA approved our sNDAs covering Chemport and BASF as additional Vascepa API suppliers. On December 30, 2013, we issued a notice of termination of our API agreement to BASF as a result of BASF’s non-compliance with the terms of such agreement period and the agreement subsequently terminated in the first quarter of 2014. In December 2012, we announced an agreement with an exclusive consortium of companies led by Slanmhor Pharmaceutical, Inc., or Slanmhor. Slanmhor was spun-out from Ocean Nutrition Canada, or ONC, prior to the May 2012 acquisition of ONC by Royal DSM N.V. We submitted a sNDA in August 2013 seeking FDA approval for this supplier to manufacture Vascepa API and in July 2014 the FDA approved our sNDA for Slanmhor as an API supplier. If the facility contemplated to manufacture Vascepa API is able to complete the process validation required for manufacture of API, it may become an additional qualified worldwide supplier of API for Vascepa to utilize in supporting the global commercialization of Vascepa.</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API material that constitutes ethyl-EPA is a naturally occurring substance which is sourced from qualified producers of fish oil. A limited number of other manufacturers have the ability, know-how and suitable facilities to produce ethyl-EPA to a similar level of purity. Among the conditions for FDA approval of a pharmaceutical product is the requirement that the manufacturer’s quality control and manufacturing procedures conform to current Good Manufacturing Practice, or cGMP, which must be followed at all times. The FDA typically inspects manufacturing facilities before regulatory approval of a product candidate, such as Vascepa, and on an ongoing basis. In complying with cGMP regulations, pharmaceutical manufacturers must expend resources and time to ensure compliance with product specifications as well as production, record keeping, quality control, reporting, and other requirements.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agreements with our API suppliers include minimum purchase commitments. During 2013 and 2014 we fully met the aggregate minimum purchase requirements for metric tons of API contained in our supply agreements. We may purchase more than the minimum requirements. Certain of these agreements contemplate phased capacity expansion aimed at creating sufficient capacity to meet anticipated demand for API material for Vascepa. Accordingly, certain of these suppliers are currently working to expand their production capabilities to manufacture the API for Vascepa. These API suppliers are self-funding these expansion and qualification plans with contributions from Amarin. There can be no assurance that additional suppliers will fully fund the capital costs of our engagement or that these additional suppliers will successfully qualify with the FDA. These contracts contain provisions for making lesser payments to these suppliers in lieu of purchasing the full minimum purchase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Plans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January 2013, we commenced our full commercial launch of Vascepa in the United States for use in the MARINE indication with a direct sales force of approximately 275 sales representatives. In October 2013, we lowered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managers. We also employ various marketing and medical affairs personnel to support our commercialization of Vascepa. We currently target clinicians who are top prescribers of lipid regulating therapies. Commencing in the middle of the second quarter of 2014, in addition to promotion by our sales representatives, approximately 250 Kowa Pharmaceuticals America, Inc. sales representatives began promoting Vascepa. We also employ various marketing personnel to support our commercialization of Vascepa. As of February 1, 2015, over 26,000 clinicians had written prescriptions for Vascepa.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0"/>
          <w:szCs w:val="10"/>
          <w:color w:val="auto"/>
        </w:rPr>
        <w:t>®</w:t>
      </w:r>
      <w:r>
        <w:rPr>
          <w:rFonts w:ascii="Arial" w:cs="Arial" w:eastAsia="Arial" w:hAnsi="Arial"/>
          <w:sz w:val="16"/>
          <w:szCs w:val="16"/>
          <w:color w:val="auto"/>
        </w:rPr>
        <w:t>, a prescription-only omega-3 fatty acid indicated for patients with severe hypertriglyceridemia received FDA approval in 2004 and has been on the market in the United States since 2005. As described below, generic versions of Lovaza are now available in the United States. Other large companies with competitive products include AbbVie, Inc., which currently markets Tricor</w:t>
      </w:r>
      <w:r>
        <w:rPr>
          <w:rFonts w:ascii="Arial" w:cs="Arial" w:eastAsia="Arial" w:hAnsi="Arial"/>
          <w:sz w:val="10"/>
          <w:szCs w:val="10"/>
          <w:color w:val="auto"/>
        </w:rPr>
        <w:t>®</w:t>
      </w:r>
      <w:r>
        <w:rPr>
          <w:rFonts w:ascii="Arial" w:cs="Arial" w:eastAsia="Arial" w:hAnsi="Arial"/>
          <w:sz w:val="16"/>
          <w:szCs w:val="16"/>
          <w:color w:val="auto"/>
        </w:rPr>
        <w:t xml:space="preserve"> and Trilipix</w:t>
      </w:r>
      <w:r>
        <w:rPr>
          <w:rFonts w:ascii="Arial" w:cs="Arial" w:eastAsia="Arial" w:hAnsi="Arial"/>
          <w:sz w:val="10"/>
          <w:szCs w:val="10"/>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May 2014,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This product has not yet been launched. However, we expect AstraZeneca will utilize its substantial commercial resources to market its product. Also, in April 2014, Omtryg, another omega-3-acid fatty acid composition developed by</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Trygg Pharma AS, received FDA approval for severe hypertriglyceridemia. We are not aware of the commercialization plan for Omtryg. Each of these competitors, other than possibly Trygg, has greater resources than we do, including financial, product development, marketing, personnel and other resources.</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Pronova/BASF granted Apotex a license to enter the United States market with a generic version of Lovaza in the first quarter of 2015.</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Sancilio &amp; Company is preparing to commence Phase 3 clinical testing of its compound SC401B in hypertriglyceridemia. In addition, there are two firms that are developing products in Phase 2 testing, Isis Pharmaceuticals and Catabasis Pharmaceuticals. Isis announced favorable Phase 2 results of ISIS-APOCIIIRx a drug candidate administered through weekly subcutaneous injections, in patients with high triglycerides and type 2 diabetes and in patients with moderate to severe high triglycerides (&gt;880 mg/dL). To our knowledge, Catabasis initiated a Phase 2 clinical trial of its product CAT-2003 in December 2013 for severe hypertriglyceridemia and rare chylomicronemia. There are other products in Phase 1 development by Thetis Pharmaceuticals and Resolyvx Pharmaceuticals. Thetis has TP-943, which is a unique salt form of EPA that is being tested for hypertriglyceridemia. Resolvyx’s compound RX-10001 is being evaluated across various indications, including hypertriglyceridemia. In addition, we are aware that Matinas BioPharma, Inc. is developing an omega-3-based therapeutic MAT-9001 for the treatment of severe hypertriglyceridemia and mixed dyslipidemia. Matinas BioPharma, Inc. is currently testing the product in Phase 2 studies. Finally, Madrigal Pharmaceuticals has completed Phase 1 clinical testing of MGL-3196 for the treatment of high triglycerides and various lipid parameters in patients.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Vascepa also faces competition from dietary supplement companies marketing omega-3 products as nutritional supplements. We cannot be sure physicians and pharmacists will view the FDA-approved prescription-only status, EPA-only purity of Vascepa and stringent regulatory oversight as significant advantages versus omega-3 supplements.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expect that generic drug companies will seek to challenge the validity and enforceability of our patents and work toward FDA approval for generic versions of Vascepa.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Our drugs must be approved by the FDA through the NDA process before they may be legally marketed in the United States. For new chemical entities, the pre-clinical development stage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generally involves synthesizing the active component, developing the formulation and determining the manufacturing process, as well as carrying out non-human toxicology, pharmacology and drug metabolism studies which support subsequent clinical testing.</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they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marketing a drug in the United States.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extensive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European Union, or E.U., our future products may also be subject to extensive regulatory requirements. As in the United States, the marketing of medicinal products has been subject to the granting of marketing authorizations by regulatory agencies. Particular emphasis is also being placed on more sophisticated and faster procedures for reporting of adverse events to the competent authorities.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Similar to the United States, the various phases of pre-clinical and clinical research in the E.U. are subject to significant regulatory controls. Although the regulatory controls on clinical research are currently undergoing a harmonization process following the adoption of the Clinical Trials Directive 2001/20/EC, there are currently significant variations in the member state regimes. However, all member states currently require independent institutional review board approval of interventional clinical trials. With the exception of U.K. Phase 1 studies in healthy volunteers, all clinical trials require either prior governmental notification or approval. Most regulators also require the submission of adverse event reports during a study and a copy of the final study report.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the E.U., approval of new medicinal products can be obtained through one of three processes: the mutual recognition procedure, the centralized procedure and the decentralized procedure.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Mutual Recognition Procedure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 applicant submits an application in one E.U. member state, known as the reference member state. Once the reference member state has granted the marketing authorization, the applicant may choose to submit applications in other concerned member states, requesting them to mutually recognize the marketing authorizations already granted. Under this mutual recognition process, authorities in other concerned member states have 55 days to raise objections, which must then be resolved by discussions among the concerned member states, the reference member state and the applicant within 90 days of the commencement of the mutual recognition procedure. If any disagreement remains, all considerations by authorities in the concerned member states are suspended and the disagreement is resolved through an arbitration process. The mutual recognition procedure results in separate national marketing authorizations in the reference member state and each concerned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Centralized Procedure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procedure is currently mandatory for products developed by means of a biotechnological process and optional for new active substances and other “innovative medicinal products with novel characteristics.” Under this procedure, an application is submitted to the European Agency for the Evaluation of Medical Products. Two European Union member states are appointed to conduct an initial evaluation of each application. These countries each prepare an assessment report that is then used as the basis of a scientific opinion of the Committee on Proprietary Medical Products. If this opinion is favorable, it is sent to the European Commission, which drafts a decision. After consulting with the member states, the European Commission adopts a decision and grants a marketing authorization, which is valid throughout the European Union and confers the same rights and obligations in each of the member states as a marketing authorization granted by that member state.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Decentralized Procedure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most recently introduced of the three processes for obtaining approval of new medicinal processes in the E.U., the decentralized procedure is similar to the mutual recognition procedure described above, but with differences in the timing that key documents are provided to concerned member states by the reference member state, the overall timing of the procedure and the possibility of “clock stops” during the procedure, among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Following approval of a new product, a pharmaceutical company generally must engage in numerous specific monitoring and recordkeeping activities and continue to submit periodic and other reports to the 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U.S. Federal Food, Drug, and Cosmetic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using, or causing to be made or used,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false statement to get a false claim paid.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company’s marketing of the product for unapproved, and thus non-reimbursable, uses.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of the breadth of these laws and the narrowness of the safe harbors, it is possible that some of our business activities could be subject to challenge under one or more of such laws. Such a challenge could have a material adverse effect on our business, financial condition and results of operations. As a company marketing an FDA-approved product in the United States, our operations may be directly, or indirectly through our customers, subject to various federal and state fraud and abuse laws, including, without limitation, the federal anti-kickback statute.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9" w:lineRule="exact"/>
        <w:rPr>
          <w:sz w:val="20"/>
          <w:szCs w:val="20"/>
          <w:color w:val="auto"/>
        </w:rPr>
      </w:pPr>
    </w:p>
    <w:p>
      <w:pPr>
        <w:ind w:left="900" w:right="6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Most recently, in March 2010 the Patient Protection and Affordable Care Act, as amended by the Health Care and Education Reconciliation Act, or collectively the PPACA, was enacted, which includes measures to significantly change the way healthcare is financed by both governmental and private insurers. Among the provisions of the PPACA of greatest importance to the pharmaceutical and biotechnology industry are the following:</w:t>
      </w:r>
    </w:p>
    <w:p>
      <w:pPr>
        <w:spacing w:after="0" w:line="2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others, including reporting any “transfer of value” made or distributed to prescribers and other healthcare providers and reporting any investment interests held by physicians and their immediate family members;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Marketing Exclusivity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NCE marketing exclusivity, not granted to Vascepa, precludes approval during the five-year exclusivity period of certain 505(b)(2) applications and abbreviated new drug applications, or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 45 days, and Amarin may also be afforded a judicial extension if applicable requirements are met. Currently, Amarin believes its 30-month stay extends until September 2016. This three-year form of exclusivity may also not prevent the FDA from approving an NDA that relies only on its own data to support the change or innovation.</w:t>
      </w:r>
    </w:p>
    <w:p>
      <w:pPr>
        <w:spacing w:after="0" w:line="108"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stay the continuation of currently pending ANDA-related patent litigation. The legal process can be costly and time-consuming and even if we are successful the remedies available to us diminish in value over time as we approach the natural expiration of the benefits associated with five-year exclusivity.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plan to seek regulatory exclusivity for Vascepa in Europe. There can be no assurance that we will be successful in securing marketing approval or regulatory exclusivity in the United States or in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35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February 20, 2015 we had 201 full-time employees employed in sales, marketing, general and administrative and research and development functions.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relations with our employees are good.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February 20, 2015,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0"/>
              </w:rPr>
              <w:t>Country of</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Subsidiary Name</w:t>
            </w:r>
          </w:p>
        </w:tc>
        <w:tc>
          <w:tcPr>
            <w:tcW w:w="5840" w:type="dxa"/>
            <w:vAlign w:val="bottom"/>
            <w:vMerge w:val="restart"/>
          </w:tcPr>
          <w:p>
            <w:pPr>
              <w:spacing w:after="0"/>
              <w:rPr>
                <w:sz w:val="12"/>
                <w:szCs w:val="12"/>
                <w:color w:val="auto"/>
              </w:rPr>
            </w:pPr>
          </w:p>
        </w:tc>
        <w:tc>
          <w:tcPr>
            <w:tcW w:w="20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Ownership Interest and</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04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6"/>
              </w:rPr>
              <w:t>or Registration</w:t>
            </w:r>
          </w:p>
        </w:tc>
        <w:tc>
          <w:tcPr>
            <w:tcW w:w="1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Voting Power Held</w:t>
            </w:r>
          </w:p>
        </w:tc>
        <w:tc>
          <w:tcPr>
            <w:tcW w:w="0" w:type="dxa"/>
            <w:vAlign w:val="bottom"/>
          </w:tcPr>
          <w:p>
            <w:pPr>
              <w:spacing w:after="0"/>
              <w:rPr>
                <w:sz w:val="1"/>
                <w:szCs w:val="1"/>
                <w:color w:val="auto"/>
              </w:rPr>
            </w:pPr>
          </w:p>
        </w:tc>
      </w:tr>
      <w:tr>
        <w:trPr>
          <w:trHeight w:val="20"/>
        </w:trPr>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94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Ireland</w:t>
            </w:r>
          </w:p>
        </w:tc>
        <w:tc>
          <w:tcPr>
            <w:tcW w:w="110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0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Scotland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0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Our registered office is located at One New Change, London EC4M 9AF, England. Our principal offices are located at 2 Pembroke House, Upper Pembroke Street 28-32, Dublin 2 Ireland. Our primary offices in the United States are located at 1430 Route 206, Bedminster, NJ 07921, USA. Our telephone number at that location is (908) 719-1315. Our website address is </w:t>
      </w:r>
      <w:r>
        <w:rPr>
          <w:rFonts w:ascii="Arial" w:cs="Arial" w:eastAsia="Arial" w:hAnsi="Arial"/>
          <w:sz w:val="18"/>
          <w:szCs w:val="18"/>
          <w:i w:val="1"/>
          <w:iCs w:val="1"/>
          <w:color w:val="auto"/>
        </w:rPr>
        <w:t>www.amarincorp.com.</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Ltd, or Ester Neurosciences Limited.</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a portion of which were exchanged in May 2014. The notes are the senior unsecured obligations of Corsicanto and are guaranteed by Amarin Corporation plc. Corsicanto was formed in November 2011 and was subsequently acquired by Amarin in January 2012 for the sole purpose of facilitating this financing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as well as any amendments to such reports, available on our internet website, free of charge, as soon as reasonably practicable after such material is electronically filed with, or furnished to, the SEC.</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240" w:right="480"/>
        <w:spacing w:after="0" w:line="259" w:lineRule="auto"/>
        <w:rPr>
          <w:sz w:val="20"/>
          <w:szCs w:val="20"/>
          <w:color w:val="auto"/>
        </w:rPr>
      </w:pPr>
      <w:r>
        <w:rPr>
          <w:rFonts w:ascii="Arial" w:cs="Arial" w:eastAsia="Arial" w:hAnsi="Arial"/>
          <w:sz w:val="18"/>
          <w:szCs w:val="18"/>
          <w:b w:val="1"/>
          <w:bCs w:val="1"/>
          <w:i w:val="1"/>
          <w:iCs w:val="1"/>
          <w:color w:val="auto"/>
        </w:rPr>
        <w:t>Our ability to generate increased revenue over the next few years depends, in part, on our ability to expand marketing approval beyond the currently approved MARINE indication. Based on our communications with the FDA, we currently expect that final positive results from the REDUCE-IT outcomes study will be required for label expansion for Vascepa.</w:t>
      </w:r>
    </w:p>
    <w:p>
      <w:pPr>
        <w:spacing w:after="0" w:line="5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who are also on statin therapy, which we refer to as the ANCHOR indication. On October 16, 2013 the FDA convened an advisory committee meeting to review the sNDA for the ANCHOR indication. At the meeting, the advisory committee voted 9 to 2 against recommending approval of Vascepa, based on the following question:</w:t>
      </w:r>
    </w:p>
    <w:p>
      <w:pPr>
        <w:spacing w:after="0" w:line="63"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there was also extensive discussion during the advisory committee meeting regarding the expected clinical benefit of a reduction in TGs in this patient population. That is, whether the clinical data derived from the ANCHOR trial was a sufficient basis for approval. In particular, the advisory committee and 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committee, but it generally follows such recommendations.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The FDA determined, consistent with discussion at the advisory committee meeting,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FDA did not meet the originally assigned Prescription Drug User Fee Act, or PDUFA, goal date of December 20, 2013 for the completion of its review of the ANCHOR sNDA because of the pendency of our request to re-instate the ANCHOR SPA agreement.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 Given our September 2014 determination to not appeal the SPA rescission further, we expect the FDA to take action on our pending ANCHOR sNDA in the near future.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FDA approval of label expansion for Vascepa. Any delay in obtaining, or an inability to obtain, expansion of our marketing approval rights could prevent us from growing revenue at greater than our current pace and could therefore have a material adverse effect on our operations and financial condition, including our ability to reach profitability.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 of our recent reduction in force and regulatory events on our ability to contact potential purchasers of Vascepa in an efficient manner;</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addition, we believe that investors should view with caution both the results for the twelve months ended December 31, 2014 and the results for quarterly periods for the foreseeable future, as data for this limited period may not be representative of a trend consistent with the results presented or otherwise predictive of future results, especially in light of competitive developments in the market in which we operate, our interactions with FDA on potential label expansions with Vascepa, the October 2013 approximately 50% reduction in our sales force, and the March 2014 co-promotion Agreement with Kowa Pharmaceuticals America, Inc. We commenced our commercial launch of Vascepa on January 28, 2013. Accordingly, there is a very limited amount of information available at this time to determine the actual number of total prescriptions for Vascepa. We believe investors should consider our results to date together with results over several future quarters, or longer, before making an assessment about potential future performance.</w:t>
      </w:r>
    </w:p>
    <w:p>
      <w:pPr>
        <w:spacing w:after="0" w:line="118" w:lineRule="exact"/>
        <w:rPr>
          <w:sz w:val="20"/>
          <w:szCs w:val="20"/>
          <w:color w:val="auto"/>
        </w:rPr>
      </w:pPr>
    </w:p>
    <w:p>
      <w:pPr>
        <w:jc w:val="both"/>
        <w:ind w:right="460" w:firstLine="456"/>
        <w:spacing w:after="0" w:line="370" w:lineRule="auto"/>
        <w:rPr>
          <w:sz w:val="20"/>
          <w:szCs w:val="20"/>
          <w:color w:val="auto"/>
        </w:rPr>
      </w:pPr>
      <w:r>
        <w:rPr>
          <w:rFonts w:ascii="Arial" w:cs="Arial" w:eastAsia="Arial" w:hAnsi="Arial"/>
          <w:sz w:val="15"/>
          <w:szCs w:val="15"/>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 and any future approved indications;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13"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SPA agreement for ANCHOR has been rescinded and our SPA agreement for REDUCE-IT is not a guarantee of FDA approval of Vascepa for the proposed REDUCE-IT indication.</w:t>
      </w:r>
    </w:p>
    <w:p>
      <w:pPr>
        <w:spacing w:after="0" w:line="51"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drugs failed to support the hypothesis that a triglyceride-lowering drug significantly reduces the risk for cardiovascular events among the population studied in the ANCHOR trial.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Thus, even though we have received regulatory approval of Vascepa for the MARINE indication under an SPA agreement, our ANCHOR SPA agreement was rescinded and there is no assurance that the FDA will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0"/>
          <w:szCs w:val="10"/>
          <w:color w:val="auto"/>
        </w:rPr>
        <w:t>®</w:t>
      </w:r>
      <w:r>
        <w:rPr>
          <w:rFonts w:ascii="Arial" w:cs="Arial" w:eastAsia="Arial" w:hAnsi="Arial"/>
          <w:sz w:val="16"/>
          <w:szCs w:val="16"/>
          <w:color w:val="auto"/>
        </w:rPr>
        <w:t>, a prescription-only omega-3 fatty acid indicated for patients with severe hypertriglyceridemia was approved by FDA in 2004 and has been on the market in the United States since 2005. As described below, generic versions of Lovaza are now available in the United States. Other large companies with competitive products include AbbVie, Inc., which currently markets Tricor</w:t>
      </w:r>
      <w:r>
        <w:rPr>
          <w:rFonts w:ascii="Arial" w:cs="Arial" w:eastAsia="Arial" w:hAnsi="Arial"/>
          <w:sz w:val="10"/>
          <w:szCs w:val="10"/>
          <w:color w:val="auto"/>
        </w:rPr>
        <w:t>®</w:t>
      </w:r>
      <w:r>
        <w:rPr>
          <w:rFonts w:ascii="Arial" w:cs="Arial" w:eastAsia="Arial" w:hAnsi="Arial"/>
          <w:sz w:val="16"/>
          <w:szCs w:val="16"/>
          <w:color w:val="auto"/>
        </w:rPr>
        <w:t xml:space="preserve"> and Trilipix</w:t>
      </w:r>
      <w:r>
        <w:rPr>
          <w:rFonts w:ascii="Arial" w:cs="Arial" w:eastAsia="Arial" w:hAnsi="Arial"/>
          <w:sz w:val="10"/>
          <w:szCs w:val="10"/>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May 2014, Epanova</w:t>
      </w:r>
      <w:r>
        <w:rPr>
          <w:rFonts w:ascii="Arial" w:cs="Arial" w:eastAsia="Arial" w:hAnsi="Arial"/>
          <w:sz w:val="11"/>
          <w:szCs w:val="11"/>
          <w:color w:val="auto"/>
        </w:rPr>
        <w:t>®</w:t>
      </w:r>
      <w:r>
        <w:rPr>
          <w:rFonts w:ascii="Arial" w:cs="Arial" w:eastAsia="Arial" w:hAnsi="Arial"/>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imminently.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4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United States market with a generic version of Lovaza in the first quarter of 2015, or earlier depending on circumstances, the details of which are not known to us.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clinical testing.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received six paragraph IV notices notifying us of submitted ANDAs to Vascepa under the Hatch-Waxman Amendments. We are now engaged in costly litigation with the ANDA applicants to protect our patent rights. 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six paragraph notices received to date, in February 2014, prior to the FDA’s three-year exclusivity determination for Vascepa, we received a purported paragraph IV notice from a generic drug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we do not plan to initiate patent litigation against the generic company that submitted the ANDA until within the 45-day period after we receive a valid paragraph IV notice from such applicant.</w:t>
      </w:r>
    </w:p>
    <w:p>
      <w:pPr>
        <w:spacing w:after="0" w:line="20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NCE marketing exclusivity, not granted to Vascepa,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 45 days, and Amarin may also be afforded a judicial extension if applicable requirements are met. Currently, Amarin believes its 30-month stay extends until September 2016. This three-year form of exclusivity may also not prevent the FDA from approving an NDA that relies only on its own data to support the change or innovation.</w:t>
      </w:r>
    </w:p>
    <w:p>
      <w:pPr>
        <w:spacing w:after="0" w:line="11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stay the continuation of currently pending ANDA-related patent litigation. The legal process can be costly and time-consuming and even if we are successful the remedies available to us diminish in value over time as we approach the natural expiration of the benefits associated with five-year exclusivity.</w:t>
      </w:r>
    </w:p>
    <w:p>
      <w:pPr>
        <w:spacing w:after="0" w:line="197"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FDA’s regulatory regime, we cannot make this clam.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w:t>
      </w:r>
    </w:p>
    <w:p>
      <w:pPr>
        <w:spacing w:after="0" w:line="228"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advisory committee recommendation against approval of Vascepa in the ANCHOR indication, the rescission of the ANCHOR SPA agreement or any subsequent rejection of the pending FDA application with the FDA for the use of Vascepa in the ANCHOR indication.</w:t>
      </w:r>
    </w:p>
    <w:p>
      <w:pPr>
        <w:spacing w:after="0" w:line="5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are, in fact,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 indication may negatively and materially affect the perception of the utility of Vascepa for use in the ANCHOR indication or for other purposes and thus negatively and materially affect sales of Vascepa.</w:t>
      </w:r>
    </w:p>
    <w:p>
      <w:pPr>
        <w:spacing w:after="0" w:line="199"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Inc. are found to have improperly promoted off-label uses of Vascepa, we may become subject to significant fines and other liability.</w:t>
      </w:r>
    </w:p>
    <w:p>
      <w:pPr>
        <w:spacing w:after="0" w:line="5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Inc.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13"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published the results of an outcome study of 1 gram per day of an omega-3 acid ethyl ester composition. In that study, the composition failed to show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2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97" w:lineRule="exact"/>
        <w:rPr>
          <w:sz w:val="20"/>
          <w:szCs w:val="20"/>
          <w:color w:val="auto"/>
        </w:rPr>
      </w:pPr>
    </w:p>
    <w:p>
      <w:pPr>
        <w:ind w:left="240" w:right="40"/>
        <w:spacing w:after="0" w:line="335" w:lineRule="auto"/>
        <w:rPr>
          <w:sz w:val="20"/>
          <w:szCs w:val="20"/>
          <w:color w:val="auto"/>
        </w:rPr>
      </w:pPr>
      <w:r>
        <w:rPr>
          <w:rFonts w:ascii="Arial" w:cs="Arial" w:eastAsia="Arial" w:hAnsi="Arial"/>
          <w:sz w:val="15"/>
          <w:szCs w:val="15"/>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study may also be stopped for futility or for safety concerns.</w:t>
      </w:r>
    </w:p>
    <w:p>
      <w:pPr>
        <w:spacing w:after="0" w:line="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to reach the targeted number of events, which would delay the DMC assessment of data for the interim analysis.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for lack of signals of a favorable result at completion, so called stoppage for futility.</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Moreover, it is the DMC that will make the formal recommendation as to whether to stop the study early or continue as planned. Amarin is blinded to the interim analysis and is informed by the DMC of the recommendation to stop the study or to continue as planned. The DMC may consider factors outside the pre-specified statistical analysis plan when assessing whether to continue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they believe that waiting for more robust results outweighs the potential medical benefit of stopping and unblinding the study early.</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88"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6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1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7" w:lineRule="exact"/>
        <w:rPr>
          <w:sz w:val="20"/>
          <w:szCs w:val="20"/>
          <w:color w:val="auto"/>
        </w:rPr>
      </w:pPr>
    </w:p>
    <w:p>
      <w:pPr>
        <w:ind w:left="240" w:right="900"/>
        <w:spacing w:after="0" w:line="357"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ind w:right="40" w:firstLine="456"/>
        <w:spacing w:after="0" w:line="255" w:lineRule="auto"/>
        <w:rPr>
          <w:sz w:val="20"/>
          <w:szCs w:val="20"/>
          <w:color w:val="auto"/>
        </w:rPr>
      </w:pPr>
      <w:r>
        <w:rPr>
          <w:rFonts w:ascii="Arial" w:cs="Arial" w:eastAsia="Arial" w:hAnsi="Arial"/>
          <w:sz w:val="18"/>
          <w:szCs w:val="18"/>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 party manufacturers and key suppliers.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recently terminated our agreement with BASF due to its inability to meet the agreement requirements and may enter into a new development and supply agreement with BASF and may purchase API from BASF. In 2014, we obtained sNDA approval for Slanmhor, resulting in a total of four FDA-approved suppliers of API. Each of the API manufacturers obtains supply of the key raw material to manufacture API from other third party sources of supply.</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currently rely on Patheon (formerly Banner Pharmacaps) for the encapsulation of Vascepa. We have encapsulation agreements with two other commercial API encapsulators.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25"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201"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225"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59"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22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5620" w:right="3160" w:hanging="5045"/>
        <w:spacing w:after="0" w:line="440" w:lineRule="auto"/>
        <w:tabs>
          <w:tab w:leader="none" w:pos="8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 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35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0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four purported class action lawsuits initiated earlier this year that generally allege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engaged in a vigorous defense of the consolidated lawsuit, we believe that the plaintiffs have failed to state a claim, and we have moved to dismiss the lawsuit. However, we are unable to predict the outcome of this matter at this time. Moreover,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assure you that unforeseen problems will not develop with these technologies or applications or that any commercially feasible products will ultimately be developed by us.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in October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significant portion of our sales are to wholesalers in the pharmaceutical industry. Our top three customers accounted for 95% and 96% of gross product sales for the years ended December 31, 2014 and 2013, respectively and represented 96% and 95% of the gross accounts receivable balance as of December 31, 2014 and 2013,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2014, 2013, and 2012, we reported losses of approximately $56.4 million, $166.2 million, and $179.2 million, respectively, and we had an accumulated deficit at December 31, 2014 of $970.2 million.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9"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results of our sNDA application for the ANCHOR indication and the results of the REDUCE-IT study or post-approval studies for Vascepa;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outcomes of litigation and other legal proceedings, including recently initiated shareholder litigation, regulatory matters and tax matters;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$119.5 million at December 31, 2014 will be sufficient to fund our projected operations for at least the next twelve months.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jc w:val="both"/>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continued cost associated with litigation and other legal proceedings, including recently initiated shareholder litigation and patent litigation;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66" w:lineRule="exact"/>
        <w:rPr>
          <w:sz w:val="20"/>
          <w:szCs w:val="20"/>
          <w:color w:val="auto"/>
        </w:rPr>
      </w:pPr>
    </w:p>
    <w:p>
      <w:pPr>
        <w:ind w:left="240" w:right="160"/>
        <w:spacing w:after="0" w:line="357" w:lineRule="auto"/>
        <w:rPr>
          <w:sz w:val="20"/>
          <w:szCs w:val="20"/>
          <w:color w:val="auto"/>
        </w:rPr>
      </w:pPr>
      <w:r>
        <w:rPr>
          <w:rFonts w:ascii="Arial" w:cs="Arial" w:eastAsia="Arial" w:hAnsi="Arial"/>
          <w:sz w:val="15"/>
          <w:szCs w:val="15"/>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ind w:firstLine="456"/>
        <w:spacing w:after="0" w:line="255" w:lineRule="auto"/>
        <w:rPr>
          <w:sz w:val="20"/>
          <w:szCs w:val="20"/>
          <w:color w:val="auto"/>
        </w:rPr>
      </w:pPr>
      <w:r>
        <w:rPr>
          <w:rFonts w:ascii="Arial" w:cs="Arial" w:eastAsia="Arial" w:hAnsi="Arial"/>
          <w:sz w:val="18"/>
          <w:szCs w:val="18"/>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January 9, 2012, we issued $150 million in aggregate principal amount of 3.50% exchangeable senior notes due 2032, or the notes. In the event of physical settlement, the notes would initially be exchangeable into a total of 49,214,841 ADS.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many pharmaceutical and medical technology companies have been especially volatile in the past, and this trend is expected to continue in the future.</w:t>
      </w:r>
    </w:p>
    <w:p>
      <w:pPr>
        <w:spacing w:after="0" w:line="194"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As of March 2, 2015 we had 177,094,536 common shares outstanding including 176,228,632 shares held as ADSs and 865,904 held as common shares (which are not held in the form of ADSs). In our October 2009 private placement we issued 66.4 million ADSs and warrants to purchase an additional</w:t>
      </w:r>
    </w:p>
    <w:p>
      <w:pPr>
        <w:jc w:val="both"/>
        <w:ind w:right="6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0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it prudent to assume that we were classified as a PFIC in 2012. We do not believe that we were classified as a PFIC in 2013 or 2014. Our status as a PFIC is subject to change in future years.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40" w:firstLine="8"/>
        <w:spacing w:after="0" w:line="261" w:lineRule="auto"/>
        <w:tabs>
          <w:tab w:leader="none" w:pos="2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encumber any of the collateral securing our performance under the agreement; and (v) abandon certain patent rights, in each case without the consent of BioPharma.</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existing indebtedness consists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us on or after January 19, 2018 or put to us by the holders on or after January 19, 2019.</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accounting for convertible debt securities that may be settled in cash, such as our notes, could have a material effect on our reported financial results.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24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9"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 w:lineRule="exact"/>
        <w:rPr>
          <w:sz w:val="20"/>
          <w:szCs w:val="20"/>
          <w:color w:val="auto"/>
        </w:rPr>
      </w:pPr>
    </w:p>
    <w:p>
      <w:pPr>
        <w:ind w:left="900" w:right="32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54" w:lineRule="auto"/>
        <w:rPr>
          <w:rFonts w:ascii="Arial" w:cs="Arial" w:eastAsia="Arial" w:hAnsi="Arial"/>
          <w:sz w:val="15"/>
          <w:szCs w:val="15"/>
          <w:color w:val="auto"/>
        </w:rPr>
      </w:pPr>
      <w:r>
        <w:rPr>
          <w:rFonts w:ascii="Arial" w:cs="Arial" w:eastAsia="Arial" w:hAnsi="Arial"/>
          <w:sz w:val="18"/>
          <w:szCs w:val="18"/>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62"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0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February 20, 2015: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674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Use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Ownership</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4"/>
              </w:rPr>
              <w:t>Size (sq. ft.)</w:t>
            </w:r>
          </w:p>
        </w:tc>
      </w:tr>
      <w:tr>
        <w:trPr>
          <w:trHeight w:val="203"/>
        </w:trPr>
        <w:tc>
          <w:tcPr>
            <w:tcW w:w="7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Dublin, Ireland</w:t>
            </w:r>
          </w:p>
        </w:tc>
        <w:tc>
          <w:tcPr>
            <w:tcW w:w="5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5"/>
              </w:rPr>
              <w:t>Offices</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Leased</w:t>
            </w: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Bedminster, New Jersey, USA</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Offices</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Leased</w:t>
            </w:r>
          </w:p>
        </w:tc>
        <w:tc>
          <w:tcPr>
            <w:tcW w:w="660" w:type="dxa"/>
            <w:vAlign w:val="bottom"/>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Effective July 1, 2011, we leased 9,747 square feet of office space in Bedminster, New Jersey. The lease, as amended, terminates on March 31, 2018, and may also be terminated with six months prior notice. On December 6, 2011 we leased an additional 2,142 square feet of space in the same location. On December 15, 2012 and May 8, 2013, we leased an additional 2,601 and 10,883 square feet of space, respectively, in the same location. In January 2014 and April 2014, we entered into separate transactions with the landlord of this property to vacate approximately 2,142 and 2,000 square feet of space in exchange for discounts on contractual future rent payments. Additionally, in January 2015, we signed an agreement to sublease approximately 4,700 square feet of this property to a third party effective April 1, 2015.</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November 1, 2011, we leased 320 square feet of office space in Dublin, Ireland. The office space was subsequently reduced to 270 square feet, effective November 1, 2013. The lease terminates on October 31, 2015 and may be renewed annually.</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 Corporation plc</w:t>
      </w:r>
      <w:r>
        <w:rPr>
          <w:rFonts w:ascii="Arial" w:cs="Arial" w:eastAsia="Arial" w:hAnsi="Arial"/>
          <w:sz w:val="16"/>
          <w:szCs w:val="16"/>
          <w:color w:val="auto"/>
        </w:rPr>
        <w:t xml:space="preserve">, Civ. No. 13-07882 (AT) (S.D.N.Y. Nov. 5, 2013), </w:t>
      </w:r>
      <w:r>
        <w:rPr>
          <w:rFonts w:ascii="Arial" w:cs="Arial" w:eastAsia="Arial" w:hAnsi="Arial"/>
          <w:sz w:val="16"/>
          <w:szCs w:val="16"/>
          <w:i w:val="1"/>
          <w:iCs w:val="1"/>
          <w:color w:val="auto"/>
        </w:rPr>
        <w:t>Bentley v. Amarin Corporation plc</w:t>
      </w:r>
      <w:r>
        <w:rPr>
          <w:rFonts w:ascii="Arial" w:cs="Arial" w:eastAsia="Arial" w:hAnsi="Arial"/>
          <w:sz w:val="16"/>
          <w:szCs w:val="16"/>
          <w:color w:val="auto"/>
        </w:rPr>
        <w:t xml:space="preserve">, Civ. No. 13-08283 (AT) (S.D.N.Y. Nov. 20, 2013) and </w:t>
      </w:r>
      <w:r>
        <w:rPr>
          <w:rFonts w:ascii="Arial" w:cs="Arial" w:eastAsia="Arial" w:hAnsi="Arial"/>
          <w:sz w:val="16"/>
          <w:szCs w:val="16"/>
          <w:i w:val="1"/>
          <w:iCs w:val="1"/>
          <w:color w:val="auto"/>
        </w:rPr>
        <w:t>Siegel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No. 3:13-cv-07210 (D.N.J. Nov. 27, 2013), were subsequently filed in the U.S. District Court for the District of New Jersey and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for the Southern District of New York. On December 9, 2013, the cases filed in the Southern District of New York were transferred to the District of New Jersey and all such cases are now consolidated as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plaintiffs assert claims under the Securities Exchange Act of 1934 and allege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approval. The lawsuit seeks unspecified monetary damages and attorneys’ fees and costs. We believe that we have valid defenses and we will vigorously defend against this class action suit, but cannot predict the outcome. We are unable to reasonably estimate the loss exposure, if any, associated with the claims. We have insurance coverage that is anticipated to cover any significant loss exposure that may arise from this action after payment by us of the associated deductible obligation under such insurance coverage.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February 27, 2014, we commenced a lawsuit against the FDA in the U.S. District Court for the District of Columbia captioned </w:t>
      </w:r>
      <w:r>
        <w:rPr>
          <w:rFonts w:ascii="Arial" w:cs="Arial" w:eastAsia="Arial" w:hAnsi="Arial"/>
          <w:sz w:val="16"/>
          <w:szCs w:val="16"/>
          <w:i w:val="1"/>
          <w:iCs w:val="1"/>
          <w:color w:val="auto"/>
        </w:rPr>
        <w:t>Amarin Pharmaceuticals</w:t>
      </w:r>
      <w:r>
        <w:rPr>
          <w:rFonts w:ascii="Arial" w:cs="Arial" w:eastAsia="Arial" w:hAnsi="Arial"/>
          <w:sz w:val="16"/>
          <w:szCs w:val="16"/>
          <w:color w:val="auto"/>
        </w:rPr>
        <w:t xml:space="preserve"> </w:t>
      </w:r>
      <w:r>
        <w:rPr>
          <w:rFonts w:ascii="Arial" w:cs="Arial" w:eastAsia="Arial" w:hAnsi="Arial"/>
          <w:sz w:val="16"/>
          <w:szCs w:val="16"/>
          <w:i w:val="1"/>
          <w:iCs w:val="1"/>
          <w:color w:val="auto"/>
        </w:rPr>
        <w:t>Ireland Ltd. v. Food &amp; Drug Administration, et al.</w:t>
      </w:r>
      <w:r>
        <w:rPr>
          <w:rFonts w:ascii="Arial" w:cs="Arial" w:eastAsia="Arial" w:hAnsi="Arial"/>
          <w:sz w:val="16"/>
          <w:szCs w:val="16"/>
          <w:color w:val="auto"/>
        </w:rPr>
        <w:t>, Civ. A. No. 14-0324 (D.D.C.) that challenges FDA’s denial of our request for five-year NCE exclusivity for</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 We intend to litigate the case vigorously, but we cannot predict the outcome of this lawsuit.</w:t>
      </w:r>
    </w:p>
    <w:p>
      <w:pPr>
        <w:spacing w:after="0" w:line="118"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 xml:space="preserve">In March, April, and May 2014, we received paragraph IV certification notices from six companies contending to varying degrees that certain of our patents are invalid, unenforceable and/or will not be infringed by the manufacture, use, sale or offer for sale of a generic form of Vascepa as described in those companies’ abbreviated new drug applications, or ANDAs. We have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April 2014, Amarin also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Dr. Reddy’s Laboratories, Inc. et al.</w:t>
      </w:r>
      <w:r>
        <w:rPr>
          <w:rFonts w:ascii="Arial" w:cs="Arial" w:eastAsia="Arial" w:hAnsi="Arial"/>
          <w:sz w:val="16"/>
          <w:szCs w:val="16"/>
          <w:color w:val="auto"/>
        </w:rPr>
        <w:t>, Civ. A. No. 14-2760 (D.N.J.). In May 2014, Amarin also filed a lawsuit against Watson Laboratories, Inc. and Actavis plc,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Watson, in the U.S. District Court for the District of New Jersey. One of our directors, Patrick J. O’Sullivan, is also a director of Actavis plc. The case against 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We intend to vigorously enforce our intellectual property rights relating to Vascepa, but we cannot predict the outcome of these lawsuits.</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Common Stock Price</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Fiscal 2014</w:t>
            </w:r>
          </w:p>
        </w:tc>
        <w:tc>
          <w:tcPr>
            <w:tcW w:w="220" w:type="dxa"/>
            <w:vAlign w:val="bottom"/>
          </w:tcPr>
          <w:p>
            <w:pPr>
              <w:spacing w:after="0"/>
              <w:rPr>
                <w:sz w:val="12"/>
                <w:szCs w:val="12"/>
                <w:color w:val="auto"/>
              </w:rPr>
            </w:pP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Fiscal 2013</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High</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$9.24</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Second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$1.98</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$5.36</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8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3"/>
              </w:rPr>
              <w:t>$2.09</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$5.12</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Fourth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$1.38</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$0.78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$1.36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January 31, 2015, there were approximately 390 holders of record of our ordinary shares. Because many ordinary shares are held by brokers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our Purchase and Sale Agreement with BioPharma Secured Debt Fund II Holdings Cayman LP, or BioPharma, we are restricted from paying a dividend on our common shares, unless we have cash and cash equivalents in excess of a specified amount after such payment.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indexes on January 1, 2010 and its relative performance is tracked through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13985" cy="2178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12/31/2010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12/31/2012</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573.43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523.78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565.73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137.76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68.53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118.02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117.04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137.47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192.62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221.02</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116.06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130.08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172.67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286.67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385.29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or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 of common shares by Amarin will not give rise to a charge to UK stamp duty or stamp duty reserve tax.</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selected financial data set forth below as of and for the years ended December 31, 2014, 2013, 2012, 2011, and 2010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9"/>
          </w:tcPr>
          <w:p>
            <w:pPr>
              <w:jc w:val="right"/>
              <w:ind w:right="52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Product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54,202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26,351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Cost of goods sold</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33,717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Selling, general and administrative (1)</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79,346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123,795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57,794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22,559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129,672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196,545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116,750</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44,161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(95,955)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(182,106)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(116,750)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(44,161)</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Gain (loss) on change in fair value of derivative liabilities (2)</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(35,344)</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(22,669)</w:t>
            </w: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(205,153)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(18,575)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(18,091)</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(59,201)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(169,421)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(170,068)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(66,610)</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(250,090)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(9,116)</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7"/>
              </w:rPr>
              <w:t>$ (56,364)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(166,227)</w:t>
            </w: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 (179,184)</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 (69,126)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(249,589)</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173,719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161,022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144,017</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130,247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100,239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167,070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144,017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130,247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$ 119,539</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$260,242</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$ 116,602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171,107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310,855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126,379</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Long-term obligations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219,249</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289,650</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123,889</w:t>
            </w: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230,157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(88,448)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(202,367)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05"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Includes non-cash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ind w:left="460" w:right="50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derivative liabilities.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in its first approved indication, the MARINE indication;, the potential for, conditions to, and timing of, approval of the Vascepa Supplemental New Drug Application, or sNDA, by the United States Food and Drug Administration, or FDA, in its potential second indication, the ANCHOR indication; the timing of enrollment, interim results or final results of our REDUCE-IT study; potential for Vascepa to be marketed by partners outside of the United States; the safety and efficacy of our product candidates; the scope of our intellectual property protection and the likelihood of securing additional patent protection; estimates of the potential markets for our product candidates; the likelihood of qualifying additional third party manufacturing suppliers and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 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under which approximately 250 Kowa Pharmaceuticals America, Inc. sales representatives began to devote a substantial portion of their time to promoting Vascepa starting in May 2014. We operate in one business segment.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potential efficacy and safety of Vascepa (known in its development stage as AMR 101) was studied in two Phase 3 clinical trials, the MARINE trial and the ANCHOR trial. At a daily dose of 4 grams of Vascepa,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alone as sufficient to establish the effectiveness of a drug intended to reduce cardiovascular risk in subjects with serum triglyceride levels below 500 mg/dL.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2013. Given our September 2014 determination to not appeal the SPA rescission further, we expect the FDA to take action on our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ANCHOR sNDA in the near future.</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are currently focused on the ongoing REDUCE-IT cardiovascular outcomes study of Vascepa.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beyond the indications studied in the ANCHOR and MARINE trials. In REDUCE-IT, cardiovascular event rates for patients on stable statin therapy plus four grams per day of Vascepa will be compared to cardiovascular event rates for patients on stable statin therapy plus placebo. The REDUCE-IT study is designed to be completed after reaching an aggregate number of cardiovascular events. Based on projected event rates, we estimate the REDUCE-IT study can be completed in or about 2017 with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The DMC has been more frequently examining interim reviews of the safety data from the study. Following each of these reviews, the DMC has communicated to us that we should continue the study as planned. Amarin remains blinded to all data from the study. Over 90% of the 8,000 patients targeted for enrollment in the REDUCE-IT study have been enrolled.</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label expansion for Vascepa. There can be no assurance that we will be successful in our efforts to obtain a label expansion reflecting the ANCHOR clinical trial whether or not we obtain final positive results from the REDUCE-IT outcomes study. If the FDA does not approve the ANCHOR indication, it could have a material impact on our future results of operations and financial condition.</w:t>
      </w:r>
    </w:p>
    <w:p>
      <w:pPr>
        <w:spacing w:after="0" w:line="14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were made by the first half of 2014. As part of the reduction in force, we retained approximately 130 sales representatives, excluding sales management, in the United States in sales territories that we believe have demonstrated the greatest potential for Vascepa sales growth. This team covers the target base of physicians responsible for the majority of Vascepa prescription volume and growth since its launch in early 2013. With these changes and the resulting target base coverage, as well as the addition of the promotional efforts of 250 sales representatives from Kowa Pharmaceuticals America, Inc. that began in May 2014, we anticipate continued Vascepa revenue growth over time. We also anticipate that such sales growth may be inconsistent from period to period.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We commenced the commercial launch of Vascepa in the United States in January 2013 with approximately 275 sales representatives. Vascepa has not yet been approved or commercially launched outside of the United States.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their managers. Commencing in the middle of the second quarter of 2014, in addition to promotion by our sales representatives, approximately 250 Kowa Pharmaceuticals America, Inc. sales representatives began promoting Vascepa. We also employ various marketing personnel to support our commercialization of Vascepa. As of February 1, 2015, over 26,000 clinicians had written prescriptions for Vascepa.</w:t>
      </w:r>
    </w:p>
    <w:p>
      <w:pPr>
        <w:spacing w:after="0" w:line="140"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Under the co-promotion agreement with Kowa Pharmaceuticals America, Inc.,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minimal levels of Vascepa revenue in 2015 and beyond.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is scheduled to increase from the high single digits in 2014, to mid-teen percent levels in 2015, and to the low twenty percent levels in 2018, subject to certain adjustments. The term of this co-promotion agreement expires on December 31, 2018.</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December 31, 2014 was approximately 146,000 as compared to 132,000, 110,000, 93,000 and 94,000 prescriptions in the three months ended September 30, 2014, June 30, 2014, March 31, 2014 and December 31, 2013, respectively. According to data from another third party, IMS Health, the estimated number of normalized total Vascepa prescriptions for the three months ended December 31, 2014 was approximately 131,000 as compared to 113,000, 93,000, 78,000 and 79,000 prescriptions in the three months ended September 30, 2014, June 30, 2014, March 31, 2014 and December 31, 2013,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 Timing of shipments to wholesalers, as used for revenue recognition purposes, and timing of prescriptions as estimated by these third parties may differ from period to period.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we had limited selling history during the year ended December 31,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changes in the size of our sales force, our co-promotion agreement, and uncertainty regarding resolution of the ANCHOR sNDA with the FDA, we do not currently provide quantified revenue guidance.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secured managed care coverage for over 215 million lives, including as of February 1, 2015 over 125 million lives covered on Tier 2 for formulary purposes.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commercialization of a new pharmaceutical product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Update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2014, we announced our continued commitment to completing the ongoing REDUCE-IT cardiovascular outcomes study. This multinational, prospective, randomized, double-blind, placebo-controlled study is the first prospective cardiovascular outcomes study of any drug in a population of patients who, despite stable statin therapy, have elevated triglyceride levels.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over 7,300 patients enrolled in the REDUCE-IT study. We currently estimate that we will complete patient enrollment in this study within 2015. The REDUCE-IT study is designed to be completed after reaching an aggregate number of cardiovascular events. Based on projected event rates, we estimate the REDUCE-IT study can be completed in or about 2017 with results then expected to be available in 2018. Based on the results of REDUCE-IT, we may seek additional indications for Vascepa beyond the indications studied in the ANCHOR or MARINE trials. An interim review of the efficacy and safety results of the trial is scheduled to occur upon reaching 60% of the target aggregate number of cardiovascular events. We currently expect this interim review by the independent data monitoring committee (DMC) to occur during 2016. As is typical, the statistical threshold for defining overwhelming efficacy on the primary endpoint at the interim analysis is considerably higher than the threshold for defining statistical significance at the end of the study. Amarin remains blinded to all data from the study.</w:t>
      </w:r>
    </w:p>
    <w:p>
      <w:pPr>
        <w:spacing w:after="0" w:line="14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differentiated effects of the active ingredient in Vascepa, including the antioxidant properties and effects on inflammation markers associated with atherosclerosis.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During 2013 and 2014, all of our active pharmaceutical ingredient, or API, was acquired through two suppliers, Nisshin and Chemport. Much of the inventory sold in 2014 was purchased from Nisshin at a price which is higher than expected future average API costs.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2014, we reached a settlement agreement with a former supplier, BASF, under which we received a refund for previous material purchases of $3.0 million, included as other income in the statement of operations. The amount of supply we seek to purchase in 2014 and beyond will depend on the level of growth of Vascepa revenues.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our cash and cash equivalents balance of $119.5 million at December 31, 2014 is sufficient to fund our projected operations for at least the next twelve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Product Revenues, net. </w:t>
      </w:r>
      <w:r>
        <w:rPr>
          <w:rFonts w:ascii="Arial" w:cs="Arial" w:eastAsia="Arial" w:hAnsi="Arial"/>
          <w:sz w:val="16"/>
          <w:szCs w:val="16"/>
          <w:color w:val="auto"/>
        </w:rPr>
        <w:t>All of our revenue is derived from product sales of Vascepa, net of allowances, discounts, incentives, rebates, chargebacks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December 31, 2014, product returns were de minimis.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encapsulation, packaging, shipment, supply management, insurance and quality assurance. The cost of the API included in cost of goods sold reflects the average cost method of inventory valuation and relief. This average cost reflects the actual purchase price of Vascepa API, which through December 31, 2014 was sourced from Nisshin and Chemport.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consists primarily of fees paid to professional service providers in conjunction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received from suppliers when such receipt by the Company is prior to regulatory approval of the supplier.</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is comprised of: (i)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warrant derivative liability, (ii) the change in fair value of the derivative liability related to the change in control provision associated with the December 2012 BioPharma financing and (iii) the change in fair value of the derivative liability related to the change in control provision associated with the May 2014 exchangeable senior notes.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incurred under our 3.5%</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exchangeable notes and interest incurred under our December 2012 financing arrangement with BioPharma Secured Debt Fund II Holdings Cayman LP, or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income (expense), net, consists primarily of foreign exchange losses and gains.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discussion and analysis of our financial condition and results of operations is based on our consolidated financial statements and notes, which have been prepared in accordance with accounting principles generally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$54.2 million based on sales to Distributors during the year ended December 31, 2014. Through December 31, 2014, product returns were de minimis.</w:t>
      </w:r>
    </w:p>
    <w:p>
      <w:pPr>
        <w:spacing w:after="0" w:line="12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the change in control provision associated with our December 2012 debt financing and the change in control provision associated with our May 2014 exchangeable senior notes.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—Prior to July 26, 2012, when we received approval from the FDA to market and sell Vascepa in the United States for the MARINE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and in July 2014 the FDA approved our sNDA covering Slanmhor such that there are now four suppliers FDA-qualified to produce Vascepa API. All supply from Chemport and BASF prior to FDA approval of these API suppliers was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our suppliers. Additionally, the determination of the classification of our inventory requires the use of estimates in order to determine the portion of inventories anticipated to be utilized within twelve months of the balance sheet date.</w:t>
      </w:r>
    </w:p>
    <w:p>
      <w:pPr>
        <w:spacing w:after="0" w:line="12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—Deferred tax assets and liabilities are recognized for the future tax consequences of differences between the carrying amounts and tax bases</w:t>
      </w:r>
      <w:r>
        <w:rPr>
          <w:rFonts w:ascii="Arial" w:cs="Arial" w:eastAsia="Arial" w:hAnsi="Arial"/>
          <w:sz w:val="16"/>
          <w:szCs w:val="16"/>
          <w:i w:val="1"/>
          <w:iCs w:val="1"/>
          <w:color w:val="auto"/>
        </w:rPr>
        <w:t xml:space="preserve"> </w:t>
      </w:r>
      <w:r>
        <w:rPr>
          <w:rFonts w:ascii="Arial" w:cs="Arial" w:eastAsia="Arial" w:hAnsi="Arial"/>
          <w:sz w:val="16"/>
          <w:szCs w:val="16"/>
          <w:color w:val="auto"/>
        </w:rPr>
        <w:t>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Our policy is to record interest and penalties in the provision for income taxes.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at December 31, 2014,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December 31, 2014. The majority of our deferred tax assets are held outside of the U.S.,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From time to time, new accounting pronouncements are issued by the Financial Accounting Standards Board, or FASB, and are adopted by the Company as of the specified effective date. We considered the following recent accounting pronouncements which were not yet adopted as of December 31, 2014:</w:t>
      </w:r>
    </w:p>
    <w:p>
      <w:pPr>
        <w:spacing w:after="0" w:line="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our fiscal year beginning January 1, 2017. Early adoption is not permitted. We are currently evaluating the accounting, transition and disclosure requirements of the standard and cannot currently estimate the financial statement impact of adoption.</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is not expected to have an impact on our consolidated financial statements.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the fiscal years ending after December 15, 2016, and for annual periods and interim periods thereafter. Early application is permitted. We are currently evaluating the accounting, transition and disclosure requirements of the standard and cannot currently estimate the financial statement impact of adoption.</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consolidated financial position, results of operations, and cash flows, or do not apply to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2014 versus December 31, 2013</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Product Revenues, net. </w:t>
      </w:r>
      <w:r>
        <w:rPr>
          <w:rFonts w:ascii="Arial" w:cs="Arial" w:eastAsia="Arial" w:hAnsi="Arial"/>
          <w:sz w:val="18"/>
          <w:szCs w:val="18"/>
          <w:color w:val="auto"/>
        </w:rPr>
        <w:t>We recorded revenue of $54.2 million during the year ended December 31, 2014, versus $26.4 million during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$27.8 million, or 105%. We commenced our full commercial launch of Vascepa in the United States for use in the MARINE indication in January 2013. All of our revenue in the years ended December 31, 2014 and 2013 was derived from product sales of Vascepa, net of allowances, discounts, incentives, rebates, chargebacks and returns.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December 31, 2014, product returns were de minimis. Timing of shipments to wholesalers, as used for revenue recognition, and timing of prescriptions as estimated by third party sources such as Symphony Health Solutions and IMS Health may differ from period to period.</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years ended December 31, 2014 and 2013, our net product revenues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to December 31, 2014. Commencing in March and April 2013, certain third-party payors added Vascepa to their Tier 2 coverage, which results in lower co-payments for patients covered by these third-party payors. As of February 1, 2015, approximately 125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February 1, 2015, over 26,000 clinicians had written prescriptions for Vascepa. As of February 1, 2015, we are not aware of any clinician who is responsible for 10% or more of the aggregate prescriptions written for Vascepa.</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On October 22, 2013, in an effort to lower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resulting target base coverage, as well as the addition of the promotional efforts of 250 sales representatives from Kowa Pharmaceuticals America, Inc. that began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Cost of Goods Sold. </w:t>
      </w:r>
      <w:r>
        <w:rPr>
          <w:rFonts w:ascii="Arial" w:cs="Arial" w:eastAsia="Arial" w:hAnsi="Arial"/>
          <w:sz w:val="15"/>
          <w:szCs w:val="15"/>
          <w:color w:val="auto"/>
        </w:rPr>
        <w:t>Cost of goods sold during the year ended December 31, 2014 was $20.5 million, versus $11.9 million during the prior year period,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$8.6 million, or 72%.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years ended December 31, 2014 and 2013 was sourced from two API suppliers. The contracted cost of supply from our initial API supplier was higher than the contracted cost from our other API supplier. In the future, we anticipate making continued purchases from this initial supplier and to make additional lower unit cost purchases of Vascepa API from other API suppliers. We began purchasing lower unit cost API from Chemport, which was approved by the FDA in April 2013 to produce Vascepa, in the second quarter of 2013. During the years ended December 31, 2014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2013, the cost basis of product sold that had a carrying value of zero was $0.6 million and $4.0 million, respectively. Had such inventories been valued at acquisition cost, it would have resulted in a corresponding increase in cost of goods sold and a decrease in gross margin during such periods. As of December 31, 2014, we maintained no inventory with a carrying value of zero and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gross margin for the years ended December 31, 2014 and 2013 was 62% and 55%,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 ended December 31, 2014 was $79.3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$123.8 million in the prior year, a decrease of $44.5 million, or 36%. Selling, general and administrative expenses for the years ended December 31, 2014 and 2013 are summarized in the table below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$73,528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6,321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11,848</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r>
      <w:tr>
        <w:trPr>
          <w:trHeight w:val="223"/>
        </w:trPr>
        <w:tc>
          <w:tcPr>
            <w:tcW w:w="9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Severance (4)</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79,346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123,795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year ended December 31, 2014 was $73.5 million, versus $113.1 million in the prior year, a decrease of $39.6 million, or 35%. The decrease is due primarily to cost decreases in 2014 for sales force staffing, marketing program spending and costs for other general and administrative support incurred in connection with the commercialization of Vascepa. Included in this amount for the year ended 2014 is $1.7 million of expense for co-promotion fees payable to Kowa Pharmaceuticals America, Inc. The year ended December 31, 2013 was the period in which we commenced selling Vascepa and as such included certain launch-related costs.</w:t>
      </w:r>
    </w:p>
    <w:p>
      <w:pPr>
        <w:spacing w:after="0" w:line="4" w:lineRule="exact"/>
        <w:rPr>
          <w:rFonts w:ascii="Arial" w:cs="Arial" w:eastAsia="Arial" w:hAnsi="Arial"/>
          <w:sz w:val="18"/>
          <w:szCs w:val="18"/>
          <w:color w:val="auto"/>
        </w:rPr>
      </w:pPr>
    </w:p>
    <w:p>
      <w:pPr>
        <w:jc w:val="both"/>
        <w:ind w:left="460" w:right="2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 expense for the year ended December 31, 2014 was $6.3 million, versus $11.8 million in the prior year period, a decrease of $5.5 million, or 47%,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Warrant-related compensation income for the years ended December 31, 2014 and 2013 was $0.5 million and $3.7 million, respectively. Warrant-related compensation income reflects the non-cash change in fair value of the warrant derivative liability associated with warrants issued in October 2009 to three of our former employees, net of warrants exercised. The decrease in fair value in 2014 and 2013 was due primarily to a decrease in our stock price during each period.</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Severance costs in 2013 relate to cash expenditures for one-time termination benefits and associated costs incurred in conjunction with a company-wide reduction in force announced in October 2013.</w:t>
      </w:r>
    </w:p>
    <w:p>
      <w:pPr>
        <w:spacing w:after="0" w:line="13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reduction in the level of selling, general and administrative costs in 2014 as compared to 2013 was primarily the result of the reduction in force announced in October 2013 and reductions in certain marketing program spend and other overhead costs. Such cost reductions were partially offset by the incremental selling costs associated with the Kowa Pharmaceuticals America, Inc. co-promotion agreement.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currently anticipate that with our existing indication for Vascepa, our selling, general and administrative costs will be largely flat in future periods with the exception of anticipated increases in the co-promotion fees earned by Kowa Pharmaceuticals America, Inc. based on anticipated increases in net product revenues and the terms of our co-promotion agreement with Kowa Pharmaceuticals America, Inc.</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2014 was $50.3 million, versus $72.8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 decrease of $22.5 million, or 31%. Research and development expenses for the years ended December 31, 2014 and 2013 are summarized in the table below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$37,672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$46,994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373</w:t>
            </w:r>
          </w:p>
        </w:tc>
        <w:tc>
          <w:tcPr>
            <w:tcW w:w="58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5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7,733</w:t>
            </w:r>
          </w:p>
        </w:tc>
        <w:tc>
          <w:tcPr>
            <w:tcW w:w="580" w:type="dxa"/>
            <w:vAlign w:val="bottom"/>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18"/>
                <w:szCs w:val="18"/>
                <w:color w:val="auto"/>
              </w:rPr>
            </w:pPr>
          </w:p>
        </w:tc>
      </w:tr>
      <w:tr>
        <w:trPr>
          <w:trHeight w:val="27"/>
        </w:trPr>
        <w:tc>
          <w:tcPr>
            <w:tcW w:w="6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69,913</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5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2,701</w:t>
            </w:r>
          </w:p>
        </w:tc>
        <w:tc>
          <w:tcPr>
            <w:tcW w:w="58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8"/>
                <w:szCs w:val="18"/>
                <w:color w:val="auto"/>
              </w:rPr>
            </w:pPr>
          </w:p>
        </w:tc>
      </w:tr>
      <w:tr>
        <w:trPr>
          <w:trHeight w:val="27"/>
        </w:trPr>
        <w:tc>
          <w:tcPr>
            <w:tcW w:w="6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50,326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72,750</w:t>
            </w:r>
          </w:p>
        </w:tc>
        <w:tc>
          <w:tcPr>
            <w:tcW w:w="10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decrease in research and development expenses for the year ended December 31,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59" w:lineRule="exact"/>
        <w:rPr>
          <w:sz w:val="20"/>
          <w:szCs w:val="20"/>
          <w:color w:val="auto"/>
        </w:rPr>
      </w:pPr>
    </w:p>
    <w:p>
      <w:pPr>
        <w:ind w:left="460" w:hanging="452"/>
        <w:spacing w:after="0" w:line="28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7,300 patients enrolled in REDUCE-IT. We estimate that we will complete patient enrollment in this study within 2015. For 2014 and 2013, we incurred expenses through our CRO in connection with this trial of approximately $31.0 million and $38.4 million, respectively. Inclusive of CTM costs, the combined CRO and CTM costs in 2014 and 2013 for REDUCE-IT were approximately $37.7 million and $47.0 million, respectively. The reduction in expenses in 2014 as compared to 2013 is primarily the result of timing variability for REDUCE-IT costs as well as some efficiency savings as the trial is fully operational in 2014 across all countries and clinical sites. We expense costs for CTM upon receipt. The aggregate cost of this outcomes study will depend on the rate of clinical events in the study. We currently estimate that costs incurred for this study in 2015 will continue at approximately the same levels as we have incurred in 2014 but may vary from quarter to quarter. Based on our current assumptions of CRO and CTM costs, we estimate that aggregate remaining costs to complete the REDUCE-IT study and evaluate its results to likely exceed $100 million through study completion in 2017 and publication of results in 2018. Our aggregate remaining costs to complete the REDUCE-IT are estimated to be lower than $100 million if the independent DMC recommends that REDUCE-IT be completed early based on its scheduled interim review of the efficacy and safety results of the study which review we estimate will occur in 2016 upon reaching 60% of the target aggregate number of cardiovascular events for the study. Amarin remains blinded to all data from the study and currently expects the study to be completed in 2017. We anticipate that our costs for this outcomes study will continue to represent the most significant component of our research and development expenditures.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8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potential additional API suppliers prior to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regulatory filing fees in each of the years ended December 31, 2014 and 2013 included annual FDA fees for maintaining manufacturing sites. In addition, during the year ended December 31, 2013, these fees included regulatory filings associated with the sNDA for the ANCHOR indication as well as costs associated with preparing for the October 16, 2013 FDA advisory committee meeting.</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 The reduction in the level of such costs in 2014 as compared to 2013 is largely the result of decisions announced in October 2013 to reduce headcount and suspend AMR102 development. Other research and development costs in 2013 included costs related to testing of the relative bioavailability of AMR102 capsules, Vascepa capsules with a selected statin taken concomitantly. We have suspended further development of AMR102 pending resolution of the ANCHOR sNDA with the FDA.</w:t>
      </w:r>
    </w:p>
    <w:p>
      <w:pPr>
        <w:spacing w:after="0" w:line="4" w:lineRule="exact"/>
        <w:rPr>
          <w:rFonts w:ascii="Arial" w:cs="Arial" w:eastAsia="Arial" w:hAnsi="Arial"/>
          <w:sz w:val="16"/>
          <w:szCs w:val="16"/>
          <w:color w:val="auto"/>
        </w:rPr>
      </w:pPr>
    </w:p>
    <w:p>
      <w:pPr>
        <w:ind w:left="460" w:right="6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anticipate that our research and development costs will be slightly higher during 2015 as compared to 2014 as a result of the timing of REDUCE-IT costs, and that such costs will decline modestly thereafter upon completion of enrollment for REDUCE-IT.</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Gain (Loss) on Change in Fair Value of Derivative Liabilities. </w:t>
      </w:r>
      <w:r>
        <w:rPr>
          <w:rFonts w:ascii="Arial" w:cs="Arial" w:eastAsia="Arial" w:hAnsi="Arial"/>
          <w:sz w:val="16"/>
          <w:szCs w:val="16"/>
          <w:color w:val="auto"/>
        </w:rPr>
        <w:t>Gain (loss) on change in fair value of derivative liabilities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was a gain of $13.5 million versus a gain of $47.7 million in the prior year period. Gain (loss) on change in fair value of derivative liabilities is comprised of</w:t>
      </w:r>
    </w:p>
    <w:p>
      <w:pPr>
        <w:ind w:right="300" w:firstLine="8"/>
        <w:spacing w:after="0" w:line="255"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and (iii) the change in fair value of the derivative liability related to the change in control provision associated with the May 2014 exchangeable senior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we issued 36.1 million warrants at an exercise price of $1.50 and recorded a $48.3 million warrant derivative liability, representing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issued. As these warrants have been classified as a derivative liability, they are revalued at each reporting period, with changes in fair value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statement of operations. The fair value of the warrant derivative liability at December 31, 2014 was $0.1 million and we recognized a $6.3 million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derivative liability for the year ended December 31, 2014 for these warrants. The fair value of the warrant derivative liability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was $6.9 million and we recognized a $44.2 million gain on change in fair value of derivative liability for the year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fair value of the warrant derivative liability is due primarily to the change in the price of our common stock on the date of valuation. In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we and the holders of the remaining October 2009 warrants mutually agreed to extend the expiration date of such warrants from October 16, 2014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2014, the fair value of the derivative was determined to be $4.8 million, and at December 31, 2013, the fair value of the derivative was determined to be $11.1 million. We recognized a gain on change in fair value of derivative liability of $6.3 million and $3.5 million for the years ended December 31, 2014 and 2013, respectively.</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2014 Notes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December 31, 2014, the fair value of the derivative was determined to be $2.6 million and we recognized a $0.9 million gain on change in fair value of derivative liability for the year ended December 31, 2014.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19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 xml:space="preserve">Gain on Extinguishment of Debt. </w:t>
      </w:r>
      <w:r>
        <w:rPr>
          <w:rFonts w:ascii="Arial" w:cs="Arial" w:eastAsia="Arial" w:hAnsi="Arial"/>
          <w:sz w:val="15"/>
          <w:szCs w:val="15"/>
          <w:color w:val="auto"/>
        </w:rPr>
        <w:t>On May 15, 2014, we entered into separate, privately negotiated exchange agreements with certain holders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exchangeable 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8 to our consolidated financial statements included in this Annual Report on Form 10-K).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subsequently recorded a gain on extinguishment of the original notes of $38.0 million in the year ended December 31, 2014.</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firstLine="456"/>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year ended December 31, 2014 was $18.5 million, versus $33.8 million in the prior year period, a</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of $15.3 million, or 45%. Net interest expense for the years ended December 31, 2014 and 2013 is summarized in the table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Amortization of debt discounts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$15,067</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coupon interest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9,471</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20,317</w:t>
            </w:r>
          </w:p>
        </w:tc>
      </w:tr>
      <w:tr>
        <w:trPr>
          <w:trHeight w:val="217"/>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Cash interest—current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5,420</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1,843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interest—deferred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9,451</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Non-cash 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13,859</w:t>
            </w:r>
          </w:p>
        </w:tc>
      </w:tr>
      <w:tr>
        <w:trPr>
          <w:trHeight w:val="223"/>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18,575</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34,179</w:t>
            </w:r>
          </w:p>
        </w:tc>
      </w:tr>
      <w:tr>
        <w:trPr>
          <w:trHeight w:val="216"/>
        </w:trPr>
        <w:tc>
          <w:tcPr>
            <w:tcW w:w="9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Interest income (3)</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18,479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33,836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years ended December 31, 2014 and 2013 was $9.5 million and $20.3 million, respectively.</w:t>
      </w:r>
    </w:p>
    <w:p>
      <w:pPr>
        <w:ind w:left="460" w:right="3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year ended December 31, 2014 were $9.1 million and $13.9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income for the year ended December 31, 2014 was $0.1 million, versus $0.3 million in the prior year period. Interest income represents income earned on cash balances.</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for the year ended December 31, 2014 was income of $3.7 million versus an expense of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prior year. Other income (expense), net, in the year ended December 31, 2014 primarily consists of $4.1 million received in the second quarter of 2014 with respect to settlement agreements with one of our suppliers and one of our encapsulators that provided for the reimbursement of certain amounts previously paid by us. Other income (expense), net, for the year ended December 31, 2013 primarily consisted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Benefit From (Provision for) Income Taxes. </w:t>
      </w:r>
      <w:r>
        <w:rPr>
          <w:rFonts w:ascii="Arial" w:cs="Arial" w:eastAsia="Arial" w:hAnsi="Arial"/>
          <w:sz w:val="18"/>
          <w:szCs w:val="18"/>
          <w:color w:val="auto"/>
        </w:rPr>
        <w:t>Benefit from (provision for) income taxes for the year ended December 31, 2014 was a $2.8 million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versus a $3.2 million benefit in the prior year. The current benefit relates entirely to the United States subsidiary operations. We are profitable in the United States as a result of intercompany transactions between our United States subsidiary and our other companies. The 2013 benefit primarily relates to tax credits for research and development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2013 versus December 31, 2012</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Product Revenues, net. </w:t>
      </w:r>
      <w:r>
        <w:rPr>
          <w:rFonts w:ascii="Arial" w:cs="Arial" w:eastAsia="Arial" w:hAnsi="Arial"/>
          <w:sz w:val="18"/>
          <w:szCs w:val="18"/>
          <w:color w:val="auto"/>
        </w:rPr>
        <w:t>We recorded revenue of $26.4 million during the year ended December 31, 2013. We commenced our full commercial launch of</w:t>
      </w:r>
      <w:r>
        <w:rPr>
          <w:rFonts w:ascii="Arial" w:cs="Arial" w:eastAsia="Arial" w:hAnsi="Arial"/>
          <w:sz w:val="18"/>
          <w:szCs w:val="18"/>
          <w:i w:val="1"/>
          <w:iCs w:val="1"/>
          <w:color w:val="auto"/>
        </w:rPr>
        <w:t xml:space="preserve"> </w:t>
      </w:r>
      <w:r>
        <w:rPr>
          <w:rFonts w:ascii="Arial" w:cs="Arial" w:eastAsia="Arial" w:hAnsi="Arial"/>
          <w:sz w:val="18"/>
          <w:szCs w:val="18"/>
          <w:color w:val="auto"/>
        </w:rPr>
        <w:t>Vascepa in the United States for use in the MARINE indication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January 2013. We recorded no revenue in 2012. All of our revenue in the year ended December 31, 2013 was derived from product sales of Vascepa, net of allowances, discounts, incentives, rebates, chargebacks and returns.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sell Vascepa to Distributors. In accordance with our revenue recognition policy, until we have more experience with the sale of Vascepa and can better estimate product returns, we currently recognize revenue only for product which has been used for of the purpose of filling prescriptions. The excess of the amount billed and the amount recognized as revenue for the year ended December 31, 2013, net of applicable discounts and rebates, has been recorded as deferred revenue.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year ended December 31, 2013, our net product revenues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is up to $75 per prescription filled during 2013. Commencing in March and April 2013, certain third-party payors added Vascepa to their Tier 2 coverage, which results in lower co-payments for patients covered by these third-party payors. As of February 1, 2014, approximately 100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February 1, 2014, over 16,000 clinicians had written prescriptions for Vascepa. As of February 1, 2014, we are not aware of any clinician who is responsible for 10% or more of the aggregate prescriptions written for Vascepa.</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October 22, 2013, in an effort to reduce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resulting target base coverage, we anticipate continued Vascepa revenue growth over time. We further anticipate that such revenue growth may be inconsistent from period to period.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year ended December 31, 2013 was $11.9 million, and includes the cost of API for Vascepa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majority of API included in the calculation of the average cost of goods sold during the year ended December 31,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We began purchasing lower unit cost API from Chemport, which was approved by the FDA in April 2013 to produce Vascepa, in the three months ended June 30, 2013. During the year ended December 31, 2013, the cost basis of product sold that had a carrying value of zero was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$4.0 million. Had such inventories been valued at acquisition cost, it would have resulted in an increase in cost of goods sold and a decrease in gross margin during such periods. We expect current inventories with a carrying value of zero to be utilized in 2014. We may have additional zero cost inventories in the future to the extent that we receive approval of the sNDA for our fourth commercial supplier. As of December 31, 2013, we maintained inventory with a carrying value of zero and an acquisition cost of approximately $0.6 million, which has an estimated net realizable value of $2.6 million based on our average net selling price for the year ended December 31, 2013.</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gross margin improved during each quarter for the year ended December 31, 2013. This improvement was primarily driven by lower unit cost API purchases made during 2013. The gross margin for the year ended December 31, 2013 was 55%. In addition to expected continued lower average unit cost purchases of API, we also expect that API costs will be lower in the future due to recent improvements in foreign currency exchange rates and potential advantages derived from the geographical mix of our suppliers. We recorded no cost of goods sold in 2012.</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 ended December 31, 2013 was $123.8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$57.8 million in the prior year, an increase of $66.0 million, or 114.2%. Selling, general and administrative expenses for the years ended December 31, 2013 and 2012 are summarized in the table below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40" w:type="dxa"/>
            <w:vAlign w:val="bottom"/>
            <w:gridSpan w:val="2"/>
          </w:tcPr>
          <w:p>
            <w:pPr>
              <w:jc w:val="center"/>
              <w:ind w:left="480"/>
              <w:spacing w:after="0"/>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$ 113,100</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$43,172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660" w:type="dxa"/>
            <w:vAlign w:val="bottom"/>
          </w:tcPr>
          <w:p>
            <w:pPr>
              <w:jc w:val="right"/>
              <w:spacing w:after="0"/>
              <w:rPr>
                <w:sz w:val="20"/>
                <w:szCs w:val="20"/>
                <w:color w:val="auto"/>
              </w:rPr>
            </w:pPr>
            <w:r>
              <w:rPr>
                <w:rFonts w:ascii="Arial" w:cs="Arial" w:eastAsia="Arial" w:hAnsi="Arial"/>
                <w:sz w:val="18"/>
                <w:szCs w:val="18"/>
                <w:color w:val="auto"/>
              </w:rPr>
              <w:t>11,848</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Severance (4)</w:t>
            </w:r>
          </w:p>
        </w:tc>
        <w:tc>
          <w:tcPr>
            <w:tcW w:w="660" w:type="dxa"/>
            <w:vAlign w:val="bottom"/>
          </w:tcPr>
          <w:p>
            <w:pPr>
              <w:jc w:val="right"/>
              <w:spacing w:after="0"/>
              <w:rPr>
                <w:sz w:val="20"/>
                <w:szCs w:val="20"/>
                <w:color w:val="auto"/>
              </w:rPr>
            </w:pPr>
            <w:r>
              <w:rPr>
                <w:rFonts w:ascii="Arial" w:cs="Arial" w:eastAsia="Arial" w:hAnsi="Arial"/>
                <w:sz w:val="18"/>
                <w:szCs w:val="18"/>
                <w:color w:val="auto"/>
              </w:rPr>
              <w:t>2,550</w:t>
            </w:r>
          </w:p>
        </w:tc>
        <w:tc>
          <w:tcPr>
            <w:tcW w:w="58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123,795</w:t>
            </w: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57,794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charges for stock and warrant compensation, for the year ended December 31, 2013 was $113.1 million, versus $43.2 million in the prior year, an increase of $69.9 million, or 161.8%. The increase was primarily due to cost increases in 2013 for sales force staffing, an increase in marketing program spending and increased general and administrative costs incurred in connection with the initial commercialization of Vascepa.</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Non-cash stock based compensation expense for the year ended December 31, 2013 was $11.8 million, versus $14.4 million in the prior year period, a decrease of $2.6 million, due primarily to a decrease in the number of awards outstanding as a result of the company-wide reduction in force announced in October 2013.</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Non-cash warrant related compensation (income) expense for the year ended December 31, 2013 was $3.7 million of income, versus $0.2 million of expense in the prior year. Warrant related compensation income (expense) reflects the non-cash change in fair value of the warrant derivative liability associated with warrants issued in October 2009 to three former officers of Amarin, net of warrants exercised. The change in fair value in 2013 and 2012 was due primarily to the change in our stock price during each period.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5"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Severance costs in 2013 relate to cash expenditures for one-time termination benefits and associated costs incurred in conjunction with a company-wide reduction in force announced in October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Selling, general and administrative costs in 2013 have increased over 2012 levels as we continue to support the commercialization of Vascepa, including costs for market research, sales force staffing and support costs and investments in infrastructure.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2013 was $72.8 million, versus $59.0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an increase of $13.8 million, or 23.4%. Research and development expenses for the years ended December 31, 2013 and 2012 are summarized in the table below (in thousands):</w:t>
      </w: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1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$46,994</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Other clinical trial programs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Pre-approval commercial supply (3)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16,141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Regulatory filing fees and expenses (4)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(5)</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11,763</w:t>
            </w:r>
          </w:p>
        </w:tc>
        <w:tc>
          <w:tcPr>
            <w:tcW w:w="5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69,913</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55,256</w:t>
            </w:r>
          </w:p>
        </w:tc>
      </w:tr>
      <w:tr>
        <w:trPr>
          <w:trHeight w:val="217"/>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(6)</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5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72,750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58,956</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increase in research and development expenses for the year ended December 31, 2013, as compared to the prior year period, is primarily due to an increase in costs associated with the REDUCE-IT study as further described below.</w:t>
      </w:r>
    </w:p>
    <w:p>
      <w:pPr>
        <w:spacing w:after="0" w:line="51" w:lineRule="exact"/>
        <w:rPr>
          <w:sz w:val="20"/>
          <w:szCs w:val="20"/>
          <w:color w:val="auto"/>
        </w:rPr>
      </w:pPr>
    </w:p>
    <w:p>
      <w:pPr>
        <w:ind w:left="460" w:right="80" w:hanging="452"/>
        <w:spacing w:after="0" w:line="301"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2013, we incurred expenses through our CRO in connection with this trial of approximately $38.4 million. Inclusive of CTM costs, the combined CRO and CTM costs in 2013 for REDUCE-IT were approximately $47.0 million. We expense costs for CTM upon receipt.</w:t>
      </w:r>
    </w:p>
    <w:p>
      <w:pPr>
        <w:spacing w:after="0" w:line="4"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2012 and 2013, other clinical trial programs consisted of fixed-dose combination studies. In December 2012, we completed dosing and pharmacokinetic sampling in a study to test a fixed-dose combination of Vascepa capsules and a leading statin which we refer to as AMR102. In August 2013, we completed dosing in a randomized, open-label, single-dose, 4-way cross-over study to continue testing of the relative bioavailability of AMR102 capsules, Vascepa capsules with a selected statin taken concomitantly, Vascepa taken alone and the selected statin taken alone. The results of this study support the feasibility of AMR102. We have suspended additional development of AMR102 pending resolution of the ANCHOR sNDA with the FDA.</w:t>
      </w:r>
    </w:p>
    <w:p>
      <w:pPr>
        <w:spacing w:after="0" w:line="3"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1" w:lineRule="auto"/>
        <w:rPr>
          <w:sz w:val="20"/>
          <w:szCs w:val="20"/>
          <w:color w:val="auto"/>
        </w:rPr>
      </w:pPr>
      <w:r>
        <w:rPr>
          <w:rFonts w:ascii="Arial" w:cs="Arial" w:eastAsia="Arial" w:hAnsi="Arial"/>
          <w:sz w:val="18"/>
          <w:szCs w:val="18"/>
          <w:color w:val="auto"/>
        </w:rPr>
        <w:t>above represents inventory received from Nisshin prior to NDA approval of Vascepa on July 26, 2012 or received from our other suppliers prior to their sNDA approvals. In April 2013, sNDAs were approved for two of our additional suppliers, BASF and Chemport. A sNDA was submitted in August 2013 for Novasep as part of the Slanmhor consortium. The amount of commercial supply that we receive from Novasep prior to sNDA approval depends upon production schedules at Novasep and the timing of regulatory approval, and we are unable to estimate these amounts at this time. We will continue to expense inventory received from the unapproved supplier until such time as FDA approval is obtained. Additionally, during the year ended December 31, 2013, we wrote off $1.8 million related to product that is not recoverable. This product is from a supplier from which no supply has yet been released for commercial use.</w:t>
      </w:r>
    </w:p>
    <w:p>
      <w:pPr>
        <w:spacing w:after="0" w:line="4" w:lineRule="exact"/>
        <w:rPr>
          <w:sz w:val="20"/>
          <w:szCs w:val="20"/>
          <w:color w:val="auto"/>
        </w:rPr>
      </w:pPr>
    </w:p>
    <w:p>
      <w:pPr>
        <w:ind w:left="460" w:right="4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regulatory filing fees primarily represent costs incurred in connection with regulatory filings associated with requests for regulatory approvals, such as the sNDA for the ANCHOR indication and annual FDA fees for maintaining manufacturing sites. In the year ended December 31, 2013, such fees also include costs associated with preparing for the October 16, 2013 FDA advisory committee meeting. In the year ended December 31, 2012, the regulatory filing fees balance included a credit representing the reimbursement of $1.5 million in fees by the FDA related to the NDA filing for Vascepa.</w:t>
      </w:r>
    </w:p>
    <w:p>
      <w:pPr>
        <w:spacing w:after="0" w:line="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As a result of the reduction in force, we incurred approximately $0.2 million in severance expenses in 2013.</w:t>
      </w:r>
    </w:p>
    <w:p>
      <w:pPr>
        <w:spacing w:after="0" w:line="2"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2013 was a gain of $47.7 million versus a loss of $35.3 million in the prior year period. Gain (loss) on change in fair value of derivative liabilities is comprised of the change in fair value of the warrant derivative liability and the change in fair value of the derivative liability related to the change in control provision associated with the December 2012 BioPharma financing.</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2013 was $6.9 million and we recognized a $44.2 million gain on change in fair value of derivative liability for the year ended December 31, 2013 for these warrants. The fair value of the warrant derivative liability at December 31, 2012 was $54.9 million and we recognized a $35.4 million loss on change in fair value of derivative liability for the year ended December 31, 2012. The change in fair value of the warrant derivative liability is due primarily to the change in the price of our common stock on the date of valuation.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2013, the fair value of the derivative was determined to be $11.1 million, and at December 31, 2012, the fair value of the derivative was determined to be $14.6 million. We recognized a gain on change in fair value of derivative liability of $3.5 million and $0.02 million for the years ended December 31, 2013 and 2012,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56"/>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year ended December 31, 2013 was $33.8 million, versus $17.5 million in the prior year period,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$16.3 million, or 93.1%. Net interest expense for the years ended December 31, 2013 and 2012 is summarized in the table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w:t>
            </w: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Amortization of debt discount created upon allocation of proceeds to the conversion option</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$12,546</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coupon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Amortization of the discount from the underwriter’s discounts and offering costs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Exchangeable senior notes 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Long-term debt—BioPharma financing (1):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interest—current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Cash interest—deferred</w:t>
            </w:r>
          </w:p>
        </w:tc>
        <w:tc>
          <w:tcPr>
            <w:tcW w:w="580" w:type="dxa"/>
            <w:vAlign w:val="bottom"/>
          </w:tcPr>
          <w:p>
            <w:pPr>
              <w:jc w:val="right"/>
              <w:spacing w:after="0"/>
              <w:rPr>
                <w:sz w:val="20"/>
                <w:szCs w:val="20"/>
                <w:color w:val="auto"/>
              </w:rPr>
            </w:pPr>
            <w:r>
              <w:rPr>
                <w:rFonts w:ascii="Arial" w:cs="Arial" w:eastAsia="Arial" w:hAnsi="Arial"/>
                <w:sz w:val="18"/>
                <w:szCs w:val="18"/>
                <w:color w:val="auto"/>
              </w:rPr>
              <w:t>9,451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Total long-term debt 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13,859</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 expense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34,179</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 net</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8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33,836</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year ended December 31, 2013 were $11.3 million and $2.6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For the three months ended September 30, 2013 and December 31, 2013, our revenues were below the contractual threshold amount such that we made a cash payment of $0.8 million in November 2013 based on $8.4 million in revenue recognized in the third quarter of 2013 and we will make a cash payment of $1.0 million in February 2014 based on $10.1 million in revenue recognized in the fourth quarter of 2013, reflecting the calculated optional reduction amount as opposed to the contractual threshold payments of $2.5 million for each quarterly period.</w:t>
      </w:r>
    </w:p>
    <w:p>
      <w:pPr>
        <w:ind w:left="460" w:right="10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income for the year ended December 31, 2013 was $0.3 million, versus $0.5 million in the prior year period, a decrease of $0.2 million, or 40.0%. Interest income represents income earned on cash balances.</w:t>
      </w:r>
    </w:p>
    <w:p>
      <w:pPr>
        <w:spacing w:after="0" w:line="13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Other Income (Expense), net. </w:t>
      </w:r>
      <w:r>
        <w:rPr>
          <w:rFonts w:ascii="Arial" w:cs="Arial" w:eastAsia="Arial" w:hAnsi="Arial"/>
          <w:sz w:val="15"/>
          <w:szCs w:val="15"/>
          <w:color w:val="auto"/>
        </w:rPr>
        <w:t>Other income (expense), net for the year ended December 31, 2013 was a $1.2 million expense versus a $0.4 million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prior year. Other income (expense), net primarily consists of losses and gains on foreign exchange transactions, including realized gains and losses on foreign exchange forward contracts. We use foreign exchange forward contracts to hedge against changes in exchange rates for inventory purchases denominated in foreign currency. The unrealized gains and losses on such contracts are recorded within gain (loss) on change in fair value of derivative liability. As</w:t>
      </w:r>
    </w:p>
    <w:p>
      <w:pPr>
        <w:spacing w:after="0" w:line="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of December 31, 2013, all such contracts had been settled. For the year ended December 31, 2013, we recognized a realized loss of $1.1 million related to the settlement of the foreign exchange forward contracts, which was included as a component of other income (expense), net. There were no foreign exchange forward contracts outstanding in 2012. Other income (expense) for the year ended December 31, 2012 was a net expense of $0.4 million.</w:t>
      </w:r>
    </w:p>
    <w:p>
      <w:pPr>
        <w:spacing w:after="0" w:line="10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Benefit from (Provision for) Income Taxes. </w:t>
      </w:r>
      <w:r>
        <w:rPr>
          <w:rFonts w:ascii="Arial" w:cs="Arial" w:eastAsia="Arial" w:hAnsi="Arial"/>
          <w:sz w:val="18"/>
          <w:szCs w:val="18"/>
          <w:color w:val="auto"/>
        </w:rPr>
        <w:t>Benefit from (provision for) income taxes for the year ended December 31, 2013 was a $3.2 million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versus a $9.1 million provision in the prior year. The current benefit relates entirely to our United States subsidiary operations. We are profitable in the United States as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result of intercompany transactions between our United States subsidiary and our other companies. The 2013 benefit primarily relates to tax credits for research and development activities. The 2012 provision for income taxes primarily relates to the exercise of stock options of which the excess benefits related to the option exercises are recorded to additional-paid-in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sources of liquidity as of December 31, 2014 include cash and cash equivalents of $119.5 million. Our projected uses of cash include commercialization of Vascepa for the MARINE indication,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16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3"/>
          </w:tcPr>
          <w:p>
            <w:pPr>
              <w:jc w:val="right"/>
              <w:ind w:right="20"/>
              <w:spacing w:after="0"/>
              <w:rPr>
                <w:sz w:val="20"/>
                <w:szCs w:val="20"/>
                <w:color w:val="auto"/>
              </w:rPr>
            </w:pPr>
            <w:r>
              <w:rPr>
                <w:rFonts w:ascii="Arial" w:cs="Arial" w:eastAsia="Arial" w:hAnsi="Arial"/>
                <w:sz w:val="18"/>
                <w:szCs w:val="18"/>
                <w:color w:val="auto"/>
              </w:rPr>
              <w:t>$ (72.3)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(190.3)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$(122.3)</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6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$ 143.6</w:t>
            </w:r>
          </w:p>
        </w:tc>
      </w:tr>
      <w:tr>
        <w:trPr>
          <w:trHeight w:val="20"/>
        </w:trPr>
        <w:tc>
          <w:tcPr>
            <w:tcW w:w="5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December 31, 2014, the net remaining amount to be repaid to BioPharma is $144.4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2015 is $31.6 million. The quarterly repayments through December 31, 2014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3.50% May 2014 Exchangeable Senior Notes due 2032, or the 2014 Notes, following which $31.3 million in aggregate principal amount of the 2012 Notes remain outstanding with terms unchanged.</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27"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As of December 31, 2014, we had cash and cash equivalents of $119.5 million, a decrease of $72.0 million from December 31, 2013. The decrease is primarily due to net cash used in operating activities in support of the continued commercialization of Vascepa and the continued funding of REDUCE-IT less accounts receivable collections. Cash flows from financing activities in the year ended December 31, 2014 include a refund of $3.2 million for UK stamp duty taxes paid in prior periods related to the issuance of common stock. We have incurred annual operating losses since our inception and, as a result, we had an accumulated deficit of $970.2 million as of December 31, 2014. We believe that our cash and cash equivalents balance of $119.5 million at December 31, 2014 will be sufficient to fund our projected operations for at least the next twelve months. We anticipate that quarterly net cash outflows in future periods will be variable and that net cash outflows in the first quarter of 2015 will be higher than the fourth quarter of 2014 as a result of the timing of certain items, including interest payments and supply purchases.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December 31, 2014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2017</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2019</w:t>
            </w:r>
          </w:p>
        </w:tc>
        <w:tc>
          <w:tcPr>
            <w:tcW w:w="5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2019</w:t>
            </w:r>
          </w:p>
        </w:tc>
      </w:tr>
      <w:tr>
        <w:trPr>
          <w:trHeight w:val="196"/>
        </w:trPr>
        <w:tc>
          <w:tcPr>
            <w:tcW w:w="7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$55.5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$ 27.3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$ 12.8</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$ 38.5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140" w:hanging="452"/>
        <w:spacing w:after="0" w:line="283"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agreements with API suppliers which include minimum purchase levels to enable us to maintain certain exclusivity with each respective supplier and certain agreements require any shortfall in such purchase levels to be paid in cash. The amounts in the table above reflect amounts potentially payable to our suppliers based on our minimum purchase obligations assuming such suppliers are qualified. Each supplier is required to meet certain performance obligations and the agreements may be terminated by us in the event of non-performance.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and Bedminster, NJ.</w:t>
      </w:r>
    </w:p>
    <w:p>
      <w:pPr>
        <w:spacing w:after="0" w:line="9"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scheduled interest payments due under the terms of the 2012 Notes and 2014 Notes, assuming that the 2012 Notes remain outstanding through January 19, 2017 and that the 2014 Notes remain outstanding through January 19, 2019 and they have not been exchanged for ADSs. The above table does not reflect the repayment of the $150.0 million notes as they may be exchanged for ADSs.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6, 2012, we entered into an agreement with BioPharma Secured Debt Fund II Holdings Cayman LP, or BioPharma. Under this agreement, we granted to BioPharma a security interest in future receivables associated with the Vascepa patent rights, in exchange for $100 million received at the closing of the agreement which occurred in December 2012. We agreed to repay BioPharma up to $150 million of future revenue and receivables. As of December 31, 2014, the net remaining amount to be repaid to BioPharma is $144.4 million. To date, each payment made has reflected the calculated optional reduction amount as opposed to the contractual threshold payments for each quarterly period.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There is no compounding of interest as part of this agreement and, except in conjunction with a change of control, insolvency or default, no cliff payment is scheduled or otherwise due. Quarterly repayments, subject to the contractual threshold limitation, are scheduled to be paid in accordance with the following schedule: $10.0 million in the second quarter of 2015 and in each of the next three quarters, $15.0 million per quarter in each of the next four quarters, and a final payment of $13.0 million scheduled for payment in May 2017.</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enter into financial instruments for trading or speculative purposes. At December 31, 2014, we had no outstanding forward exchange contracts.</w:t>
      </w:r>
    </w:p>
    <w:p>
      <w:pPr>
        <w:spacing w:after="0" w:line="19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April 2013, we announced the approval by the FDA of the sNDAs covering two of our API suppliers, Chemport, Inc. and BASF (formerly Equateq Limited). In April 2014, we reached a settlement agreement with BASF under which we received a refund for material purchases of $3.0 million. The Chemport supply agreement provides access to additional API supply that is incremental to supply from Nisshin, our other existing FDA-approved API supplier. The Chemport agreement includes minimum annual purchase levels enabling us to maintain supply exclusivity. The Chemport agreement also includes a provision that any shortfall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minimum purchase commitments is payable in cash, and the maximum amounts payable pursuant to this provision are reflected in the table above. The API supply agreement with BASF terminated in February 2014.</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2011 supply agreement with Chemport includes commitments for us to fund (i) certain development fees (ii) material purchases for initial raw materials, which amount will be credited against future API purchases and (iii) a raw material purchase commitment. During the year ended December 31, 2014, we made payments of $6.7 million to Chemport. We have paid $3.1 million to BASF related to development and supply commitments through December 31, 2014. We have paid $6.2 million to the Slanmhor consortium related to development and supply provisions through December 31, 2014 and during the years ended December 31, 2014 and 2013, we made payments of $0.4 million and $6.1 million, respectively, related to stability and technical batches and advances on anticipated future API purchases.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and $3.3 million as of December 31, 2014 and 2013, respectively, is included in other long term assets and is accounted for under the cost method.</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$0.6 million during each of the years ended December 31, 2014 and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$11.7 million at December 31, 2014). Additionally,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$7.8 million at December 31, 2014) for each of the two potential market approvals (i.e. £10 million maximum, or approximately $15.5 million at December 31, 2014).</w:t>
      </w:r>
    </w:p>
    <w:p>
      <w:pPr>
        <w:spacing w:after="0" w:line="123"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$0.4 million for uncertain tax positions that have been recorded in long-term liabilities at December 31, 2014.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On March 29, 2014, the universal shelf registration statement on Form S-3 (Registration No. 333-173132) that we had filed with the SEC on March 29, 2011, expired. On August 7, 2014, we filed with the SEC a new universal shelf registration statement on Form S-3, which provides for the offer, from time to time, of up to $300,000,000 of: ordinary shares, which may be represented by American Depositary Shares; preference shares,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306" w:lineRule="auto"/>
        <w:rPr>
          <w:sz w:val="20"/>
          <w:szCs w:val="20"/>
          <w:color w:val="auto"/>
        </w:rPr>
      </w:pPr>
      <w:r>
        <w:rPr>
          <w:rFonts w:ascii="Arial" w:cs="Arial" w:eastAsia="Arial" w:hAnsi="Arial"/>
          <w:sz w:val="16"/>
          <w:szCs w:val="16"/>
          <w:color w:val="auto"/>
        </w:rPr>
        <w:t>which may be represented by American Depositary Shares; senior or subordinated debt securities; warrants to purchase any of these securities; and any combination of these securities, individually or as units. The addition of any newly issued equity securities into the market may be dilutive to existing stockholders and new issuances by us or sales by our selling security holders could have an adverse effect on the price of our securities.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exposed to market risks, which include changes in interest rates. We do not use derivative financial instruments in our investment portfolio, and prior to 2013 we entered into no foreign exchange contracts. Our investments meet high credit quality and diversification standards, as specified in our investment policy. At December 31, 2014, we recorded as a liability the fair value of warrants to purchase 8.1 million shares of our common stock issued to investors. The fair value of this warrant derivative liability is determined using the Black-Scholes option valuation model and is therefore sensitive to changes in the market price and volatility of our common stock among other factors. In the event of a hypothetical 10% increase in the market price of our common shares ($1.08 based on the $0.98 market price of our stock at December 31, 2014) on which the December 31, 2014 valuation was based, the value of the derivative liability would have increased by $0.1 million. Such increase would have been reflected as a loss on change in fair value of derivative liability and increase in warrant compensation expense in our statement of operations.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Foreign Currency Exchange Risk. </w:t>
      </w:r>
      <w:r>
        <w:rPr>
          <w:rFonts w:ascii="Arial" w:cs="Arial" w:eastAsia="Arial" w:hAnsi="Arial"/>
          <w:sz w:val="16"/>
          <w:szCs w:val="16"/>
          <w:color w:val="auto"/>
        </w:rPr>
        <w:t>Our results of operations and cash flows are subject to fluctuations due to changes in the Euro, Sterling and Yen.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supply from Nisshin in Japanese Yen. As our level of supply purchases from Nisshin increased in 2013, we entered into short-term forward currency pricing contracts to lock-in the exchange rate on a portion of our anticipated purchases denominated in Japanese Yen. All such contracts were settled as of December 31, 2013 and there were no forward currency contracts executed in 2014.</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 price</w:t>
      </w:r>
      <w:r>
        <w:rPr>
          <w:rFonts w:ascii="Arial" w:cs="Arial" w:eastAsia="Arial" w:hAnsi="Arial"/>
          <w:sz w:val="16"/>
          <w:szCs w:val="16"/>
          <w:i w:val="1"/>
          <w:iCs w:val="1"/>
          <w:color w:val="auto"/>
        </w:rPr>
        <w:t xml:space="preserve"> </w:t>
      </w:r>
      <w:r>
        <w:rPr>
          <w:rFonts w:ascii="Arial" w:cs="Arial" w:eastAsia="Arial" w:hAnsi="Arial"/>
          <w:sz w:val="16"/>
          <w:szCs w:val="16"/>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2014, the fair value of our cash and cash equivalents maturing in one year or less was $119.5 million and represented 100% of our cash, cash 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As of December 31, 2014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2014. In conducting this evaluation,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upon this evaluation and those criteria, management believes that, as of December 31, 2014, our internal controls over financial reporting were effective.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audited our consolidated financial statements and the effectiveness of our internal control over financial reporting as of December 31, 2014. This report appears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2014 that have materially affected, or are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Amarin Corporation plc’s internal control over financial reporting as of December 31, 2014, based on criteria established in Internal Control—Integrated Framework issued by the Committee of Sponsoring Organizations of the Treadway Commission (2013 framework) (the COSO criteria). Amarin Corporation plc’s management is responsible for maintaining effective internal control over financial reporting, and for its assessment of the effectiveness of internal control over financial reporting included in the accompanying Report of Management on Internal Controls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our opinion, Amarin maintained, in all material respects, effective internal control over financial reporting as of December 31, 2014, based on the COSO criteria.</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Amarin Corporation plc as of December 31, 2014, and the related consolidated statements of statement of operations, stockholders’ deficit and cash flow for the year ended December 31, 2014 of Amarin Corporation plc and our report dated March 3, 2015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Material Agreement</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(the “Territory”). Under the terms of the DCS Agreement, we granted to Eddingpharm an exclusive (including as to Amarin) license with right to sublicense to develop and commercialize Vascepa in the Territory for uses that are currently commercialized and under development by us based on our MARINE, ANCHOR and ongoing REDUCE-IT clinical trials of Vascepa.</w:t>
      </w:r>
    </w:p>
    <w:p>
      <w:pPr>
        <w:spacing w:after="0" w:line="116" w:lineRule="exact"/>
        <w:rPr>
          <w:sz w:val="20"/>
          <w:szCs w:val="20"/>
          <w:color w:val="auto"/>
        </w:rPr>
      </w:pPr>
    </w:p>
    <w:p>
      <w:pPr>
        <w:ind w:right="320" w:firstLine="456"/>
        <w:spacing w:after="0" w:line="253"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Territory and associated expenses. We will provide development assistance and be responsible for supplying finished, and later bulk, drug product at defined prices under negotiated supply terms. We will retain all Vascepa manufacturing rights. We received a non-refundable $15.0 million up-front payment and are eligible to receive development, regulatory and sales-based milestone payments of up to an additional $154.0 million. In addition, Eddingpharm will pay us tiered double-digit percentage royalties on net sales of Vascepa in the Territory escalating to the high teens. Eddingpharm has agreed to certain restrictions regarding the commercialization of competitive products globally and we have agreed to certain restrictions regarding the commercialization of competitive products in the Territory.</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Eddingpharm agreed to form a joint development committee to oversee regulatory and development activities for Vascepa in the Territory in accordance with a negotiated development plan and to form a separate joint commercialization committee to oversee Vascepa commercialization activities in the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Territory at Eddingpharm’s cost with our assistance. The DCS Agreement also contains customary provisions regarding indemnification, packaging, record keeping, audit rights, reporting obligations, and representations and warranties that are customary for an arrangement of this type.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we may assign the DCS Agreement in the event of a change of control transaction.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DCS Agreement will be filed as an exhibit to our Quarterly Report on Form 10-Q for the three months ending March 31,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2015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2015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2015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2015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2015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410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40"/>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540" w:type="dxa"/>
            <w:vAlign w:val="bottom"/>
          </w:tcPr>
          <w:p>
            <w:pPr>
              <w:spacing w:after="0"/>
              <w:rPr>
                <w:sz w:val="14"/>
                <w:szCs w:val="14"/>
                <w:color w:val="auto"/>
              </w:rPr>
            </w:pPr>
          </w:p>
        </w:tc>
      </w:tr>
      <w:tr>
        <w:trPr>
          <w:trHeight w:val="322"/>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Articles of Association of the Company</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Form of Amended and Restated Deposit Agreement,</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dated as of November 4, 2011, among the Company,</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5"/>
              </w:rPr>
              <w:t>Citibank, N.A., as Depositary, and all holders from</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1"/>
              </w:rPr>
              <w:t>time to time of American Depositary Receipts issued</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Indenture, dated as of January 9, 2012,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4"/>
              </w:rPr>
              <w:t>Corsicanto Limited, the Company and Wells Fargo</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as trustee</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2"/>
              </w:rPr>
              <w:t>Indenture, dated as of May 20, 2014,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Corsicanto Limited, the Company and Wilmington</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Trust, National Association, as trustee</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Form of Ordinary Share certificate</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7"/>
              </w:rPr>
              <w:t>Form of American Depositary Receipt evidencing</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ADSs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2002 Stock Option Plan*</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2011 Stock Option 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1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2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Amendment No. 3 to 2011 Stock Option and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Amarin Corporation plc Management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Compensation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-661670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3"/>
              </w:rPr>
              <w:t>Form</w:t>
            </w:r>
          </w:p>
        </w:tc>
        <w:tc>
          <w:tcPr>
            <w:tcW w:w="8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2"/>
                <w:szCs w:val="12"/>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Quarterly Report on Form 10-Q, File No. 0-21392, as</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2013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3.1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Current Report on Form 8-K dated January 9, 2012,</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1"/>
              </w:rPr>
              <w:t>January 10,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May 15, 2014,</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May 21, 2014</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000-21392,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April 24, 2003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2002, File No. 0-21392, as Exhibit 2.4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March 5,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4.17</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9, 2011</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2008</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2008</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28,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2012, File No. 0-21392, as Exhibit 10.5</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March 16, 2011</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2010, File No. 0-21392, as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5"/>
        </w:trPr>
        <w:tc>
          <w:tcPr>
            <w:tcW w:w="1760" w:type="dxa"/>
            <w:vAlign w:val="bottom"/>
          </w:tcPr>
          <w:p>
            <w:pPr>
              <w:ind w:left="30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2">
            <w:col w:w="4920" w:space="400"/>
            <w:col w:w="5460"/>
          </w:cols>
          <w:pgMar w:left="240" w:top="459" w:right="8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Form of Incentive Stock Option Award Agreement</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Form of Non-Qualified Stock Option Award Agreement</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Form of Restricted Stock Unit Award Agreement</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8"/>
              </w:rPr>
              <w:t>Letter Agreement dated August 1, 2008 with Paresh</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Soni*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dated October 12, 2009 with Dr. Declan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Doogan*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dated October 12, 2009 with Joseph 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Zakrzewski*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October 16, 2009 with Thomas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G.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December 2, 2009, among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Sunninghill Limited, Michael Walsh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Simon Kukes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December 9, 2009 with Thomas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G. Lynch, Alan Cooke and Tom Maher*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Letter Agreement, dated August 16, 2010, between the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and Colin Stewart*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Letter Agreement, dated November 15, 2010, between the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and John F. Thero*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March 1, 2010 with Frederick W.</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Ahlholm*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dated January 28, 2011 with Paul Huff*</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with Joseph Kennedy, dated December</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13, 2011*</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10.20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10.35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10.39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10,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March 31,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-5915660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60" w:space="220"/>
            <w:col w:w="5580"/>
          </w:cols>
          <w:pgMar w:left="240" w:top="459" w:right="7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Letter Agreement with Stuart Sedlack, dated December</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23, 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with John Thero,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Letter Agreement with Paul Huff,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with Paresh Soni,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with Steve Ketchum, dated February 8,</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2011 Long Term Incentive Award with Joseph Kennedy</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dated December 16,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2012 Long Term Incentive Award with Steven Ketchum</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dated March 1,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Compromise Agreement, dated October 16, 2009,</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Alan Cooke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Warrant Agreement, dated October 16, 2009,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Thomas G.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Employment Agreement dated November 5, 2009 with</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John F. Thero*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Compromise Agreement dated December 10, 2009 with</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Tom Maher*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Transitional Employment Agreement, dated August 16,</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Declan Doogan*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Resignation and Release Agreement, dated November 9,</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Colin Stewart*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Employment Agreement, effective December 31, 2010,</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Current Report on Form 8-K dated February 16, 2012,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16,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10.38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-5777865</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Consulting Agreement, dated November 10, 2010,</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Amended and Restated Employment Agreement with Joe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Zakrzewski, dated October 20, 2011*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Stuart Sedlack offer letter, dated August 1, 2007*</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Sale and Purchase Agreement, dated March 14, 2003,</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between F. Hoffmann-La Roche Limited, Hoffmann-La</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Roche Inc.,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Share Purchase Agreement, dated October 8, 2004</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between the Company, Vida Capital Partners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Vendors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Agreement, dated January 18, 2007, between Neurostat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Pharmaceuticals Inc., Amarin Pharmaceuticals Ireland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Limited, the Company and Mr. Tim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Development and License Agreement dated March 6,</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2007 between Amarin Pharmaceuticals Ireland Limited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Termination and Assignment Agreement, dated July 21,</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5"/>
              </w:rPr>
              <w:t>2009 between Elan Pharma International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Form of Purchase Agreement, dated June 1, 2007,</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between the Company and the Purchasers named therein</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U.S.</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Form of Equity Securities Purchase Agreement for Non-</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U.S. 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Current Report on Form 8-K dated October 20,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20,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24, 2003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2002, File No. 0-21392, as Exhibit 4.22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20, 2004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121431, as Exhibit 4.24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2007,</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840" w:type="dxa"/>
            <w:vAlign w:val="bottom"/>
          </w:tcPr>
          <w:p>
            <w:pPr>
              <w:ind w:left="34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-5872480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Description</w:t>
            </w:r>
          </w:p>
        </w:tc>
        <w:tc>
          <w:tcPr>
            <w:tcW w:w="3740" w:type="dxa"/>
            <w:vAlign w:val="bottom"/>
          </w:tcPr>
          <w:p>
            <w:pPr>
              <w:spacing w:after="0"/>
              <w:rPr>
                <w:sz w:val="11"/>
                <w:szCs w:val="11"/>
                <w:color w:val="auto"/>
              </w:rPr>
            </w:pPr>
          </w:p>
        </w:tc>
        <w:tc>
          <w:tcPr>
            <w:tcW w:w="2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Date</w:t>
            </w:r>
          </w:p>
        </w:tc>
      </w:tr>
      <w:tr>
        <w:trPr>
          <w:trHeight w:val="27"/>
        </w:trPr>
        <w:tc>
          <w:tcPr>
            <w:tcW w:w="50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r>
    </w:tbl>
    <w:p>
      <w:pPr>
        <w:spacing w:after="0" w:line="100" w:lineRule="exact"/>
        <w:rPr>
          <w:sz w:val="20"/>
          <w:szCs w:val="20"/>
          <w:color w:val="auto"/>
        </w:rPr>
      </w:pPr>
    </w:p>
    <w:p>
      <w:pPr>
        <w:sectPr>
          <w:pgSz w:w="11900" w:h="16838" w:orient="portrait"/>
          <w:cols w:equalWidth="0" w:num="1">
            <w:col w:w="10860"/>
          </w:cols>
          <w:pgMar w:left="240" w:top="459" w:right="799" w:bottom="1440" w:gutter="0" w:footer="0" w:header="0"/>
        </w:sectPr>
      </w:pPr>
    </w:p>
    <w:p>
      <w:pPr>
        <w:ind w:left="960" w:right="380" w:hanging="958"/>
        <w:spacing w:after="0" w:line="306" w:lineRule="auto"/>
        <w:tabs>
          <w:tab w:leader="none" w:pos="9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Debt Securities Purchase Agreement, dated December 4, 2007, between the Company and the Purchasers named therein</w:t>
      </w:r>
    </w:p>
    <w:p>
      <w:pPr>
        <w:spacing w:after="0" w:line="66" w:lineRule="exact"/>
        <w:rPr>
          <w:sz w:val="20"/>
          <w:szCs w:val="20"/>
          <w:color w:val="auto"/>
        </w:rPr>
      </w:pPr>
    </w:p>
    <w:p>
      <w:pPr>
        <w:ind w:left="960" w:hanging="958"/>
        <w:spacing w:after="0" w:line="298" w:lineRule="auto"/>
        <w:tabs>
          <w:tab w:leader="none" w:pos="9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Stock Purchase Agreement, dated December 5, 2007, between the Company, the selling shareholders of Ester Neurosciences Limited, Ester Neurosciences Limited and Medica II Management L.P. ††</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Report of Foreign Private Issuer filed on Form 6-K, File</w:t>
      </w:r>
      <w:r>
        <w:rPr>
          <w:sz w:val="20"/>
          <w:szCs w:val="20"/>
          <w:color w:val="auto"/>
        </w:rPr>
        <w:tab/>
      </w:r>
      <w:r>
        <w:rPr>
          <w:rFonts w:ascii="Arial" w:cs="Arial" w:eastAsia="Arial" w:hAnsi="Arial"/>
          <w:sz w:val="15"/>
          <w:szCs w:val="15"/>
          <w:color w:val="auto"/>
        </w:rPr>
        <w:t>December 17,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0-21392,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99.7</w:t>
      </w:r>
    </w:p>
    <w:p>
      <w:pPr>
        <w:spacing w:after="0" w:line="124"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Report of Foreign Private Issuer filed on Form 6-K, File</w:t>
      </w:r>
      <w:r>
        <w:rPr>
          <w:sz w:val="20"/>
          <w:szCs w:val="20"/>
          <w:color w:val="auto"/>
        </w:rPr>
        <w:tab/>
      </w:r>
      <w:r>
        <w:rPr>
          <w:rFonts w:ascii="Arial" w:cs="Arial" w:eastAsia="Arial" w:hAnsi="Arial"/>
          <w:sz w:val="15"/>
          <w:szCs w:val="15"/>
          <w:color w:val="auto"/>
        </w:rPr>
        <w:t>January 28,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0-21392,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327" w:lineRule="exact"/>
        <w:rPr>
          <w:sz w:val="20"/>
          <w:szCs w:val="20"/>
          <w:color w:val="auto"/>
        </w:rPr>
      </w:pPr>
    </w:p>
    <w:p>
      <w:pPr>
        <w:sectPr>
          <w:pgSz w:w="11900" w:h="16838" w:orient="portrait"/>
          <w:cols w:equalWidth="0" w:num="2">
            <w:col w:w="5000" w:space="280"/>
            <w:col w:w="5580"/>
          </w:cols>
          <w:pgMar w:left="240" w:top="459" w:right="7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10.48</w:t>
            </w:r>
          </w:p>
        </w:tc>
        <w:tc>
          <w:tcPr>
            <w:tcW w:w="4500" w:type="dxa"/>
            <w:vAlign w:val="bottom"/>
          </w:tcPr>
          <w:p>
            <w:pPr>
              <w:ind w:left="280"/>
              <w:spacing w:after="0"/>
              <w:rPr>
                <w:sz w:val="20"/>
                <w:szCs w:val="20"/>
                <w:color w:val="auto"/>
              </w:rPr>
            </w:pPr>
            <w:r>
              <w:rPr>
                <w:rFonts w:ascii="Arial" w:cs="Arial" w:eastAsia="Arial" w:hAnsi="Arial"/>
                <w:sz w:val="18"/>
                <w:szCs w:val="18"/>
                <w:color w:val="auto"/>
                <w:w w:val="92"/>
              </w:rPr>
              <w:t>Letter Agreement, dated December 6, 2007, between the</w:t>
            </w:r>
          </w:p>
        </w:tc>
        <w:tc>
          <w:tcPr>
            <w:tcW w:w="4180" w:type="dxa"/>
            <w:vAlign w:val="bottom"/>
          </w:tcPr>
          <w:p>
            <w:pPr>
              <w:ind w:left="100"/>
              <w:spacing w:after="0"/>
              <w:rPr>
                <w:sz w:val="20"/>
                <w:szCs w:val="20"/>
                <w:color w:val="auto"/>
              </w:rPr>
            </w:pPr>
            <w:r>
              <w:rPr>
                <w:rFonts w:ascii="Arial" w:cs="Arial" w:eastAsia="Arial" w:hAnsi="Arial"/>
                <w:sz w:val="18"/>
                <w:szCs w:val="18"/>
                <w:color w:val="auto"/>
                <w:w w:val="92"/>
              </w:rPr>
              <w:t>Report of Foreign Private Issuer filed on Form 6-K, File</w:t>
            </w:r>
          </w:p>
        </w:tc>
        <w:tc>
          <w:tcPr>
            <w:tcW w:w="1500" w:type="dxa"/>
            <w:vAlign w:val="bottom"/>
          </w:tcPr>
          <w:p>
            <w:pPr>
              <w:ind w:left="120"/>
              <w:spacing w:after="0"/>
              <w:rPr>
                <w:sz w:val="20"/>
                <w:szCs w:val="20"/>
                <w:color w:val="auto"/>
              </w:rPr>
            </w:pPr>
            <w:r>
              <w:rPr>
                <w:rFonts w:ascii="Arial" w:cs="Arial" w:eastAsia="Arial" w:hAnsi="Arial"/>
                <w:sz w:val="18"/>
                <w:szCs w:val="18"/>
                <w:color w:val="auto"/>
                <w:w w:val="99"/>
              </w:rPr>
              <w:t>February 1, 2008</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5"/>
              </w:rPr>
              <w:t>Company and the Sellers’ Representative of the selling</w:t>
            </w:r>
          </w:p>
        </w:tc>
        <w:tc>
          <w:tcPr>
            <w:tcW w:w="4180" w:type="dxa"/>
            <w:vAlign w:val="bottom"/>
          </w:tcPr>
          <w:p>
            <w:pPr>
              <w:ind w:left="100"/>
              <w:spacing w:after="0"/>
              <w:rPr>
                <w:sz w:val="20"/>
                <w:szCs w:val="20"/>
                <w:color w:val="auto"/>
              </w:rPr>
            </w:pPr>
            <w:r>
              <w:rPr>
                <w:rFonts w:ascii="Arial" w:cs="Arial" w:eastAsia="Arial" w:hAnsi="Arial"/>
                <w:sz w:val="18"/>
                <w:szCs w:val="18"/>
                <w:color w:val="auto"/>
              </w:rPr>
              <w:t>No. 0-21392, as</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shareholders of Ester Neurosciences Limited</w:t>
            </w:r>
          </w:p>
        </w:tc>
        <w:tc>
          <w:tcPr>
            <w:tcW w:w="4180" w:type="dxa"/>
            <w:vAlign w:val="bottom"/>
          </w:tcPr>
          <w:p>
            <w:pPr>
              <w:ind w:left="100"/>
              <w:spacing w:after="0"/>
              <w:rPr>
                <w:sz w:val="20"/>
                <w:szCs w:val="20"/>
                <w:color w:val="auto"/>
              </w:rPr>
            </w:pPr>
            <w:r>
              <w:rPr>
                <w:rFonts w:ascii="Arial" w:cs="Arial" w:eastAsia="Arial" w:hAnsi="Arial"/>
                <w:sz w:val="18"/>
                <w:szCs w:val="18"/>
                <w:color w:val="auto"/>
              </w:rPr>
              <w:t>Exhibit 99.1</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10.49</w:t>
            </w:r>
          </w:p>
        </w:tc>
        <w:tc>
          <w:tcPr>
            <w:tcW w:w="4500" w:type="dxa"/>
            <w:vAlign w:val="bottom"/>
          </w:tcPr>
          <w:p>
            <w:pPr>
              <w:ind w:left="280"/>
              <w:spacing w:after="0"/>
              <w:rPr>
                <w:sz w:val="20"/>
                <w:szCs w:val="20"/>
                <w:color w:val="auto"/>
              </w:rPr>
            </w:pPr>
            <w:r>
              <w:rPr>
                <w:rFonts w:ascii="Arial" w:cs="Arial" w:eastAsia="Arial" w:hAnsi="Arial"/>
                <w:sz w:val="18"/>
                <w:szCs w:val="18"/>
                <w:color w:val="auto"/>
                <w:w w:val="94"/>
              </w:rPr>
              <w:t>Amendment No. 1 to Stock Purchase Agreement, dated</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rPr>
              <w:t>May 19, 2008</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April 7, 2008, between the Company and Medica II</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2007,</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Management L.P.</w:t>
            </w: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4.79</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10.50</w:t>
            </w:r>
          </w:p>
        </w:tc>
        <w:tc>
          <w:tcPr>
            <w:tcW w:w="4500" w:type="dxa"/>
            <w:vAlign w:val="bottom"/>
          </w:tcPr>
          <w:p>
            <w:pPr>
              <w:ind w:left="280"/>
              <w:spacing w:after="0"/>
              <w:rPr>
                <w:sz w:val="20"/>
                <w:szCs w:val="20"/>
                <w:color w:val="auto"/>
              </w:rPr>
            </w:pPr>
            <w:r>
              <w:rPr>
                <w:rFonts w:ascii="Arial" w:cs="Arial" w:eastAsia="Arial" w:hAnsi="Arial"/>
                <w:sz w:val="18"/>
                <w:szCs w:val="18"/>
                <w:color w:val="auto"/>
                <w:w w:val="98"/>
              </w:rPr>
              <w:t>Securities Purchase Agreement, dated May 12, 2008,</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w w:val="97"/>
              </w:rPr>
              <w:t>October 22, 2009</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3"/>
              </w:rPr>
              <w:t>among the Company and the Purchasers named therein</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2008,</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4.80</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10.51</w:t>
            </w:r>
          </w:p>
        </w:tc>
        <w:tc>
          <w:tcPr>
            <w:tcW w:w="4500" w:type="dxa"/>
            <w:vAlign w:val="bottom"/>
          </w:tcPr>
          <w:p>
            <w:pPr>
              <w:ind w:left="280"/>
              <w:spacing w:after="0"/>
              <w:rPr>
                <w:sz w:val="20"/>
                <w:szCs w:val="20"/>
                <w:color w:val="auto"/>
              </w:rPr>
            </w:pPr>
            <w:r>
              <w:rPr>
                <w:rFonts w:ascii="Arial" w:cs="Arial" w:eastAsia="Arial" w:hAnsi="Arial"/>
                <w:sz w:val="18"/>
                <w:szCs w:val="18"/>
                <w:color w:val="auto"/>
                <w:w w:val="94"/>
              </w:rPr>
              <w:t>Form of Securities Purchase Agreement, dated May 13,</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rPr>
              <w:t>May 19, 2008</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3"/>
              </w:rPr>
              <w:t>2008, between the Company and the Purchasers named</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2007,</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therein ††</w:t>
            </w: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4.81</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10.52</w:t>
            </w:r>
          </w:p>
        </w:tc>
        <w:tc>
          <w:tcPr>
            <w:tcW w:w="4500" w:type="dxa"/>
            <w:vAlign w:val="bottom"/>
          </w:tcPr>
          <w:p>
            <w:pPr>
              <w:ind w:left="280"/>
              <w:spacing w:after="0"/>
              <w:rPr>
                <w:sz w:val="20"/>
                <w:szCs w:val="20"/>
                <w:color w:val="auto"/>
              </w:rPr>
            </w:pPr>
            <w:r>
              <w:rPr>
                <w:rFonts w:ascii="Arial" w:cs="Arial" w:eastAsia="Arial" w:hAnsi="Arial"/>
                <w:sz w:val="18"/>
                <w:szCs w:val="18"/>
                <w:color w:val="auto"/>
                <w:w w:val="91"/>
              </w:rPr>
              <w:t>Amendment and Waiver Agreement, dated May 25, 2009,</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20-F/A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w w:val="91"/>
              </w:rPr>
              <w:t>December 4, 2009</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between Ester Neurosciences Limited, Medica II</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2008,</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Management L.P. and the Company††</w:t>
            </w: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4.88</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10.53</w:t>
            </w:r>
          </w:p>
        </w:tc>
        <w:tc>
          <w:tcPr>
            <w:tcW w:w="4500" w:type="dxa"/>
            <w:vAlign w:val="bottom"/>
          </w:tcPr>
          <w:p>
            <w:pPr>
              <w:ind w:left="280"/>
              <w:spacing w:after="0"/>
              <w:rPr>
                <w:sz w:val="20"/>
                <w:szCs w:val="20"/>
                <w:color w:val="auto"/>
              </w:rPr>
            </w:pPr>
            <w:r>
              <w:rPr>
                <w:rFonts w:ascii="Arial" w:cs="Arial" w:eastAsia="Arial" w:hAnsi="Arial"/>
                <w:sz w:val="18"/>
                <w:szCs w:val="18"/>
                <w:color w:val="auto"/>
                <w:w w:val="91"/>
              </w:rPr>
              <w:t>Bridge Loan Agreement, dated July 31, 2009 between the</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w w:val="97"/>
              </w:rPr>
              <w:t>October 22, 2009</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Company and the Lenders identified therein</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2008,</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4.93</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10.54</w:t>
            </w:r>
          </w:p>
        </w:tc>
        <w:tc>
          <w:tcPr>
            <w:tcW w:w="4500" w:type="dxa"/>
            <w:vAlign w:val="bottom"/>
          </w:tcPr>
          <w:p>
            <w:pPr>
              <w:ind w:left="280"/>
              <w:spacing w:after="0"/>
              <w:rPr>
                <w:sz w:val="20"/>
                <w:szCs w:val="20"/>
                <w:color w:val="auto"/>
              </w:rPr>
            </w:pPr>
            <w:r>
              <w:rPr>
                <w:rFonts w:ascii="Arial" w:cs="Arial" w:eastAsia="Arial" w:hAnsi="Arial"/>
                <w:sz w:val="18"/>
                <w:szCs w:val="18"/>
                <w:color w:val="auto"/>
              </w:rPr>
              <w:t>Amendment No. 1 to Bridge Loan Agreement, dated</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10-K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rPr>
              <w:t>March 16, 2011</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September 30, 2009, between the Company and the</w:t>
            </w:r>
          </w:p>
        </w:tc>
        <w:tc>
          <w:tcPr>
            <w:tcW w:w="4180" w:type="dxa"/>
            <w:vAlign w:val="bottom"/>
          </w:tcPr>
          <w:p>
            <w:pPr>
              <w:ind w:left="100"/>
              <w:spacing w:after="0"/>
              <w:rPr>
                <w:sz w:val="20"/>
                <w:szCs w:val="20"/>
                <w:color w:val="auto"/>
              </w:rPr>
            </w:pPr>
            <w:r>
              <w:rPr>
                <w:rFonts w:ascii="Arial" w:cs="Arial" w:eastAsia="Arial" w:hAnsi="Arial"/>
                <w:sz w:val="18"/>
                <w:szCs w:val="18"/>
                <w:color w:val="auto"/>
              </w:rPr>
              <w:t>December 31, 2010,</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Lenders identified therein</w:t>
            </w:r>
          </w:p>
        </w:tc>
        <w:tc>
          <w:tcPr>
            <w:tcW w:w="4180" w:type="dxa"/>
            <w:vAlign w:val="bottom"/>
          </w:tcPr>
          <w:p>
            <w:pPr>
              <w:ind w:left="100"/>
              <w:spacing w:after="0"/>
              <w:rPr>
                <w:sz w:val="20"/>
                <w:szCs w:val="20"/>
                <w:color w:val="auto"/>
              </w:rPr>
            </w:pPr>
            <w:r>
              <w:rPr>
                <w:rFonts w:ascii="Arial" w:cs="Arial" w:eastAsia="Arial" w:hAnsi="Arial"/>
                <w:sz w:val="18"/>
                <w:szCs w:val="18"/>
                <w:color w:val="auto"/>
              </w:rPr>
              <w:t>File No. 0-21392, as Exhibit 10.21</w:t>
            </w:r>
          </w:p>
        </w:tc>
        <w:tc>
          <w:tcPr>
            <w:tcW w:w="1500" w:type="dxa"/>
            <w:vAlign w:val="bottom"/>
          </w:tcPr>
          <w:p>
            <w:pPr>
              <w:spacing w:after="0"/>
              <w:rPr>
                <w:sz w:val="19"/>
                <w:szCs w:val="19"/>
                <w:color w:val="auto"/>
              </w:rPr>
            </w:pP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10.55</w:t>
            </w:r>
          </w:p>
        </w:tc>
        <w:tc>
          <w:tcPr>
            <w:tcW w:w="4500" w:type="dxa"/>
            <w:vAlign w:val="bottom"/>
          </w:tcPr>
          <w:p>
            <w:pPr>
              <w:ind w:left="280"/>
              <w:spacing w:after="0"/>
              <w:rPr>
                <w:sz w:val="20"/>
                <w:szCs w:val="20"/>
                <w:color w:val="auto"/>
              </w:rPr>
            </w:pPr>
            <w:r>
              <w:rPr>
                <w:rFonts w:ascii="Arial" w:cs="Arial" w:eastAsia="Arial" w:hAnsi="Arial"/>
                <w:sz w:val="18"/>
                <w:szCs w:val="18"/>
                <w:color w:val="auto"/>
                <w:w w:val="89"/>
              </w:rPr>
              <w:t>Form of Securities Purchase Agreement dated October 12,</w:t>
            </w:r>
          </w:p>
        </w:tc>
        <w:tc>
          <w:tcPr>
            <w:tcW w:w="4180" w:type="dxa"/>
            <w:vAlign w:val="bottom"/>
          </w:tcPr>
          <w:p>
            <w:pPr>
              <w:ind w:left="100"/>
              <w:spacing w:after="0"/>
              <w:rPr>
                <w:sz w:val="20"/>
                <w:szCs w:val="20"/>
                <w:color w:val="auto"/>
              </w:rPr>
            </w:pPr>
            <w:r>
              <w:rPr>
                <w:rFonts w:ascii="Arial" w:cs="Arial" w:eastAsia="Arial" w:hAnsi="Arial"/>
                <w:sz w:val="18"/>
                <w:szCs w:val="18"/>
                <w:color w:val="auto"/>
              </w:rPr>
              <w:t>Annual Report on Form 20-F for the year ended</w:t>
            </w:r>
          </w:p>
        </w:tc>
        <w:tc>
          <w:tcPr>
            <w:tcW w:w="1500" w:type="dxa"/>
            <w:vAlign w:val="bottom"/>
          </w:tcPr>
          <w:p>
            <w:pPr>
              <w:ind w:left="120"/>
              <w:spacing w:after="0"/>
              <w:rPr>
                <w:sz w:val="20"/>
                <w:szCs w:val="20"/>
                <w:color w:val="auto"/>
              </w:rPr>
            </w:pPr>
            <w:r>
              <w:rPr>
                <w:rFonts w:ascii="Arial" w:cs="Arial" w:eastAsia="Arial" w:hAnsi="Arial"/>
                <w:sz w:val="18"/>
                <w:szCs w:val="18"/>
                <w:color w:val="auto"/>
                <w:w w:val="97"/>
              </w:rPr>
              <w:t>October 22, 2009</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4"/>
              </w:rPr>
              <w:t>2009 between the Company and the Purchasers named</w:t>
            </w:r>
          </w:p>
        </w:tc>
        <w:tc>
          <w:tcPr>
            <w:tcW w:w="4180" w:type="dxa"/>
            <w:vAlign w:val="bottom"/>
          </w:tcPr>
          <w:p>
            <w:pPr>
              <w:ind w:left="100"/>
              <w:spacing w:after="0"/>
              <w:rPr>
                <w:sz w:val="20"/>
                <w:szCs w:val="20"/>
                <w:color w:val="auto"/>
              </w:rPr>
            </w:pPr>
            <w:r>
              <w:rPr>
                <w:rFonts w:ascii="Arial" w:cs="Arial" w:eastAsia="Arial" w:hAnsi="Arial"/>
                <w:sz w:val="18"/>
                <w:szCs w:val="18"/>
                <w:color w:val="auto"/>
                <w:w w:val="94"/>
              </w:rPr>
              <w:t>December 31, 2008, File No. 0-21392, as Exhibit 4.94</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therein</w:t>
            </w:r>
          </w:p>
        </w:tc>
        <w:tc>
          <w:tcPr>
            <w:tcW w:w="4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10.56</w:t>
            </w:r>
          </w:p>
        </w:tc>
        <w:tc>
          <w:tcPr>
            <w:tcW w:w="4500" w:type="dxa"/>
            <w:vAlign w:val="bottom"/>
          </w:tcPr>
          <w:p>
            <w:pPr>
              <w:ind w:left="280"/>
              <w:spacing w:after="0"/>
              <w:rPr>
                <w:sz w:val="20"/>
                <w:szCs w:val="20"/>
                <w:color w:val="auto"/>
              </w:rPr>
            </w:pPr>
            <w:r>
              <w:rPr>
                <w:rFonts w:ascii="Arial" w:cs="Arial" w:eastAsia="Arial" w:hAnsi="Arial"/>
                <w:sz w:val="18"/>
                <w:szCs w:val="18"/>
                <w:color w:val="auto"/>
                <w:w w:val="90"/>
              </w:rPr>
              <w:t>Amendment No. 1, dated December 2, 2009, to Securities</w:t>
            </w:r>
          </w:p>
        </w:tc>
        <w:tc>
          <w:tcPr>
            <w:tcW w:w="4180" w:type="dxa"/>
            <w:vAlign w:val="bottom"/>
          </w:tcPr>
          <w:p>
            <w:pPr>
              <w:ind w:left="100"/>
              <w:spacing w:after="0"/>
              <w:rPr>
                <w:sz w:val="20"/>
                <w:szCs w:val="20"/>
                <w:color w:val="auto"/>
              </w:rPr>
            </w:pPr>
            <w:r>
              <w:rPr>
                <w:rFonts w:ascii="Arial" w:cs="Arial" w:eastAsia="Arial" w:hAnsi="Arial"/>
                <w:sz w:val="18"/>
                <w:szCs w:val="18"/>
                <w:color w:val="auto"/>
              </w:rPr>
              <w:t>Registration Statement on Form F-1, File No. 333-</w:t>
            </w:r>
          </w:p>
        </w:tc>
        <w:tc>
          <w:tcPr>
            <w:tcW w:w="1500" w:type="dxa"/>
            <w:vAlign w:val="bottom"/>
          </w:tcPr>
          <w:p>
            <w:pPr>
              <w:ind w:left="120"/>
              <w:spacing w:after="0"/>
              <w:rPr>
                <w:sz w:val="20"/>
                <w:szCs w:val="20"/>
                <w:color w:val="auto"/>
              </w:rPr>
            </w:pPr>
            <w:r>
              <w:rPr>
                <w:rFonts w:ascii="Arial" w:cs="Arial" w:eastAsia="Arial" w:hAnsi="Arial"/>
                <w:sz w:val="18"/>
                <w:szCs w:val="18"/>
                <w:color w:val="auto"/>
                <w:w w:val="86"/>
              </w:rPr>
              <w:t>December 14, 2009</w:t>
            </w:r>
          </w:p>
        </w:tc>
      </w:tr>
      <w:tr>
        <w:trPr>
          <w:trHeight w:val="216"/>
        </w:trPr>
        <w:tc>
          <w:tcPr>
            <w:tcW w:w="68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0"/>
              </w:rPr>
              <w:t>Purchase Agreement dated October 12, 2009 between the</w:t>
            </w:r>
          </w:p>
        </w:tc>
        <w:tc>
          <w:tcPr>
            <w:tcW w:w="4180" w:type="dxa"/>
            <w:vAlign w:val="bottom"/>
          </w:tcPr>
          <w:p>
            <w:pPr>
              <w:ind w:left="100"/>
              <w:spacing w:after="0"/>
              <w:rPr>
                <w:sz w:val="20"/>
                <w:szCs w:val="20"/>
                <w:color w:val="auto"/>
              </w:rPr>
            </w:pPr>
            <w:r>
              <w:rPr>
                <w:rFonts w:ascii="Arial" w:cs="Arial" w:eastAsia="Arial" w:hAnsi="Arial"/>
                <w:sz w:val="18"/>
                <w:szCs w:val="18"/>
                <w:color w:val="auto"/>
              </w:rPr>
              <w:t>163704, as Exhibit 4.105</w:t>
            </w:r>
          </w:p>
        </w:tc>
        <w:tc>
          <w:tcPr>
            <w:tcW w:w="150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Company and the Purchasers named therein</w:t>
            </w:r>
          </w:p>
        </w:tc>
        <w:tc>
          <w:tcPr>
            <w:tcW w:w="4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94</w:t>
            </w:r>
          </w:p>
        </w:tc>
        <w:tc>
          <w:tcPr>
            <w:tcW w:w="150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Master Services Agreement, dated September 29, 2009,</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Agreement dated October 12, 2009, to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Form of Equity Securities Purchase Agreement dated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May 13, 2008 between the Company and the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Management Rights Deed of Agreement dated October</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16, 2009 by and among the Company and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Supply Agreement, dated November 1, 2010, between</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Nisshin Pharma Inc. and Amarin Pharmaceuticals Ireland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Amendment to API Commercial Supply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and 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dated April 4,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Second Amendment to API Commercial Supply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Agreement by and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Ireland Ltd. and Chemport Inc., dated July 19,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9"/>
              </w:rPr>
              <w:t>Amendment to API Commercial Supply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dated October 19, 2011,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Ireland Ltd. and Equateq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Second Amendment to API Supply Agreement by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 dated January 9, 2012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3"/>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3"/>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June 25,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2009, File No. 0-21392, as 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September 30,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10.51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5,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-5915660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60" w:space="220"/>
            <w:col w:w="5520"/>
          </w:cols>
          <w:pgMar w:left="240" w:top="459" w:right="8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10.67</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8"/>
              </w:rPr>
              <w:t>Third Amendment to API Supply Agreement by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Equateq Limited dated May 7,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7"/>
              </w:rPr>
              <w:t>Irrevocable License Agreement dated as of April 11,</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2011, as amended by the First Amendment to Irrevocable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License Agreement dated as of May 9, 2011, each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Amarin Pharmaceuticals Ireland Ltd. and Bedminster 2</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10.69</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Second Amendment to Irrevocable License Agreement,</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9"/>
              </w:rPr>
              <w:t>by 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10.70</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Third Amendment to Irrevocable License Agreement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July 17,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8"/>
              </w:rPr>
              <w:t>Fourth Amendment to Irrevocable License Agreement by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4"/>
              </w:rPr>
              <w:t>and between Bedminster 2 Funding, LLC and Amarin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Pharmaceuticals Ireland Ltd., dated December 15,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10.72</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Online Office Agreement dated as of September 30, 2011</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by Amarin Corporation plc and Regus CME Ireland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10.73</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9"/>
              </w:rPr>
              <w:t>Lease Agreement, dated January 22, 2007, between the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Company, Amarin Pharmaceuticals Ireland Limited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9"/>
              </w:rPr>
              <w:t>Mr. David Colgan, Mr. Philip Monaghan, Mr. Finian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10.74</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Lease Agreement dated May 8, 2013, by and between</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 Inc. and Bedminster 2 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10.75</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7"/>
              </w:rPr>
              <w:t>Lease Agreement dated November 28, 2011, by the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Company, 534 East Middle Turnpike, LLC, Peter Jay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Alter, as Trustee of the Leon C. Lech Irrevocable Trust</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under Declaration of Trust dated October 14, 1980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Ferndale Realty, LLC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5,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9, 2013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March 31, 2013,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3"/>
        </w:trPr>
        <w:tc>
          <w:tcPr>
            <w:tcW w:w="1840" w:type="dxa"/>
            <w:vAlign w:val="bottom"/>
          </w:tcPr>
          <w:p>
            <w:pPr>
              <w:ind w:left="34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-5709285</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00" w:space="280"/>
            <w:col w:w="5520"/>
          </w:cols>
          <w:pgMar w:left="240" w:top="459" w:right="8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10.76</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6"/>
              </w:rPr>
              <w:t>Sublease Agreement by and among Advance Realty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8"/>
              </w:rPr>
              <w:t>Management, Inc., Bedminster 2 Funding, LLC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Amarin Pharma Inc.,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10.77</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Purchase and Sale Agreement, dated December 6, 2012,</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by and between Amarin Corporation plc, Amarin</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Pharmaceuticals Ireland Limited and BioPharma Secured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Debt Fund II Holdings Cayman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10.78</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9"/>
              </w:rPr>
              <w:t>Co-Promotion Agreement dated March 31, 2014, by and</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among the Company and Kowa Pharmaceuticals</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America, Inc.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10.79</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Form of Amendment to October 2009 Form of Warrant</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10.80</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6"/>
              </w:rPr>
              <w:t>Second Amendment to Lease Agreement by and between</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 Inc. and Bedminster 2 Funding, LLC,</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dated January 23, 2014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Third Amendment to Lease Agreement dated May 8,</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2013, by and between Amarin Pharma, Inc.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Bedminster 2 Funding, LLC, dated April 3, 2014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Code of Ethics</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Letter of Deloitte &amp; Touche LLP to the Securities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Exchange Commission dated March 6, 2014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Consent of Independent Registered Public Accounting</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Consent of Independent Registered Public Accounting</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Certification of President and Chief Executive Officer</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(Principal Executive Officer) pursuant to Section 302 of</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93"/>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9, 2014</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2014,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Current Report on Form 8-K dated October 16, 2014,</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99"/>
              </w:rPr>
              <w:t>October 16, 2014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87"/>
              </w:rPr>
              <w:t>November 10,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170505,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File No. 0-21392, as</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6, 2014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1840" w:type="dxa"/>
            <w:vAlign w:val="bottom"/>
          </w:tcPr>
          <w:p>
            <w:pPr>
              <w:ind w:left="3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-5915025</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00" w:space="280"/>
            <w:col w:w="5600"/>
          </w:cols>
          <w:pgMar w:left="240" w:top="459" w:right="7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1"/>
                <w:szCs w:val="11"/>
                <w:color w:val="auto"/>
              </w:rPr>
            </w:pPr>
          </w:p>
        </w:tc>
        <w:tc>
          <w:tcPr>
            <w:tcW w:w="7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Description</w:t>
            </w:r>
          </w:p>
        </w:tc>
        <w:tc>
          <w:tcPr>
            <w:tcW w:w="17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73"/>
              </w:rPr>
              <w:t>Form</w:t>
            </w: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Date</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Certification of Vice President, Finance (Principal</w:t>
            </w:r>
          </w:p>
        </w:tc>
        <w:tc>
          <w:tcPr>
            <w:tcW w:w="4340" w:type="dxa"/>
            <w:vAlign w:val="bottom"/>
            <w:gridSpan w:val="4"/>
          </w:tcPr>
          <w:p>
            <w:pPr>
              <w:ind w:left="220"/>
              <w:spacing w:after="0"/>
              <w:rPr>
                <w:sz w:val="20"/>
                <w:szCs w:val="20"/>
                <w:color w:val="auto"/>
              </w:rPr>
            </w:pPr>
            <w:r>
              <w:rPr>
                <w:rFonts w:ascii="Arial" w:cs="Arial" w:eastAsia="Arial" w:hAnsi="Arial"/>
                <w:sz w:val="18"/>
                <w:szCs w:val="18"/>
                <w:color w:val="auto"/>
              </w:rPr>
              <w:t>Filed herewith</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Financial Officer) pursuant to Section 302 of</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Sarbanes-Oxley Act of 2002</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w w:val="95"/>
              </w:rPr>
              <w:t>Certification of President and Chief Executive Officer</w:t>
            </w:r>
          </w:p>
        </w:tc>
        <w:tc>
          <w:tcPr>
            <w:tcW w:w="4340" w:type="dxa"/>
            <w:vAlign w:val="bottom"/>
            <w:gridSpan w:val="4"/>
          </w:tcPr>
          <w:p>
            <w:pPr>
              <w:ind w:left="220"/>
              <w:spacing w:after="0"/>
              <w:rPr>
                <w:sz w:val="20"/>
                <w:szCs w:val="20"/>
                <w:color w:val="auto"/>
              </w:rPr>
            </w:pPr>
            <w:r>
              <w:rPr>
                <w:rFonts w:ascii="Arial" w:cs="Arial" w:eastAsia="Arial" w:hAnsi="Arial"/>
                <w:sz w:val="18"/>
                <w:szCs w:val="18"/>
                <w:color w:val="auto"/>
              </w:rPr>
              <w:t>Filed herewith</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(Principal Executive Officer) and Vice President,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Finance (Principal Financial Officer) pursuant to</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Section 906 of Sarbanes-Oxley Act of 2002</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rPr>
              <w:t>INS XBRL Instance Document</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600" w:type="dxa"/>
            <w:vAlign w:val="bottom"/>
            <w:gridSpan w:val="3"/>
          </w:tcPr>
          <w:p>
            <w:pPr>
              <w:ind w:left="580"/>
              <w:spacing w:after="0"/>
              <w:rPr>
                <w:sz w:val="20"/>
                <w:szCs w:val="20"/>
                <w:color w:val="auto"/>
              </w:rPr>
            </w:pPr>
            <w:r>
              <w:rPr>
                <w:rFonts w:ascii="Arial" w:cs="Arial" w:eastAsia="Arial" w:hAnsi="Arial"/>
                <w:sz w:val="18"/>
                <w:szCs w:val="18"/>
                <w:color w:val="auto"/>
                <w:w w:val="94"/>
              </w:rPr>
              <w:t>SCH XBRL Taxonomy Extension Schema Document</w:t>
            </w: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02" w:lineRule="exact"/>
        <w:rPr>
          <w:sz w:val="20"/>
          <w:szCs w:val="20"/>
          <w:color w:val="auto"/>
        </w:rPr>
      </w:pPr>
    </w:p>
    <w:p>
      <w:pPr>
        <w:ind w:left="1080" w:right="7120" w:hanging="107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 XBRL Taxonomy Calculation Linkbase Document</w:t>
      </w:r>
    </w:p>
    <w:p>
      <w:pPr>
        <w:spacing w:after="0" w:line="78" w:lineRule="exact"/>
        <w:rPr>
          <w:sz w:val="20"/>
          <w:szCs w:val="20"/>
          <w:color w:val="auto"/>
        </w:rPr>
      </w:pPr>
    </w:p>
    <w:p>
      <w:pPr>
        <w:ind w:left="1080" w:right="6480" w:hanging="107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LAB XBRL Taxonomy Label Linkbase Document</w:t>
      </w:r>
    </w:p>
    <w:p>
      <w:pPr>
        <w:spacing w:after="0" w:line="117" w:lineRule="exact"/>
        <w:rPr>
          <w:sz w:val="20"/>
          <w:szCs w:val="20"/>
          <w:color w:val="auto"/>
        </w:rPr>
      </w:pPr>
    </w:p>
    <w:p>
      <w:pPr>
        <w:ind w:left="1080" w:right="7100" w:hanging="107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 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2015</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Title</w:t>
            </w:r>
          </w:p>
        </w:tc>
        <w:tc>
          <w:tcPr>
            <w:tcW w:w="880" w:type="dxa"/>
            <w:vAlign w:val="bottom"/>
          </w:tcPr>
          <w:p>
            <w:pPr>
              <w:spacing w:after="0"/>
              <w:rPr>
                <w:sz w:val="14"/>
                <w:szCs w:val="14"/>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7"/>
              </w:rPr>
              <w:t>John F. Thero</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President and Chief Executive Officer (Principal</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8"/>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5"/>
              </w:rPr>
              <w:t>John F. Thero</w:t>
            </w:r>
          </w:p>
        </w:tc>
        <w:tc>
          <w:tcPr>
            <w:tcW w:w="428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1"/>
              </w:rPr>
              <w:t>Executive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7"/>
        </w:trPr>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1"/>
              </w:rPr>
              <w:t>Michael J. Farrell</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Vice President, Finance</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8"/>
        </w:trPr>
        <w:tc>
          <w:tcPr>
            <w:tcW w:w="1660" w:type="dxa"/>
            <w:vAlign w:val="bottom"/>
          </w:tcPr>
          <w:p>
            <w:pPr>
              <w:spacing w:after="0"/>
              <w:rPr>
                <w:sz w:val="18"/>
                <w:szCs w:val="18"/>
                <w:color w:val="auto"/>
              </w:rPr>
            </w:pPr>
          </w:p>
        </w:tc>
        <w:tc>
          <w:tcPr>
            <w:tcW w:w="3420" w:type="dxa"/>
            <w:vAlign w:val="bottom"/>
            <w:gridSpan w:val="5"/>
          </w:tcPr>
          <w:p>
            <w:pPr>
              <w:jc w:val="center"/>
              <w:ind w:right="1660"/>
              <w:spacing w:after="0"/>
              <w:rPr>
                <w:sz w:val="20"/>
                <w:szCs w:val="20"/>
                <w:color w:val="auto"/>
              </w:rPr>
            </w:pPr>
            <w:r>
              <w:rPr>
                <w:rFonts w:ascii="Arial" w:cs="Arial" w:eastAsia="Arial" w:hAnsi="Arial"/>
                <w:sz w:val="18"/>
                <w:szCs w:val="18"/>
                <w:color w:val="auto"/>
                <w:w w:val="90"/>
              </w:rPr>
              <w:t>Michael J. Farrell</w:t>
            </w:r>
          </w:p>
        </w:tc>
        <w:tc>
          <w:tcPr>
            <w:tcW w:w="4280" w:type="dxa"/>
            <w:vAlign w:val="bottom"/>
            <w:gridSpan w:val="3"/>
          </w:tcPr>
          <w:p>
            <w:pPr>
              <w:jc w:val="center"/>
              <w:ind w:right="160"/>
              <w:spacing w:after="0" w:line="202" w:lineRule="exact"/>
              <w:rPr>
                <w:sz w:val="20"/>
                <w:szCs w:val="20"/>
                <w:color w:val="auto"/>
              </w:rPr>
            </w:pPr>
            <w:r>
              <w:rPr>
                <w:rFonts w:ascii="Arial" w:cs="Arial" w:eastAsia="Arial" w:hAnsi="Arial"/>
                <w:sz w:val="18"/>
                <w:szCs w:val="18"/>
                <w:color w:val="auto"/>
                <w:w w:val="91"/>
              </w:rPr>
              <w:t>(Principal Financial and Accounting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420" w:type="dxa"/>
            <w:vAlign w:val="bottom"/>
            <w:tcBorders>
              <w:bottom w:val="single" w:sz="8" w:color="auto"/>
            </w:tcBorders>
            <w:gridSpan w:val="5"/>
          </w:tcPr>
          <w:p>
            <w:pPr>
              <w:jc w:val="center"/>
              <w:ind w:right="1300"/>
              <w:spacing w:after="0"/>
              <w:rPr>
                <w:sz w:val="20"/>
                <w:szCs w:val="20"/>
                <w:color w:val="auto"/>
              </w:rPr>
            </w:pPr>
            <w:r>
              <w:rPr>
                <w:rFonts w:ascii="Arial" w:cs="Arial" w:eastAsia="Arial" w:hAnsi="Arial"/>
                <w:sz w:val="18"/>
                <w:szCs w:val="18"/>
                <w:color w:val="auto"/>
                <w:w w:val="90"/>
              </w:rPr>
              <w:t>Lars Ekman, M.D., Ph.D.</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3"/>
          </w:tcPr>
          <w:p>
            <w:pPr>
              <w:jc w:val="center"/>
              <w:ind w:right="2100"/>
              <w:spacing w:after="0"/>
              <w:rPr>
                <w:sz w:val="20"/>
                <w:szCs w:val="20"/>
                <w:color w:val="auto"/>
              </w:rPr>
            </w:pPr>
            <w:r>
              <w:rPr>
                <w:rFonts w:ascii="Arial" w:cs="Arial" w:eastAsia="Arial" w:hAnsi="Arial"/>
                <w:sz w:val="18"/>
                <w:szCs w:val="18"/>
                <w:color w:val="auto"/>
                <w:w w:val="87"/>
              </w:rPr>
              <w:t>Lars Ekman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42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8"/>
                <w:szCs w:val="18"/>
                <w:color w:val="auto"/>
                <w:w w:val="87"/>
              </w:rPr>
              <w:t>James Healy, M.D., Ph.D.</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5080" w:type="dxa"/>
            <w:vAlign w:val="bottom"/>
            <w:gridSpan w:val="6"/>
          </w:tcPr>
          <w:p>
            <w:pPr>
              <w:jc w:val="center"/>
              <w:spacing w:after="0"/>
              <w:rPr>
                <w:sz w:val="20"/>
                <w:szCs w:val="20"/>
                <w:color w:val="auto"/>
              </w:rPr>
            </w:pPr>
            <w:r>
              <w:rPr>
                <w:rFonts w:ascii="Arial" w:cs="Arial" w:eastAsia="Arial" w:hAnsi="Arial"/>
                <w:sz w:val="18"/>
                <w:szCs w:val="18"/>
                <w:color w:val="auto"/>
                <w:w w:val="88"/>
              </w:rPr>
              <w:t>James Healy,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2"/>
              </w:rPr>
              <w:t>Patrick O’Sullivan</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3420" w:type="dxa"/>
            <w:vAlign w:val="bottom"/>
            <w:gridSpan w:val="5"/>
          </w:tcPr>
          <w:p>
            <w:pPr>
              <w:jc w:val="center"/>
              <w:ind w:right="1660"/>
              <w:spacing w:after="0"/>
              <w:rPr>
                <w:sz w:val="20"/>
                <w:szCs w:val="20"/>
                <w:color w:val="auto"/>
              </w:rPr>
            </w:pPr>
            <w:r>
              <w:rPr>
                <w:rFonts w:ascii="Arial" w:cs="Arial" w:eastAsia="Arial" w:hAnsi="Arial"/>
                <w:sz w:val="18"/>
                <w:szCs w:val="18"/>
                <w:color w:val="auto"/>
                <w:w w:val="93"/>
              </w:rPr>
              <w:t>Patrick O’Sullivan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8"/>
              </w:rPr>
              <w:t>Kristine Peterson</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Kristine Peterson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9"/>
              </w:rPr>
              <w:t>David Stack</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David Stack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5"/>
              </w:rPr>
              <w:t>Jan van Heek</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Jan van Heek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87"/>
              </w:rPr>
              <w:t>Joseph Zakrzewski</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3, 2015</w:t>
            </w:r>
          </w:p>
        </w:tc>
      </w:tr>
      <w:tr>
        <w:trPr>
          <w:trHeight w:val="217"/>
        </w:trPr>
        <w:tc>
          <w:tcPr>
            <w:tcW w:w="1660" w:type="dxa"/>
            <w:vAlign w:val="bottom"/>
          </w:tcPr>
          <w:p>
            <w:pPr>
              <w:spacing w:after="0"/>
              <w:rPr>
                <w:sz w:val="18"/>
                <w:szCs w:val="18"/>
                <w:color w:val="auto"/>
              </w:rPr>
            </w:pPr>
          </w:p>
        </w:tc>
        <w:tc>
          <w:tcPr>
            <w:tcW w:w="3420" w:type="dxa"/>
            <w:vAlign w:val="bottom"/>
            <w:gridSpan w:val="5"/>
          </w:tcPr>
          <w:p>
            <w:pPr>
              <w:jc w:val="center"/>
              <w:ind w:right="1660"/>
              <w:spacing w:after="0"/>
              <w:rPr>
                <w:sz w:val="20"/>
                <w:szCs w:val="20"/>
                <w:color w:val="auto"/>
              </w:rPr>
            </w:pPr>
            <w:r>
              <w:rPr>
                <w:rFonts w:ascii="Arial" w:cs="Arial" w:eastAsia="Arial" w:hAnsi="Arial"/>
                <w:sz w:val="18"/>
                <w:szCs w:val="18"/>
                <w:color w:val="auto"/>
                <w:w w:val="88"/>
              </w:rPr>
              <w:t>Joseph Zakrzewski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70"/>
        </w:trPr>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right"/>
              <w:ind w:right="1134"/>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7"/>
            <w:vMerge w:val="restart"/>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1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020" w:type="dxa"/>
            <w:vAlign w:val="bottom"/>
            <w:gridSpan w:val="7"/>
          </w:tcPr>
          <w:p>
            <w:pPr>
              <w:spacing w:after="0" w:line="184"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6">
              <w:r>
                <w:rPr>
                  <w:rFonts w:ascii="Arial" w:cs="Arial" w:eastAsia="Arial" w:hAnsi="Arial"/>
                  <w:sz w:val="18"/>
                  <w:szCs w:val="18"/>
                  <w:color w:val="0000EE"/>
                  <w:w w:val="87"/>
                </w:rPr>
                <w:t>Consolidated Statements of Operations</w:t>
              </w:r>
            </w:hyperlink>
          </w:p>
        </w:tc>
        <w:tc>
          <w:tcPr>
            <w:tcW w:w="8260" w:type="dxa"/>
            <w:vAlign w:val="bottom"/>
            <w:gridSpan w:val="5"/>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Stockholders’ Deficit</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Cash Flows</w:t>
              </w:r>
            </w:hyperlink>
          </w:p>
        </w:tc>
        <w:tc>
          <w:tcPr>
            <w:tcW w:w="754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16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have audited the accompanying consolidated balance sheet of Amarin Corporation plc as of December 31, 2014, and the related consolidated statements of statement of operations, stockholders’ deficit and cash flow for the year ended December 31, 2014. These financial statements are the responsibility of the Company’s management. Our responsibility is to express an opinion on these financial statements based on our audit.</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 a reasonable basis for our opinion.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Amarin Corporation plc at December 31, 2014, and the consolidated results of its operations and its cash flows for the year ended December 31, 2014, in conformity with U.S. generally accepted accounting principles.</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Amarin Corporation plc’s internal control over financial reporting as of December 31, 2014, based on criteria established in Internal Control-Integrated Framework issued by the Committee of Sponsoring Organizations of the Treadway Commission (2013 framework), and our report dated March 3, 2015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audited the accompanying consolidated balance sheet of Amarin Corporation plc and subsidiaries (the “Company”) as of December 31, 2013, and the related consolidated statements of operations, stockholders’ deficit, and cash flows for each of the two years in the period ended December 31, 2013. These consolidated financial statements are the responsibility of the Company’s management. Our responsibility is to express an opinion on the consolidated financial statements based on our audit.</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Amarin Corporation plc and subsidiaries as of December 31, 2013, and the results of their operations and their cash flows for each of the two years in the period ended December 31, 2013,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79"/>
              </w:rPr>
              <w:t>As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ind w:left="4220"/>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119,539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191,514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Inventory, current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13,733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145,281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long-term</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12,556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Intangible asset, net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171,107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252,476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STOCKHOLDERS’ DEFICIT</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Warrant derivative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37,540</w:t>
            </w:r>
          </w:p>
        </w:tc>
        <w:tc>
          <w:tcPr>
            <w:tcW w:w="0" w:type="dxa"/>
            <w:vAlign w:val="bottom"/>
          </w:tcPr>
          <w:p>
            <w:pPr>
              <w:spacing w:after="0"/>
              <w:rPr>
                <w:sz w:val="1"/>
                <w:szCs w:val="1"/>
                <w:color w:val="auto"/>
              </w:rPr>
            </w:pPr>
          </w:p>
        </w:tc>
      </w:tr>
      <w:tr>
        <w:trPr>
          <w:trHeight w:val="222"/>
        </w:trPr>
        <w:tc>
          <w:tcPr>
            <w:tcW w:w="9060" w:type="dxa"/>
            <w:vAlign w:val="bottom"/>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Exchangeable senior notes, net of discount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121,846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149,317</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89,617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87,717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derivative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259,555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286,332</w:t>
            </w:r>
          </w:p>
        </w:tc>
        <w:tc>
          <w:tcPr>
            <w:tcW w:w="0" w:type="dxa"/>
            <w:vAlign w:val="bottom"/>
          </w:tcPr>
          <w:p>
            <w:pPr>
              <w:spacing w:after="0"/>
              <w:rPr>
                <w:sz w:val="1"/>
                <w:szCs w:val="1"/>
                <w:color w:val="auto"/>
              </w:rPr>
            </w:pPr>
          </w:p>
        </w:tc>
      </w:tr>
      <w:tr>
        <w:trPr>
          <w:trHeight w:val="221"/>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60" w:type="dxa"/>
            <w:vAlign w:val="bottom"/>
          </w:tcPr>
          <w:p>
            <w:pPr>
              <w:ind w:left="440"/>
              <w:spacing w:after="0"/>
              <w:rPr>
                <w:sz w:val="20"/>
                <w:szCs w:val="20"/>
                <w:color w:val="auto"/>
              </w:rPr>
            </w:pPr>
            <w:r>
              <w:rPr>
                <w:rFonts w:ascii="Arial" w:cs="Arial" w:eastAsia="Arial" w:hAnsi="Arial"/>
                <w:sz w:val="18"/>
                <w:szCs w:val="18"/>
                <w:color w:val="auto"/>
                <w:w w:val="91"/>
              </w:rPr>
              <w:t>Common stock, £0.50 par value, unlimited authorized; 174,610,451 issued, 174,590,372 outstanding at December 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tcPr>
          <w:p>
            <w:pPr>
              <w:ind w:left="660"/>
              <w:spacing w:after="0"/>
              <w:rPr>
                <w:sz w:val="20"/>
                <w:szCs w:val="20"/>
                <w:color w:val="auto"/>
              </w:rPr>
            </w:pPr>
            <w:r>
              <w:rPr>
                <w:rFonts w:ascii="Arial" w:cs="Arial" w:eastAsia="Arial" w:hAnsi="Arial"/>
                <w:sz w:val="18"/>
                <w:szCs w:val="18"/>
                <w:color w:val="auto"/>
              </w:rPr>
              <w:t>2014; 172,691,063 issued, 172,670,984 outstanding at December 31, 2013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143,113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141,477</w:t>
            </w: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738,890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738,754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Treasury stock; 20,079 shares at December 31, 2014 and 2013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(970,234)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(913,870)</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1300"/>
              <w:spacing w:after="0"/>
              <w:rPr>
                <w:sz w:val="20"/>
                <w:szCs w:val="20"/>
                <w:color w:val="auto"/>
              </w:rPr>
            </w:pPr>
            <w:r>
              <w:rPr>
                <w:rFonts w:ascii="Arial" w:cs="Arial" w:eastAsia="Arial" w:hAnsi="Arial"/>
                <w:sz w:val="18"/>
                <w:szCs w:val="18"/>
                <w:color w:val="auto"/>
              </w:rPr>
              <w:t>Total stockholders’ deficit</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(88,448)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STOCKHOLDERS’ DEFICIT</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171,107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129,672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196,545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(95,955)</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(182,106)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(116,750)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(18,575)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(59,201)</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(169,421)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(170,068)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(56,364)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(166,227)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(179,184)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173,719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173,824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167,070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Paid-in</w:t>
            </w: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135,832,542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113,321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449,393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b w:val="1"/>
                <w:bCs w:val="1"/>
                <w:color w:val="auto"/>
                <w:w w:val="76"/>
              </w:rPr>
              <w:t>(217)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(568,459)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 of warrants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11,047,579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97,398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contained in exchangeable notes</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9"/>
              </w:rPr>
              <w:t>Transfer of fair value of warrants exercised from liabilities to</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103,885</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 issuances for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3,001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5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(179,184)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(179,184)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150,360,933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124,597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619,266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(747,643)</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 of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147,050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Stock issued in July financing</w:t>
            </w:r>
          </w:p>
        </w:tc>
        <w:tc>
          <w:tcPr>
            <w:tcW w:w="1040" w:type="dxa"/>
            <w:vAlign w:val="bottom"/>
          </w:tcPr>
          <w:p>
            <w:pPr>
              <w:jc w:val="right"/>
              <w:spacing w:after="0"/>
              <w:rPr>
                <w:sz w:val="20"/>
                <w:szCs w:val="20"/>
                <w:color w:val="auto"/>
              </w:rPr>
            </w:pPr>
            <w:r>
              <w:rPr>
                <w:rFonts w:ascii="Arial" w:cs="Arial" w:eastAsia="Arial" w:hAnsi="Arial"/>
                <w:sz w:val="18"/>
                <w:szCs w:val="18"/>
                <w:color w:val="auto"/>
              </w:rPr>
              <w:t>21,700,000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104,805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 provision on stock-based compensation</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9"/>
              </w:rPr>
              <w:t>Transfer of fair value of warrants exercised from liabilities to</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 issuances for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4,032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5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(166,227)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(166,227)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172,691,063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141,477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738,754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(913,870)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 of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1,684,888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Reacquisition of conversion option in convertible notes</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(10,100)</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 provision on stock-based compensation</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Refund of equity issuance costs</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5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(56,364)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174,610,451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143,113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738,890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(970,234)</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(56,364)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(166,227)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provision (benefit) from stock-based awards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17,631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Foreign exchange loss on intangible asset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changes in fair value of derivative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(13,472)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Gain on extinguishment of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(38,034)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and prepaid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(72,309)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(190,336)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(122,303)</w:t>
            </w: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Purchase of long-term investment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121,206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Refund of equity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Proceeds on issuance of exchangeable senior notes, net of transaction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 net of transaction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Debt issuance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Excess tax (provision) benefit from stock-based awards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121,622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280,285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(71,975)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191,514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260,242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116,602</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119,539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191,514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860"/>
              <w:spacing w:after="0"/>
              <w:rPr>
                <w:sz w:val="20"/>
                <w:szCs w:val="20"/>
                <w:color w:val="auto"/>
              </w:rPr>
            </w:pPr>
            <w:r>
              <w:rPr>
                <w:rFonts w:ascii="Arial" w:cs="Arial" w:eastAsia="Arial" w:hAnsi="Arial"/>
                <w:sz w:val="18"/>
                <w:szCs w:val="18"/>
                <w:color w:val="auto"/>
              </w:rPr>
              <w:t>Income taxes</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items: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Reclass of warrant liability to additional paid-in capital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Reacquisition of conversion option in convertible notes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 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In March 2014, the Company entered into a co-promotion agreement with Kowa Pharmaceuticals America, Inc. under which approximately 250 Kowa Pharmaceuticals America, Inc. sales representatives began to devote a substantial portion of their time to promoting Vascepa starting in May 2014 in conjunction with the promotion of Kowa Pharmaceutical America, Inc.’s primary product, a branded statin for patients with high cholesterol. The Company operates in one business segment.</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is also developing Vascepa for potential additional indications for use. In particular, the Company is conducting a cardiovascular outcomes study of Vascepa, titled REDUCE-IT (Reduction of Cardiovascular Events with EPA—Intervention Trial). The REDUCE-IT study, the results of which are currently blinded to the Company, is designed to evaluate the efficacy of Vascepa in reducing major cardiovascular events in a high risk patient population on statin therapy.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Company’s business operations are focused on the commercialization and development of Vascepa, which received approval from the FDA in 2012 and for which the Company commenced marketing and sales in 2013. The consolidated financial statements include the accounts of the Company and its wholly-owned subsidiaries. All intercompany accounts and transactions have been eliminated in consolidation.</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December 31, 2014, the Company had cash and cash equivalents of $119.5 million. The Company’s consolidated balance sheets also include derivative liabilities as well as long term debt and exchangeable senior notes. The outstanding January 2012 exchangeable senior notes, or the 2012 Notes, and May 2014 exchangeable senior notes, or the 2014 Notes, may be redeemed on or after January 19, 2017 and January 19, 2019, respectively, at the option of the holders and it is not puttable by the holders prior to these dates except upon the occurrence of certain contingent events. The 2012 Notes are exchangeable under certain circumstances into cash, American Depository Shares, or ADSs, or a combination of cash and ADSs, at the Company’s election. The 2014 Notes are exchangeable under certain circumstances into ADSs. Accordingly, the warrant derivative liability, long term debt and exchangeable senior notes do not present a short term claim on the liquid assets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consolidated financial statements reflect all adjustments that, in the opinion of management, are necessary to present fairly the Company’s financial position, results of operations and cash flows for the periods indicated. The preparation of the Company’s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amounts recorded for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 The results of operations for the years ended December 31, 2014 and 2013, respectively, are not necessarily indicative of the results for any future period.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35" w:lineRule="exact"/>
        <w:rPr>
          <w:sz w:val="20"/>
          <w:szCs w:val="20"/>
          <w:color w:val="auto"/>
        </w:rPr>
      </w:pPr>
    </w:p>
    <w:p>
      <w:pPr>
        <w:ind w:left="460" w:right="2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December 31, 2014,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2" w:lineRule="exact"/>
        <w:rPr>
          <w:sz w:val="20"/>
          <w:szCs w:val="20"/>
          <w:color w:val="auto"/>
        </w:rPr>
      </w:pPr>
    </w:p>
    <w:p>
      <w:pPr>
        <w:jc w:val="both"/>
        <w:ind w:left="460" w:right="300" w:firstLine="438"/>
        <w:spacing w:after="0" w:line="30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was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December 31, 2013.</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summarizes activity in each of the net product revenue allowance and reserve categories described above for the years ended December 31, 2014 and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2"/>
              </w:rPr>
              <w:t>Rebates,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Trade</w:t>
            </w:r>
          </w:p>
        </w:tc>
        <w:tc>
          <w:tcPr>
            <w:tcW w:w="140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Chargebacks</w:t>
            </w:r>
          </w:p>
        </w:tc>
        <w:tc>
          <w:tcPr>
            <w:tcW w:w="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740" w:type="dxa"/>
            <w:vAlign w:val="bottom"/>
          </w:tcPr>
          <w:p>
            <w:pPr>
              <w:spacing w:after="0"/>
              <w:rPr>
                <w:sz w:val="14"/>
                <w:szCs w:val="14"/>
                <w:color w:val="auto"/>
              </w:rPr>
            </w:pPr>
          </w:p>
        </w:tc>
        <w:tc>
          <w:tcPr>
            <w:tcW w:w="12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3"/>
              </w:rPr>
              <w:t>Allowances</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and Discounts</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Returns</w:t>
            </w:r>
          </w:p>
        </w:tc>
        <w:tc>
          <w:tcPr>
            <w:tcW w:w="240" w:type="dxa"/>
            <w:vAlign w:val="bottom"/>
          </w:tcPr>
          <w:p>
            <w:pPr>
              <w:spacing w:after="0"/>
              <w:rPr>
                <w:sz w:val="14"/>
                <w:szCs w:val="14"/>
                <w:color w:val="auto"/>
              </w:rPr>
            </w:pPr>
          </w:p>
        </w:tc>
        <w:tc>
          <w:tcPr>
            <w:tcW w:w="1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Incentives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8,157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11,153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32,460</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(5,950)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(10,338)</w:t>
            </w:r>
          </w:p>
        </w:tc>
        <w:tc>
          <w:tcPr>
            <w:tcW w:w="28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(25,431)</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(1,042)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(2,280)</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Rebates,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2"/>
                <w:szCs w:val="12"/>
                <w:color w:val="auto"/>
              </w:rPr>
            </w:pP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10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Allowances</w:t>
            </w:r>
          </w:p>
        </w:tc>
        <w:tc>
          <w:tcPr>
            <w:tcW w:w="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and Discounts</w:t>
            </w:r>
          </w:p>
        </w:tc>
        <w:tc>
          <w:tcPr>
            <w:tcW w:w="10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Returns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Incentives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Provision related to current period and deferred sales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4,178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11,646</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Credits/payments made for current period and deferred sales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(2,925)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(9,177)</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Balance at December 31, 2013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1,137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189</w:t>
            </w:r>
          </w:p>
        </w:tc>
        <w:tc>
          <w:tcPr>
            <w:tcW w:w="2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product revenue recognized and deferred during the years ended December 31, 2014 and 2013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2440" w:type="dxa"/>
            <w:vAlign w:val="bottom"/>
            <w:gridSpan w:val="4"/>
          </w:tcPr>
          <w:p>
            <w:pPr>
              <w:ind w:left="1240"/>
              <w:spacing w:after="0"/>
              <w:rPr>
                <w:sz w:val="20"/>
                <w:szCs w:val="20"/>
                <w:color w:val="auto"/>
              </w:rPr>
            </w:pPr>
            <w:r>
              <w:rPr>
                <w:rFonts w:ascii="Arial" w:cs="Arial" w:eastAsia="Arial" w:hAnsi="Arial"/>
                <w:sz w:val="14"/>
                <w:szCs w:val="14"/>
                <w:b w:val="1"/>
                <w:bCs w:val="1"/>
                <w:color w:val="auto"/>
                <w:w w:val="93"/>
              </w:rPr>
              <w:t>December 31, 2013</w:t>
            </w:r>
          </w:p>
        </w:tc>
      </w:tr>
      <w:tr>
        <w:trPr>
          <w:trHeight w:val="210"/>
        </w:trPr>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 net</w:t>
            </w:r>
          </w:p>
        </w:tc>
        <w:tc>
          <w:tcPr>
            <w:tcW w:w="1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28,054</w:t>
            </w:r>
          </w:p>
        </w:tc>
        <w:tc>
          <w:tcPr>
            <w:tcW w:w="10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220" w:type="dxa"/>
            <w:vAlign w:val="bottom"/>
          </w:tcPr>
          <w:p>
            <w:pPr>
              <w:spacing w:after="0"/>
              <w:rPr>
                <w:sz w:val="24"/>
                <w:szCs w:val="24"/>
                <w:color w:val="auto"/>
              </w:rPr>
            </w:pPr>
          </w:p>
        </w:tc>
        <w:tc>
          <w:tcPr>
            <w:tcW w:w="2280" w:type="dxa"/>
            <w:vAlign w:val="bottom"/>
            <w:gridSpan w:val="2"/>
          </w:tcPr>
          <w:p>
            <w:pPr>
              <w:jc w:val="right"/>
              <w:ind w:right="923"/>
              <w:spacing w:after="0"/>
              <w:rPr>
                <w:sz w:val="20"/>
                <w:szCs w:val="20"/>
                <w:color w:val="auto"/>
              </w:rPr>
            </w:pPr>
            <w:r>
              <w:rPr>
                <w:rFonts w:ascii="Arial" w:cs="Arial" w:eastAsia="Arial" w:hAnsi="Arial"/>
                <w:sz w:val="18"/>
                <w:szCs w:val="18"/>
                <w:color w:val="auto"/>
              </w:rPr>
              <w:t>F-11</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years ended December 31,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2440" w:type="dxa"/>
            <w:vAlign w:val="bottom"/>
            <w:gridSpan w:val="4"/>
          </w:tcPr>
          <w:p>
            <w:pPr>
              <w:ind w:left="1240"/>
              <w:spacing w:after="0"/>
              <w:rPr>
                <w:sz w:val="20"/>
                <w:szCs w:val="20"/>
                <w:color w:val="auto"/>
              </w:rPr>
            </w:pPr>
            <w:r>
              <w:rPr>
                <w:rFonts w:ascii="Arial" w:cs="Arial" w:eastAsia="Arial" w:hAnsi="Arial"/>
                <w:sz w:val="14"/>
                <w:szCs w:val="14"/>
                <w:b w:val="1"/>
                <w:bCs w:val="1"/>
                <w:color w:val="auto"/>
                <w:w w:val="93"/>
              </w:rPr>
              <w:t>December 31, 2013</w:t>
            </w: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9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and cash equivalents consist of cash, deposits with banks and short 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impact of accounts receivable reserves on the gross trade accounts receivable balances as of December 31,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5"/>
              </w:rPr>
              <w:t>December 31, 2014</w:t>
            </w:r>
          </w:p>
        </w:tc>
        <w:tc>
          <w:tcPr>
            <w:tcW w:w="1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(2,207)</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360" w:type="dxa"/>
            <w:vAlign w:val="bottom"/>
            <w:gridSpan w:val="2"/>
          </w:tcPr>
          <w:p>
            <w:pPr>
              <w:jc w:val="right"/>
              <w:ind w:right="18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7,842</w:t>
            </w:r>
          </w:p>
        </w:tc>
        <w:tc>
          <w:tcPr>
            <w:tcW w:w="640" w:type="dxa"/>
            <w:vAlign w:val="bottom"/>
          </w:tcPr>
          <w:p>
            <w:pPr>
              <w:spacing w:after="0"/>
              <w:rPr>
                <w:sz w:val="19"/>
                <w:szCs w:val="19"/>
                <w:color w:val="auto"/>
              </w:rPr>
            </w:pPr>
          </w:p>
        </w:tc>
        <w:tc>
          <w:tcPr>
            <w:tcW w:w="96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the Company’s suppliers.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1300" w:type="dxa"/>
            <w:vAlign w:val="bottom"/>
          </w:tcPr>
          <w:p>
            <w:pPr>
              <w:spacing w:after="0"/>
              <w:rPr>
                <w:sz w:val="14"/>
                <w:szCs w:val="14"/>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9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4"/>
              </w:rPr>
              <w:t>3 - 5 years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tcPr>
          <w:p>
            <w:pPr>
              <w:spacing w:after="0"/>
              <w:rPr>
                <w:sz w:val="18"/>
                <w:szCs w:val="18"/>
                <w:color w:val="auto"/>
              </w:rPr>
            </w:pPr>
          </w:p>
        </w:tc>
        <w:tc>
          <w:tcPr>
            <w:tcW w:w="206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5 years</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9— Commitments and Contingencies for further information regarding other obligations related to the acquisition of Laxdale Limited.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As of December 31, 2013, deferred revenue represents product shipments to Distributors for which the Company has invoiced the Distributors but not recognized as revenue because the product was not reported to the Company as having been resold for the purpose of filling prescriptions. Commencing on January 1, 2014, the Company recognizes revenue based on product shipments to its Distributors and as a result, no deferred revenue was recorded as of December 31, 2014.</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for the MARINE indication as well as co-promotion fees payable to Kowa Pharmaceuticals America, Inc. Also included as part of selling, general and administrative costs is warrant related income from non-cash changes in fair value of the derivative liability associated with warrants issued in October 2009 to former officers of Amarin which is recorded as compensation income.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earnings per share purposes, the impact of such gains is reversed and the treasury stock method is used to determine diluted earnings per share.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years ended December 31, 2014, 2013 and 2012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loss—basic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(56,364)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(166,227)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(179,184)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(63,139)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(214,163)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173,719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Effect of dilutive warrants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173,824</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167,070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years ended December 31, 2014, 2013 and 2012, the following potentially dilutive securities were not included in the computation of net loss per share because the effect would be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9,937</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49,215</w:t>
            </w:r>
          </w:p>
        </w:tc>
        <w:tc>
          <w:tcPr>
            <w:tcW w:w="600" w:type="dxa"/>
            <w:vAlign w:val="bottom"/>
          </w:tcPr>
          <w:p>
            <w:pPr>
              <w:jc w:val="right"/>
              <w:spacing w:after="0"/>
              <w:rPr>
                <w:sz w:val="20"/>
                <w:szCs w:val="20"/>
                <w:color w:val="auto"/>
              </w:rPr>
            </w:pPr>
            <w:r>
              <w:rPr>
                <w:rFonts w:ascii="Arial" w:cs="Arial" w:eastAsia="Arial" w:hAnsi="Arial"/>
                <w:sz w:val="18"/>
                <w:szCs w:val="18"/>
                <w:color w:val="auto"/>
              </w:rPr>
              <w:t>17,021</w:t>
            </w: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17,021</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 in the 2014 Notes may only be settled in ADSs upon conversion and has been accounted for as part of the debt host.</w:t>
      </w:r>
    </w:p>
    <w:p>
      <w:pPr>
        <w:spacing w:after="0" w:line="108"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w:t>
      </w:r>
    </w:p>
    <w:p>
      <w:pPr>
        <w:spacing w:after="0" w:line="261" w:lineRule="auto"/>
        <w:rPr>
          <w:sz w:val="20"/>
          <w:szCs w:val="20"/>
          <w:color w:val="auto"/>
        </w:rPr>
      </w:pPr>
      <w:r>
        <w:rPr>
          <w:rFonts w:ascii="Arial" w:cs="Arial" w:eastAsia="Arial" w:hAnsi="Arial"/>
          <w:sz w:val="18"/>
          <w:szCs w:val="18"/>
          <w:color w:val="auto"/>
        </w:rPr>
        <w:t>2012 Notes (see further discussion in Note 8). As a result, the debt was initially recognized at a discount of $27.9 million. This discount will be amortized through interest expense over the expected term of the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and 96% of gross product sales for the years ending December 31, 2014 and 2013, respectively and represented 96% and 95% of the gross accounts receivable balance as of December 31, 2014 and 2013, respectively. The Company has not experienced any write-offs of its accounts receivable in the years ended December 31, 2014 and 2013.</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entered into Vascepa API supply agreements with Nisshin Pharma, Inc., or Nisshin, in 2010. In 2011, the Company entered into agreements with two additional suppliers, Chemport, Inc., or Chemport, and BASF (formerly Equateq Limited) for the supply of API. In 2012, the Company agreed to terms with a fourth API supplier, a consortium of companies led by Slanmhor Pharmaceutical, Inc. (Slanmhor). The Company terminated its agreement with BASF in February 2014. While the Company has contractual freedom to source the API for Vascepa and has entered into supply agreements with multiple suppliers who also rely on other third party suppliers of the key raw material to manufacture the API for Vascepa, Nisshin and Chemport currently supply all of the Company’s API for Vascepa. The Company cannot provide assurance that the efforts of its contractual suppliers will continue to be successful, that it will be able to renew such agreements or that it will be able to enter into new agreements in the future. Any alteration to or termination of the Company’s current API supply, manufacturing, and distribution agreements, its failure to enter into new and similar agreements, or the interruption of the supply of its products under such agreements, could have a material adverse effect on its business, condition (financial and other), prospects or results of operations. For the year ended December 31, 2014, all of the Company’s net product sales were generated from API purchased from Nisshin Pharma, Inc. and Chemport, Inc.</w:t>
      </w:r>
    </w:p>
    <w:p>
      <w:pPr>
        <w:spacing w:after="0" w:line="12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Company currently relies on Patheon (formerly Banner Pharmacaps) for the encapsulation of Vascepa. The Company has encapsulation agreements with two other commercial API encapsulators. These companies have qualified their manufacturing processes and are capable of manufacturing Vascepa. There can be no guarantee that other suppliers with which the Company has contracted to encapsulate API will be qualified to manufacture the product to its specifications or that these and any future suppliers will have the manufacturing capacity to meeting anticipated demand for Vascepa.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period-end exchange rates.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The Company periodically uses foreign exchange forward contracts to hedge against changes in exchange rates for inventory purchases denominated in foreign currency. As of December 31, 2014, there were no outstanding foreign exchange contracts.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Debt issuance costs are initially capitalized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 net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provides disclosure of financial assets and financial liabilities that are carried at fair value based on the price that would be received upon sale of an asset or paid to transfer a liability in an orderly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between market participants at the measurement date. Fair value measurements may be classified based on the amount of subjectivity associated with the inputs to fair valuation of these assets and liabilities using the following three levels: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December 31, 2014 and 2013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Total</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79"/>
              </w:rPr>
              <w:t>Level 2</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880" w:type="dxa"/>
            <w:vAlign w:val="bottom"/>
            <w:gridSpan w:val="3"/>
          </w:tcPr>
          <w:p>
            <w:pPr>
              <w:jc w:val="center"/>
              <w:ind w:left="215"/>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65,156</w:t>
            </w:r>
          </w:p>
        </w:tc>
        <w:tc>
          <w:tcPr>
            <w:tcW w:w="1000" w:type="dxa"/>
            <w:vAlign w:val="bottom"/>
            <w:gridSpan w:val="5"/>
          </w:tcPr>
          <w:p>
            <w:pPr>
              <w:ind w:lef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65,156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880" w:type="dxa"/>
            <w:vAlign w:val="bottom"/>
            <w:gridSpan w:val="3"/>
          </w:tcPr>
          <w:p>
            <w:pPr>
              <w:jc w:val="center"/>
              <w:ind w:left="215"/>
              <w:spacing w:after="0"/>
              <w:rPr>
                <w:sz w:val="20"/>
                <w:szCs w:val="20"/>
                <w:color w:val="auto"/>
              </w:rPr>
            </w:pPr>
            <w:r>
              <w:rPr>
                <w:rFonts w:ascii="Arial" w:cs="Arial" w:eastAsia="Arial" w:hAnsi="Arial"/>
                <w:sz w:val="18"/>
                <w:szCs w:val="18"/>
                <w:color w:val="auto"/>
              </w:rPr>
              <w:t>$   119</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liabilities</w:t>
            </w:r>
          </w:p>
        </w:tc>
        <w:tc>
          <w:tcPr>
            <w:tcW w:w="880" w:type="dxa"/>
            <w:vAlign w:val="bottom"/>
            <w:gridSpan w:val="3"/>
            <w:shd w:val="clear" w:color="auto" w:fill="CCEEFF"/>
          </w:tcPr>
          <w:p>
            <w:pPr>
              <w:jc w:val="center"/>
              <w:ind w:left="215"/>
              <w:spacing w:after="0"/>
              <w:rPr>
                <w:sz w:val="20"/>
                <w:szCs w:val="20"/>
                <w:color w:val="auto"/>
              </w:rPr>
            </w:pPr>
            <w:r>
              <w:rPr>
                <w:rFonts w:ascii="Arial" w:cs="Arial" w:eastAsia="Arial" w:hAnsi="Arial"/>
                <w:sz w:val="18"/>
                <w:szCs w:val="18"/>
                <w:color w:val="auto"/>
                <w:w w:val="96"/>
              </w:rPr>
              <w:t>$ 7,400</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88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7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8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113,474</w:t>
            </w:r>
          </w:p>
        </w:tc>
        <w:tc>
          <w:tcPr>
            <w:tcW w:w="880" w:type="dxa"/>
            <w:vAlign w:val="bottom"/>
            <w:gridSpan w:val="4"/>
          </w:tcPr>
          <w:p>
            <w:pPr>
              <w:ind w:lef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113,474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 —</w:t>
            </w:r>
          </w:p>
        </w:tc>
        <w:tc>
          <w:tcPr>
            <w:tcW w:w="4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60" w:type="dxa"/>
            <w:vAlign w:val="bottom"/>
            <w:gridSpan w:val="2"/>
          </w:tcPr>
          <w:p>
            <w:pPr>
              <w:spacing w:after="0"/>
              <w:rPr>
                <w:sz w:val="20"/>
                <w:szCs w:val="20"/>
                <w:color w:val="auto"/>
              </w:rPr>
            </w:pPr>
            <w:r>
              <w:rPr>
                <w:rFonts w:ascii="Arial" w:cs="Arial" w:eastAsia="Arial" w:hAnsi="Arial"/>
                <w:sz w:val="18"/>
                <w:szCs w:val="18"/>
                <w:color w:val="auto"/>
                <w:w w:val="98"/>
              </w:rPr>
              <w:t>$  6,894</w:t>
            </w:r>
          </w:p>
        </w:tc>
        <w:tc>
          <w:tcPr>
            <w:tcW w:w="2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 —</w:t>
            </w:r>
          </w:p>
        </w:tc>
        <w:tc>
          <w:tcPr>
            <w:tcW w:w="4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liability</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$ 11,100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carrying amounts of cash, cash equivalents, accounts payable and accrued liabilities approximate fair value because of their short-term nature. The carrying amounts and the estimated fair values of debt instruments as of December 31, 2014 and 2013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Pr>
          <w:p>
            <w:pPr>
              <w:spacing w:after="0"/>
              <w:rPr>
                <w:sz w:val="14"/>
                <w:szCs w:val="14"/>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61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3"/>
              </w:rPr>
              <w:t>Carrying</w:t>
            </w:r>
          </w:p>
        </w:tc>
        <w:tc>
          <w:tcPr>
            <w:tcW w:w="6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Pr>
          <w:p>
            <w:pPr>
              <w:spacing w:after="0"/>
              <w:rPr>
                <w:sz w:val="11"/>
                <w:szCs w:val="11"/>
                <w:color w:val="auto"/>
              </w:rPr>
            </w:pPr>
          </w:p>
        </w:tc>
      </w:tr>
      <w:tr>
        <w:trPr>
          <w:trHeight w:val="161"/>
        </w:trPr>
        <w:tc>
          <w:tcPr>
            <w:tcW w:w="6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Value</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debt—December 2012 financing</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$89,617</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$ 81,000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$ 87,717</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2012 Notes</w:t>
            </w:r>
          </w:p>
        </w:tc>
        <w:tc>
          <w:tcPr>
            <w:tcW w:w="580" w:type="dxa"/>
            <w:vAlign w:val="bottom"/>
          </w:tcPr>
          <w:p>
            <w:pPr>
              <w:jc w:val="right"/>
              <w:spacing w:after="0"/>
              <w:rPr>
                <w:sz w:val="20"/>
                <w:szCs w:val="20"/>
                <w:color w:val="auto"/>
              </w:rPr>
            </w:pPr>
            <w:r>
              <w:rPr>
                <w:rFonts w:ascii="Arial" w:cs="Arial" w:eastAsia="Arial" w:hAnsi="Arial"/>
                <w:sz w:val="18"/>
                <w:szCs w:val="18"/>
                <w:color w:val="auto"/>
              </w:rPr>
              <w:t>31,266</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25,689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149,317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106,600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90,580</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75,533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estimated fair value of the long-term debt pursuant to the December 2012 financing is calculated utilizing the same Level 3 inputs utilized in valuing the related derivative liability (see Long-Term Debt Derivative Liabilities below). The estimated fair value of the 2012 Notes and 2014 Notes is calculated based on Level 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quoted bond prices. The carrying value of the 2012 Notes at December 31, 2014 and 2013 includes a debt discount of zero and $0.7 million, respectively, which is being amortized as non-cash interest expense over the expected term of the 2012 Notes. The carrying value of the 2014 Notes at December 31, 2014 includes a debt discount of $28.2 million which is being amortized as non-cash interest expense over the expected term of the 2014 Notes. The change in the estimated fair values of these liabilities from December 31, 2013 to December 31, 2014 is largely related to the issuance of the 2014 Notes and the quoted bond prices.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warrant derivative liability is carried at fair value and is classified as Level 3 in the fair value hierarchy due to the use of significant unobservable inputs. The initial fair value of the warrant derivative liability at the date of issuance in October 2009 was determined to be $48.3 million using the Black-Scholes option valuation model applying the following assumptions: (i) risk-free rate of 2.37%, (ii) remaining term of 5 years, (iii) no dividend yield, (iv) volatility of 119%, and (v) the stock price on the date of measurement. Effective October 16, 2014, the Company entered into a series of warrant amendment agreements (collectively, the “Warrant Amendments”) in order to extend the expiration date of certain outstanding warrants (collectively, the “Warrants”) from its previously scheduled expiration date of October 16, 2014 to the close of business on February 27, 2015.</w:t>
      </w:r>
    </w:p>
    <w:p>
      <w:pPr>
        <w:spacing w:after="0" w:line="1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At December 31, 2013, the fair value of the warrant derivative liability was determined to be $6.9 million using the Black-Scholes option valuation model applying the following assumptions: (i) risk-free rate of 0.12%, (ii) remaining term of 0.8 years, (iii) no dividend yield (iv) volatility of 99%, and (v) the stock price on the date of measurement. For the year ended December 31, 2013, the $47.9 million decrease in the fair value of the warrants, net of exercises, was recognized as: (i) a $44.2 million gain on change in fair value of the remaining derivative liability and (ii) $3.7 million in compensation income for change in fair value of warrants issued to former employees. Both amounts are included within the consolidated statement of operations for the year ended December 31, 2013. As of December 31, 2014, the fair value of the warrant derivative liability was determined to be $0.1 million using the Black-Scholes option valuation applying the following assumptions: (i) risk-free rate of 0.04%, (ii) remaining term of 0.16 years, (iii) no dividend yield (iv) volatility of 79%, and (v) the stock price on the date of measurement. The $6.8 million decrease in the fair value of the warrants during the year was recognized as: (i) a $6.3 million gain on change in fair value of the remaining derivative liability and (ii) $0.5 million in compensation income for change in fair value of warrants issued to former employees. Both amounts are included within the consolidated statement of operations for the year ended December 31, 2014.</w:t>
      </w:r>
    </w:p>
    <w:p>
      <w:pPr>
        <w:spacing w:after="0" w:line="1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fair value of this warrant liability is determined using the Black-Scholes option valuation method and is therefore sensitive to changes in the market price and volatility of the Company’s common stock, among other factors. In the event of a hypothetical 10% increase in the market price of the Company’s common shares ($1.08 based on the $0.98 market price of the Company’s stock at December 31, 2014) on which the December 31, 2014 valuation was based, the value of the derivative liability would have increased by $0.1 million. Such increase would have been reflected as a loss on change in fair value of derivative liabilities and as an increase in warrant compensation expense within the statement of operations. Significant increases (decreases) in this input in isolation would result in a significantly higher (lower) fair value asset measurement.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Long-Term Debt Derivative Liabilities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8 below) contains a redemption feature whereby, upon a change of control, the Company would have been required to pay $140 million, less any previously repaid amount, if the change of control occurred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probability-weighted model incorporating management estimates for potential change in control, and by determining the fair value of the debt with and without the change in control provision included. The difference between the two was determined to be the fair value of the embedded derivative. At December 31, 2014, the fair value of the derivative was determined to be $4.8 million, and the debt was valued by comparing debt issues of similar companies with (i) remaining terms of between 2.3 and 3.6 years, (ii) coupon rates of between 9.8% and 10.8% and (iii) market yields of between 10.0% and 16.8%. The Company recognized a $6.3 million gain on change in fair value of derivative liability for the year ended December 31, 2014. At December 31, 2013, the fair value of the derivative was determined to be $11.1 million, and the debt was valued by comparing debt issues of similar companies with (i) remaining terms of between 3.3 and 6.6 years, (ii) coupon rates of between 9.9% and 12.5% and (iii) market yields of between 9.0% and 29.4%. The Company recognized a $3.5 million gain on change in fair value of derivative liability for the year ended December 31, 2013.</w:t>
      </w:r>
    </w:p>
    <w:p>
      <w:pPr>
        <w:spacing w:after="0" w:line="118"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December 31, 2014, the fair value of the derivative was determined to be $2.6 million, and the debt was valued by using</w:t>
      </w:r>
    </w:p>
    <w:p>
      <w:pPr>
        <w:spacing w:after="0" w:line="1" w:lineRule="exact"/>
        <w:rPr>
          <w:sz w:val="20"/>
          <w:szCs w:val="20"/>
          <w:color w:val="auto"/>
        </w:rPr>
      </w:pPr>
    </w:p>
    <w:p>
      <w:pPr>
        <w:ind w:right="760" w:firstLine="8"/>
        <w:spacing w:after="0" w:line="261" w:lineRule="auto"/>
        <w:tabs>
          <w:tab w:leader="none" w:pos="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estimated remaining term of the notes, (ii) a bond yield of 24.8%, (iii) a risk-free interest rate of 2.7% and (iv) volatility of 82.0%. The Company recognized a $0.9 million gain on change in fair value of derivative liability for the year ended December 31, 2014.</w:t>
      </w:r>
    </w:p>
    <w:p>
      <w:pPr>
        <w:spacing w:after="0" w:line="13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October</w:t>
            </w: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Long-Term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Debt 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Warrants</w:t>
            </w:r>
          </w:p>
        </w:tc>
        <w:tc>
          <w:tcPr>
            <w:tcW w:w="12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Liabilities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54,854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14,577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69,431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60" w:type="dxa"/>
            <w:vAlign w:val="bottom"/>
            <w:gridSpan w:val="2"/>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(44,233)</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(3,477)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(47,710)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income for change in fair value of warrants issued to former employees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Transfers to equity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17,994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Record initial fair value of derivative liability on 2014 senior notes</w:t>
            </w: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 former employees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Vascepa. A single management team that reports to the Company’s chief decision maker, who is the Chief Executive Officer, comprehensively manages the business. Accordingly, the Company does not have separately reportable segments.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September 30, 2014:</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the Company’s fiscal year beginning January 1, 2017. Early adoption is not permitted. The Company is currently evaluating the accounting, transition and disclosure requirements of the standard and cannot currently estimate the financial statement impact of adoption.</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is not expected to have an impact on the Company’s consolidated financial statements.</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the fiscal years ending after December 15, 2016, and for annual periods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07"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2014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right"/>
              <w:ind w:right="67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Remaining Useful</w:t>
            </w:r>
          </w:p>
        </w:tc>
      </w:tr>
      <w:tr>
        <w:trPr>
          <w:trHeight w:val="161"/>
        </w:trPr>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820" w:type="dxa"/>
            <w:vAlign w:val="bottom"/>
          </w:tcPr>
          <w:p>
            <w:pPr>
              <w:spacing w:after="0"/>
              <w:rPr>
                <w:sz w:val="14"/>
                <w:szCs w:val="14"/>
                <w:color w:val="auto"/>
              </w:rPr>
            </w:pPr>
          </w:p>
        </w:tc>
        <w:tc>
          <w:tcPr>
            <w:tcW w:w="1540" w:type="dxa"/>
            <w:vAlign w:val="bottom"/>
            <w:gridSpan w:val="2"/>
          </w:tcPr>
          <w:p>
            <w:pPr>
              <w:jc w:val="right"/>
              <w:ind w:right="678"/>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3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 (years)</w:t>
            </w:r>
          </w:p>
        </w:tc>
      </w:tr>
      <w:tr>
        <w:trPr>
          <w:trHeight w:val="210"/>
        </w:trPr>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2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11,624</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(1,561</w:t>
            </w:r>
          </w:p>
        </w:tc>
        <w:tc>
          <w:tcPr>
            <w:tcW w:w="760" w:type="dxa"/>
            <w:vAlign w:val="bottom"/>
            <w:tcBorders>
              <w:top w:val="single" w:sz="8" w:color="CCEEFF"/>
            </w:tcBorders>
            <w:shd w:val="clear" w:color="auto" w:fill="CCEEFF"/>
          </w:tcPr>
          <w:p>
            <w:pPr>
              <w:jc w:val="right"/>
              <w:ind w:right="618"/>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10,063</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Borders>
              <w:top w:val="single" w:sz="8" w:color="CCEEFF"/>
            </w:tcBorders>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2580" w:type="dxa"/>
            <w:vAlign w:val="bottom"/>
            <w:gridSpan w:val="2"/>
          </w:tcPr>
          <w:p>
            <w:pPr>
              <w:ind w:left="1900"/>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Amortization expense for each of the years ended December 31, 2014 and 2013 was $0.6 million and is included in research and development expense. Estimated future amortization expense, based upon the Company’s intangible assets as of December 31, 2014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42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5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2440" w:type="dxa"/>
            <w:vAlign w:val="bottom"/>
            <w:gridSpan w:val="4"/>
          </w:tcPr>
          <w:p>
            <w:pPr>
              <w:ind w:left="1240"/>
              <w:spacing w:after="0"/>
              <w:rPr>
                <w:sz w:val="20"/>
                <w:szCs w:val="20"/>
                <w:color w:val="auto"/>
              </w:rPr>
            </w:pPr>
            <w:r>
              <w:rPr>
                <w:rFonts w:ascii="Arial" w:cs="Arial" w:eastAsia="Arial" w:hAnsi="Arial"/>
                <w:sz w:val="14"/>
                <w:szCs w:val="14"/>
                <w:b w:val="1"/>
                <w:bCs w:val="1"/>
                <w:color w:val="auto"/>
                <w:w w:val="93"/>
              </w:rPr>
              <w:t>December 31, 2013</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current</w:t>
            </w:r>
          </w:p>
        </w:tc>
        <w:tc>
          <w:tcPr>
            <w:tcW w:w="1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Work in process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4,757</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 current</w:t>
            </w:r>
          </w:p>
        </w:tc>
        <w:tc>
          <w:tcPr>
            <w:tcW w:w="1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shd w:val="clear" w:color="auto" w:fill="CCEEFF"/>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Raw materials, long-term</w:t>
            </w:r>
          </w:p>
        </w:tc>
        <w:tc>
          <w:tcPr>
            <w:tcW w:w="1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5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years ended December 31, 2014 and 2013, the Company wrote off zero and $1.8 million, respectively, of inventories deemed to be unrecoverable. In addition, as of December 31, 2014 and 2013, zero and $5.5 million, respectively, of raw material inventory was reclassified to long-term inventory, as it was not anticipated to be sold within the next twelve months based on current estimates.</w:t>
      </w:r>
    </w:p>
    <w:p>
      <w:pPr>
        <w:spacing w:after="0" w:line="215"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(588)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580" w:type="dxa"/>
            <w:vAlign w:val="bottom"/>
          </w:tcPr>
          <w:p>
            <w:pPr>
              <w:spacing w:after="0"/>
              <w:rPr>
                <w:sz w:val="19"/>
                <w:szCs w:val="19"/>
                <w:color w:val="auto"/>
              </w:rPr>
            </w:pPr>
          </w:p>
        </w:tc>
        <w:tc>
          <w:tcPr>
            <w:tcW w:w="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years ended December 31, 2014, 2013, and 2012 was $0.2 million.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at December 31, 2014 and 2013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Payroll and payroll-related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$ 2,112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Research and development expenses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4,391</w:t>
            </w:r>
          </w:p>
        </w:tc>
        <w:tc>
          <w:tcPr>
            <w:tcW w:w="5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accruals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Accrued revenue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4,717</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16,268</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9,594</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accruals are based on the timing of clinical trial activities and related progress payments. As of December 31, 2013, the Company was in a prepaid position related to such expenses.</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Warrants and Warrant Derivative Liability</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had 8,087,388 warrants to purchase common shares outstanding at December 31, 2014 at a weighted-average exercise price of $1.50,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4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1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of December 31, 2014, October 2009 warrants remained outstanding to purchase up to an aggregate of 8,087,388 of the ordinary shares of the Company at $1.50 per share. In October 2014, the Company and the holders of the remaining October 2009 warrants mutually agreed to extend the expiration date of such warrants from October 16, 2014 to February 27, 2015.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issued several warrants in July 2009. As of December 31, 2014, there are no July 2009 warrants outstanding, while at December 31, 2013 these warrants were classified as equity instruments and included in the Company’s consolidated balance sheet within additional paid-in-capital. During the year ended December 31, 2014, 1,684,888 of the July 2009 warrants were exercised, resulting in proceeds to the Company of $1.7 million. During the year ended December 31, 2013, 120,000 of the July 2009 warrants were exercised, resulting in proceeds to the Company of $0.1 million.</w:t>
      </w:r>
    </w:p>
    <w:p>
      <w:pPr>
        <w:spacing w:after="0" w:line="188"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Debt—December 2012 Financing</w:t>
      </w:r>
    </w:p>
    <w:p>
      <w:pPr>
        <w:spacing w:after="0" w:line="9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 As of December 31, 2014, the remaining amount to be repaid to BioPharma is $144.4 million. During the year ended December 31, 2014, the Company made repayments under the agreement of $4.8 million to BioPharma and an additional $1.6 million is scheduled to be paid in February 2015 for the fourth quarter of 2014. These payments were calculated based on the threshold limitation, as described below, as opposed to the scheduled quarterly repayments. Additional quarterly repayments, subject to the threshold limitation, are scheduled to be paid thereafter in accordance with the following schedule: $10.0 million in the second quarter of 2015 and in each of the next three quarters, $15.0 million per quarter in each of the next four quarters, and a final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The Company can prepay an amount equal to $150 million less any previously repaid amount.</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fair value of the derivative liability could result in a material increase or decrease in its carrying value. The Company recognized a gain on change in fair value of derivative liability of $6.3 million and $3.5 million during the years ended December 31, 2014 and 2013, respectively.</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year ended December 31, 2014, the Company recorded $7.2 million and $1.9 million of cash and non-cash interest expense, respectively, on the BioPharma debt. During the year ended December 31, 2013, the Company recorded $11.3 million and $2.6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If the Company elected physical settlement, the net remaining outstanding portion of the 2012 Notes would be exchangeable into 3,547,916 ADSs after the May 2014 exchange of a portion of the 2012 Notes (see below for further discussion of the May 2014 exchange). Based on the closing price of the Company’s stock at December 31, 2014, the principal amount of the 2012 Notes would exceed the value of the shares if converted on that date by $27.8 million.</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is being amortized to interest expense using the effective interest method over the 2012 Notes’ estimated remaining life, which was calculated to be a period of twenty-four months. As of December 31, 2014, the discount created from the allocation of the proceeds to the conversion option was fully amortized. The conversion option will not be subsequently remeasured as long as it continues to meet the criteria for equity classification.</w:t>
      </w:r>
    </w:p>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December 31, 2014, the debt discount was fully amortized and the carrying value of the 2012 Notes was $31.3 million after an exchange of a portion of the 2012 Notes (see below for further discussion of the May 2014 exchange).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3.50% May 2014 Exchangeable Senior Notes due 2032, following which $31.3 million in aggregate principal amount of the 2012 Notes remained outstanding with terms unchanged (the 2012 Notes and 2014 Notes are referred to collectively as the “Notes”).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at December 31, 2014, the principal amount of the 2014 Notes would exceed the value of the shares if converted on that date by $74.0 million.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those costs as deferred assets. The Company further allocated $3.5 million of the $90.8 million fair value of the 2014 Notes to the derivative liability related to the fundamental change redemption feature (as described above), which will be measured at fair value on an ongoing basis. During the year ended December 31, 2014, the Company recognized a $0.9 million gain on the change in fair value of the redemption feature.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December 31, 2014, the carrying value of the 2014 Notes was $90.6 million. During the year ended December 31, 2014, the Company recognized aggregate interest expense of $9.5 million related to the Notes, of which $4.2 million represents non-cash interest and $5.3 million, represents contractual coupon interest. At December 31, 2014 and 2013, the Company had accrued interest on the Notes of $2.4 million in each year, which is included in other current liabilities. The Company made the contractual interest payments due on the Notes during the years ended December 31, 2014 and 2013 of $5.3 million.</w:t>
      </w:r>
    </w:p>
    <w:p>
      <w:pPr>
        <w:spacing w:after="0" w:line="193" w:lineRule="exact"/>
        <w:rPr>
          <w:sz w:val="20"/>
          <w:szCs w:val="20"/>
          <w:color w:val="auto"/>
        </w:rPr>
      </w:pPr>
    </w:p>
    <w:p>
      <w:pPr>
        <w:ind w:left="240" w:right="8540" w:hanging="232"/>
        <w:spacing w:after="0" w:line="347" w:lineRule="auto"/>
        <w:tabs>
          <w:tab w:leader="none" w:pos="39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 Corporation plc</w:t>
      </w:r>
      <w:r>
        <w:rPr>
          <w:rFonts w:ascii="Arial" w:cs="Arial" w:eastAsia="Arial" w:hAnsi="Arial"/>
          <w:sz w:val="16"/>
          <w:szCs w:val="16"/>
          <w:color w:val="auto"/>
        </w:rPr>
        <w:t xml:space="preserve">, Civ. No. 13-07882 (AT) (S.D.N.Y. Nov. 5, 2013), </w:t>
      </w:r>
      <w:r>
        <w:rPr>
          <w:rFonts w:ascii="Arial" w:cs="Arial" w:eastAsia="Arial" w:hAnsi="Arial"/>
          <w:sz w:val="16"/>
          <w:szCs w:val="16"/>
          <w:i w:val="1"/>
          <w:iCs w:val="1"/>
          <w:color w:val="auto"/>
        </w:rPr>
        <w:t>Bentley v. Amarin Corporation plc</w:t>
      </w:r>
      <w:r>
        <w:rPr>
          <w:rFonts w:ascii="Arial" w:cs="Arial" w:eastAsia="Arial" w:hAnsi="Arial"/>
          <w:sz w:val="16"/>
          <w:szCs w:val="16"/>
          <w:color w:val="auto"/>
        </w:rPr>
        <w:t xml:space="preserve">, Civ. No. 13-08283 (AT) (S.D.N.Y. Nov. 20, 2013) and </w:t>
      </w:r>
      <w:r>
        <w:rPr>
          <w:rFonts w:ascii="Arial" w:cs="Arial" w:eastAsia="Arial" w:hAnsi="Arial"/>
          <w:sz w:val="16"/>
          <w:szCs w:val="16"/>
          <w:i w:val="1"/>
          <w:iCs w:val="1"/>
          <w:color w:val="auto"/>
        </w:rPr>
        <w:t>Siegel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No. 3:13-cv-07210 (D.N.J. Nov. 27, 2013), were subsequently filed in the U.S. District Court for the District of New Jersey and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for the Southern District of New York. On December 9, 2013, the cases filed in the Southern District of New York were transferred to the District of New Jersey and all such cases are now consolidated as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plaintiffs assert claims under the Securities Exchange Act of 1934 and allege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approval. The lawsuit seeks unspecified monetary damages and attorneys’ fees and costs. The Company believes that it has valid defenses and will vigorously defend against this class action suit, but cannot predict the outcome. The Company is unable to reasonably estimate the loss exposure, if any, associated with the claims. The Company has insurance coverage that is anticipated to cover any significant loss exposure that may arise from this action after payment by the Company of the associated deductible obligation under such insurance coverage.</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27, 2014, the Company commenced a lawsuit against the FDA that challenges FDA’s denial of the Company’s request for five-year NCE exclusivity for Vascepa based on its reading of the relevant statute, the Company’s view of FDA’s inconsistency with past actions in this area and the retroactive effect of what the Company believes is a new policy at FDA as it relates to Vascepa situation. The Company’s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the Company contends are—due to the denial of five-year exclusivity to Vascepa—prematurely accepted pending ANDA applications.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March, April, and May 2014, the Company received paragraph IV certification notices from six companies contending to varying degrees that certain of its patents are invalid, unenforceable and/or will not be infringed by the manufacture, use, sale or offer for sale of a generic form of Vascepa as described in those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abbreviated new drug applications, or ANDAs. The Company has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2014, Amarin also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Dr. Reddy’s Laboratories, Inc. et al.</w:t>
      </w:r>
      <w:r>
        <w:rPr>
          <w:rFonts w:ascii="Arial" w:cs="Arial" w:eastAsia="Arial" w:hAnsi="Arial"/>
          <w:sz w:val="16"/>
          <w:szCs w:val="16"/>
          <w:color w:val="auto"/>
        </w:rPr>
        <w:t>, Civ. A. No. 14-2760 (D.N.J.). In May 2014, Amarin also filed a lawsuit against Watson Laboratories, Inc. and Actavis plc,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Watson, in the U.S. District Court for the District of New Jersey. One of the Company’s directors, Patrick J. O’Sullivan, is also a director of Actavis plc. The case against 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The Company intends to vigorously enforce its intellectual property rights relating to Vascepa, but cannot predict the outcome of these lawsuits.</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to the above, in the ordinary course of business, the Company is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2014, the Company was not party to any legal or arbitration proceedings that may have, or have had in the recent past, significant effects on the Company’s financial position or profitability. No governmental proceedings are pending or, to its knowledge, contemplated against the Company. The Company is not a party to any material proceedings in which any director, member of senior management or affiliate is either a party adverse to the Company or its subsidiaries or has a material interest adverse to the Company or its subsidiaries.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and office equipment under operating and capital leases. Future minimum lease payments under these leases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2014 are as follows (in thousands):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gridSpan w:val="4"/>
          </w:tcPr>
          <w:p>
            <w:pPr>
              <w:ind w:left="5400"/>
              <w:spacing w:after="0"/>
              <w:rPr>
                <w:sz w:val="20"/>
                <w:szCs w:val="20"/>
                <w:color w:val="auto"/>
              </w:rPr>
            </w:pPr>
            <w:r>
              <w:rPr>
                <w:rFonts w:ascii="Arial" w:cs="Arial" w:eastAsia="Arial" w:hAnsi="Arial"/>
                <w:sz w:val="14"/>
                <w:szCs w:val="14"/>
                <w:b w:val="1"/>
                <w:bCs w:val="1"/>
                <w:color w:val="auto"/>
              </w:rPr>
              <w:t>Operating</w:t>
            </w:r>
          </w:p>
        </w:tc>
      </w:tr>
      <w:tr>
        <w:trPr>
          <w:trHeight w:val="203"/>
        </w:trPr>
        <w:tc>
          <w:tcPr>
            <w:tcW w:w="1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5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2016</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Total</w:t>
            </w:r>
          </w:p>
        </w:tc>
        <w:tc>
          <w:tcPr>
            <w:tcW w:w="54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2,039</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5540" w:type="dxa"/>
            <w:vAlign w:val="bottom"/>
            <w:gridSpan w:val="2"/>
          </w:tcPr>
          <w:p>
            <w:pPr>
              <w:ind w:left="204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On September 30, 2011, the Company entered into an agreement for 320 square feet of office space at 2 Pembroke House, Upper Pembroke Street 28-32 in Dublin, Ireland. The office space was subsequently reduced to 270 square feet, effective November 1, 2013. The agreement began November 1, 2011 and terminates on October 31, 2015 and can be extended automatically for successive one year periods. Monthly rent is approximately €2,800 (approximately $3,400). The agreement can be terminated by either party with three months prior written notice.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1, 2011, the Company leased 9,747 square feet of office space in Bedminster, New Jersey. The lease, as amended, terminates on March 31, 2018, and may also be terminated with six months prior notice. On December 6, 2011 the Company leased an additional 2,142 square feet of space in the same location. On December 15, 2012 and May 8, 2013, the Company leased an additional 2,601 and 10,883 square feet of space, respectively, in the same location. In January 2014 and April 2014, the Company entered into separate transactions with the landlord of this property to vacate approximately 2,142 and 2,000 square feet of space in exchange for discounts on contractual future rent payments. Additionally, in January 2015, the Company executed an agreement to sublease approximately 4,700 square feet of this property to a third party, effective April 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during the years ended 2014, 2013 and 2012 was approximately $1.0 million, $1.0 million, and $0.6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entered into several product development agreements with, subject to performance obligations, certain milestone and supply purchase obligations, as detailed below:</w:t>
      </w:r>
    </w:p>
    <w:p>
      <w:pPr>
        <w:spacing w:after="0" w:line="51" w:lineRule="exact"/>
        <w:rPr>
          <w:sz w:val="20"/>
          <w:szCs w:val="20"/>
          <w:color w:val="auto"/>
        </w:rPr>
      </w:pPr>
    </w:p>
    <w:p>
      <w:pPr>
        <w:ind w:left="900" w:right="120" w:hanging="325"/>
        <w:spacing w:after="0" w:line="25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entered into its initial Vascepa API supply agreement with Nisshin Pharma, Inc., or Nisshin, in 2010. In 2011, the Company entered into agreements with two additional suppliers, Chemport, Inc., or Chemport, and BASF (formerly Equateq Limited) for the supply of API. In 2012, the Company agreed to terms with a fourth API supplier, a consortium of companies led by Slanmhor Pharmaceutical, Inc. (Slanmhor).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63"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Chemport was approved by the FDA to manufacture API for commercial sale in April 2013. The Company began purchasing commercial supply from Chemport in 2013. The agreement with Chemport contains a provision requiring the Company to pay Chemport in cash for any shortfall in the minimum purchase obligations. The 2011 supply agreement with Chemport includes commitments for the Company to fund (i) certain development fees, (ii) material purchases for initial raw materials, which amount will be credited against future API purchases and (iii) a raw material purchase commitment. During the year ended December 31, 2014, the Company made payments of $6.7 million to Chemport.</w:t>
      </w:r>
    </w:p>
    <w:p>
      <w:pPr>
        <w:spacing w:after="0" w:line="35" w:lineRule="exact"/>
        <w:rPr>
          <w:sz w:val="20"/>
          <w:szCs w:val="20"/>
          <w:color w:val="auto"/>
        </w:rPr>
      </w:pPr>
    </w:p>
    <w:p>
      <w:pPr>
        <w:ind w:left="920" w:right="580"/>
        <w:spacing w:after="0" w:line="268" w:lineRule="auto"/>
        <w:rPr>
          <w:sz w:val="20"/>
          <w:szCs w:val="20"/>
          <w:color w:val="auto"/>
        </w:rPr>
      </w:pPr>
      <w:r>
        <w:rPr>
          <w:rFonts w:ascii="Arial" w:cs="Arial" w:eastAsia="Arial" w:hAnsi="Arial"/>
          <w:sz w:val="18"/>
          <w:szCs w:val="18"/>
          <w:color w:val="auto"/>
        </w:rPr>
        <w:t>Chemport together with Nisshin are currently the two manufacturers from which the Company purchases API. The Company has no royalty, milestone or minimum purchase commitments with Nisshin.</w:t>
      </w:r>
    </w:p>
    <w:p>
      <w:pPr>
        <w:spacing w:after="0" w:line="51"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The API supply agreement with BASF terminated in February 2014. In April 2014, the Company reached a settlement agreement with BASF under which it received a refund for material purchases of $3.0 million, included as other income in the statement of operations. The Company made payments of $3.1 million to BASF related to development and supply commitments through December 31, 2014.</w:t>
      </w:r>
    </w:p>
    <w:p>
      <w:pPr>
        <w:spacing w:after="0" w:line="2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The Company made payments of $6.2 million to the Slanmhor consortium related to development fees and other provisions through December 31, 2014 and during the year ended December 31, 2014 and 2013, made payments of $0.4 million and $6.1 million, respectively, to the Slanmhor consortium related to stability and technical batches and advances on anticipated future API purchases.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20"/>
        <w:spacing w:after="0" w:line="268" w:lineRule="auto"/>
        <w:rPr>
          <w:sz w:val="20"/>
          <w:szCs w:val="20"/>
          <w:color w:val="auto"/>
        </w:rPr>
      </w:pPr>
      <w:r>
        <w:rPr>
          <w:rFonts w:ascii="Arial" w:cs="Arial" w:eastAsia="Arial" w:hAnsi="Arial"/>
          <w:sz w:val="18"/>
          <w:szCs w:val="18"/>
          <w:color w:val="auto"/>
        </w:rPr>
        <w:t>Pursuant to the agreements with the Company’s suppliers, there is a total of $55.5 million that is potentially payable over the term of such agreements based on minimum purchase obligations.</w:t>
      </w:r>
    </w:p>
    <w:p>
      <w:pPr>
        <w:spacing w:after="0" w:line="51" w:lineRule="exact"/>
        <w:rPr>
          <w:sz w:val="20"/>
          <w:szCs w:val="20"/>
          <w:color w:val="auto"/>
        </w:rPr>
      </w:pPr>
    </w:p>
    <w:p>
      <w:pPr>
        <w:ind w:left="900" w:hanging="325"/>
        <w:spacing w:after="0" w:line="289"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Concurrent with its entry into one of its API supply agreements, the Company agreed to make a non-controlling minority share equity investment in the supplier of $3.3 million. The Company invested $1.7 million under this agreement in July 2011 and the remaining $1.6 million during 2012. In September 2013, the Company entered into an equity sale and purchase agreement between this supplier and a third party in which the Company agreed to sell approximately $1.3 million of its investment in the supplier to the third party at cost. This transaction closed in the first quarter of 2014. In August 2014, the Company entered into a second equity sale and purchase agreement between this supplier and another third party in which the Company agreed to sell approximately $1.0 million of the remaining investment. This transaction closed in the fourth quarter of 2014. The carrying amount of the investment of $0.2 million and $3.3 million as of December 31, 2014 and 2013, respectively, is included in other long term assets and is accounted for under the cost method.</w:t>
      </w:r>
    </w:p>
    <w:p>
      <w:pPr>
        <w:spacing w:after="0" w:line="37" w:lineRule="exact"/>
        <w:rPr>
          <w:rFonts w:ascii="Arial" w:cs="Arial" w:eastAsia="Arial" w:hAnsi="Arial"/>
          <w:sz w:val="16"/>
          <w:szCs w:val="16"/>
          <w:color w:val="auto"/>
        </w:rPr>
      </w:pPr>
    </w:p>
    <w:p>
      <w:pPr>
        <w:ind w:left="900" w:right="80" w:hanging="325"/>
        <w:spacing w:after="0" w:line="290"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$11.7 million at December 31, 2014). 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$7.8 million at December 31, 2014) for each of the two potential market approvals (i.e. £10 million maximum, or approximately $15.5 million at December 31, 2014).</w:t>
      </w:r>
    </w:p>
    <w:p>
      <w:pPr>
        <w:spacing w:after="0" w:line="37"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The Company has no provision for any of the obligations above since the amounts are either not probable or able to be estimated at December 31, 2014.</w:t>
      </w:r>
    </w:p>
    <w:p>
      <w:pPr>
        <w:spacing w:after="0" w:line="207"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 ended December 31, 2014, the Company received a refund of $3.2 million for UK stamp duty taxes paid in prior periods related to the issuance of common stock. Such proceeds were recorded as an increase to additional paid-in capital.</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years ended December 31, 2014 and 2013, the Company issued 234,500 and 386,000 shares, respectively, as a result of the exercise of stock options, resulting in gross and net proceeds of $0.3 million during the year ended December 31, 2014 and $0.6 million during the year ended December 31, 2013. In addition, during the year ended December 31, 2014 and 2013, the Company issued 1,684,888 and 147,050 shares, respectively, as a result of the exercise of warrants, resulting in gross and net proceeds of $1.7 million during the year ended December 31, 2014 and $0.2 million during the year ended December 31, 2013.</w:t>
      </w:r>
    </w:p>
    <w:p>
      <w:pPr>
        <w:spacing w:after="0" w:line="14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March 11, 2014, the Company granted a total of 173,348 restricted stock units, or RSUs, and 205,890 stock options to members of the Company’s Board of Directors under the Amarin Corporation plc 2011 Stock Incentive Plan, or the 2011 Plan. The RSUs vest in equal installments over a three year period commencing with each installment vesting each year upon the earlier of the anniversary of the grant date or the Company’s annual general meeting of shareholders in such anniversary year. The RSUs will become fully vested upon a change of control of the Company. Upon termination of service to the Company, each Director shall be entitled to a payment equal to the fair market value of one share of Amarin common stock, which is required to be made in shares. The stock options vest in full upon the earlier of the anniversary of the grant date or the Company’s annual general meeting of shareholders in such anniversary year. The stock options will become fully vested upon a change of control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On January 8, 2014, the Company granted a total of 2,082,000 RSUs and 2,605,500 stock options to employees under the 2011 Plan. The RSU’s vest annually over a three year period and the stock options vest monthly over a four year period, with both becoming fully vested upon a change of control of the Company.</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January 2013, the Company granted 454,875 RSUs to several employees under the 2011 Plan. The terms of these RSUs provided for vesting upon the achievement of certain operational milestones. In the year ended December 31, 2013, as a result of the operational milestones not being achieved, all of these RSU’s were forfeited and no shares were issued as a result of vesting.</w:t>
      </w:r>
    </w:p>
    <w:p>
      <w:pPr>
        <w:spacing w:after="0" w:line="21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of December 31, 2014 and 2013, interest and penalties related to any uncertain tax positions have been insignificant. The Company recognizes interest and penalties related to uncertain tax positions within the provision for income taxes. The total amount of unrecognized tax benefits that would affect the Company’s effective tax rate if recognized is $1.4 million as of December 31, 2014, as compared to $1.7 million as of December 31, 2013.</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total amounts of unrecognized tax benefits for the years ended December 31, 2014, 2013 and 2012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uncertain tax benefits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$1,674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year—increases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 for lapses in statutes of limitations</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Ending uncertain tax benefits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2,487</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1,674</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files income tax returns in the U.S., Ireland and United Kingdom. The Company remains subject to tax examinations in the following jurisdictions as of December 31, 2014:</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Jurisdiction</w:t>
            </w:r>
          </w:p>
        </w:tc>
        <w:tc>
          <w:tcPr>
            <w:tcW w:w="592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Tax Years</w:t>
            </w: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 (Federal and State)</w:t>
            </w:r>
          </w:p>
        </w:tc>
        <w:tc>
          <w:tcPr>
            <w:tcW w:w="10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5"/>
              </w:rPr>
              <w:t>2011-2014</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000" w:type="dxa"/>
            <w:vAlign w:val="bottom"/>
          </w:tcPr>
          <w:p>
            <w:pPr>
              <w:ind w:left="220"/>
              <w:spacing w:after="0"/>
              <w:rPr>
                <w:sz w:val="20"/>
                <w:szCs w:val="20"/>
                <w:color w:val="auto"/>
              </w:rPr>
            </w:pPr>
            <w:r>
              <w:rPr>
                <w:rFonts w:ascii="Arial" w:cs="Arial" w:eastAsia="Arial" w:hAnsi="Arial"/>
                <w:sz w:val="18"/>
                <w:szCs w:val="18"/>
                <w:color w:val="auto"/>
                <w:w w:val="88"/>
              </w:rPr>
              <w:t>2009-2014</w:t>
            </w:r>
          </w:p>
        </w:tc>
        <w:tc>
          <w:tcPr>
            <w:tcW w:w="12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2013-2014</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gross liabilities of $439,000 to expire in 2015 based on statutory lapses.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from operations before taxes were as follows at December 31, 2014, 2013 and 2012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Ireland and United Kingdom</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(51,870)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(160,187)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(171,942)</w:t>
            </w:r>
          </w:p>
        </w:tc>
      </w:tr>
      <w:tr>
        <w:trPr>
          <w:trHeight w:val="27"/>
        </w:trPr>
        <w:tc>
          <w:tcPr>
            <w:tcW w:w="3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(59,201)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(169,421)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(170,068)</w:t>
            </w:r>
          </w:p>
        </w:tc>
      </w:tr>
      <w:tr>
        <w:trPr>
          <w:trHeight w:val="20"/>
        </w:trPr>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100" w:type="dxa"/>
            <w:vAlign w:val="bottom"/>
          </w:tcPr>
          <w:p>
            <w:pPr>
              <w:spacing w:after="0"/>
              <w:rPr>
                <w:sz w:val="24"/>
                <w:szCs w:val="24"/>
                <w:color w:val="auto"/>
              </w:rPr>
            </w:pPr>
          </w:p>
        </w:tc>
        <w:tc>
          <w:tcPr>
            <w:tcW w:w="2360" w:type="dxa"/>
            <w:vAlign w:val="bottom"/>
            <w:gridSpan w:val="2"/>
          </w:tcPr>
          <w:p>
            <w:pPr>
              <w:jc w:val="right"/>
              <w:ind w:right="883"/>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(benefit) expense from income taxes shown in the accompanying consolidated statements of operations consists of the following for fiscal 2014, 2013 and 2012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(3,689)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(4,065)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Ireland and United Kingdom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(33,106)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allowance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(3,614)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(3,434)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(2,837)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(benefit) expense from income taxes differs from the amount computed by applying the statutory income tax rate to income before taxes due to the following for fiscal 2014, 2013 and 2012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from taxes at statutory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(14,786)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(42,355)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(42,517)</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Rate differential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9,493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13,249</w:t>
            </w:r>
          </w:p>
        </w:tc>
        <w:tc>
          <w:tcPr>
            <w:tcW w:w="1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22,515</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(11,984)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8,904</w:t>
            </w:r>
          </w:p>
        </w:tc>
        <w:tc>
          <w:tcPr>
            <w:tcW w:w="1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return to provision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10,026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20" w:type="dxa"/>
            <w:vAlign w:val="bottom"/>
            <w:shd w:val="clear" w:color="auto" w:fill="CCEEFF"/>
          </w:tcPr>
          <w:p>
            <w:pPr>
              <w:spacing w:after="0"/>
              <w:rPr>
                <w:sz w:val="18"/>
                <w:szCs w:val="18"/>
                <w:color w:val="auto"/>
              </w:rPr>
            </w:pPr>
          </w:p>
        </w:tc>
      </w:tr>
      <w:tr>
        <w:trPr>
          <w:trHeight w:val="222"/>
        </w:trPr>
        <w:tc>
          <w:tcPr>
            <w:tcW w:w="5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9,116</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2014, the Company recorded adjustments to its deferred tax accounts related to the impact of foreign exchange rate changes and to reconcile the financial statement accounts to the amounts reported on its filed 2013 foreign tax returns, primarily for the impact of US GAAP to local statutory adjustments. These adjustments were fully offset with valuation allowances based on the Company’s position with respect to the realizability of its recorded deferred tax assets for non-US entities.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subject to corporate tax rate in Ireland of 25% for non-trading activities and 12.5% for trading activities. For the years ended December 31, 2014, 2013 and 2012,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effect of each type of temporary difference comprising the net deferred tax asset at December 31, 2014 and 2013 is as follows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80,096</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85,724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99,455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(85,965)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(88,999)</w:t>
            </w: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13,490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the valuation allowance for the years ended December 31, 2014 and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valuation allowance</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$ 88,999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$ 55,894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Increase as reflected in income tax expense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5,081</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Ending valuation allowance</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$ 85,965</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$ 88,999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combined Irish, UK, and Israeli net operating loss carryforwards of $513.3 million, which do not expire. The total net operating loss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carryforwards decreased by approximately $14.9 million from the prior year primarily as a result of the impact of foreign exchange rate changes and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reconcile the financial statement accounts to the amounts reported on the filed 2013 foreign tax returns, which were in excess of current year taxable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generated in these countries. In addition, the Company has available U.S. Federal tax credit carryforwards of $6.2 million and state tax credit carryforwards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These amounts exclude the impact of any unrecognized tax benefits. These carryforwards, which will expire starting between 2020 and 2034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to offset future taxable income, if any.</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recognized a tax benefit related to the extension of the research and development credits retroactively enacted during the fourth quarter of 2014 and recorded a benefit of approximately $1.4 million for the credit generated during the year.</w:t>
      </w:r>
    </w:p>
    <w:p>
      <w:pPr>
        <w:spacing w:after="0" w:line="207"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shall not exceed the sum of (i) 3.5 million newly authorized Shares available for award and (ii) the number of Shares that remained available for grants under the Company’s 2002 Plan and (iii) the number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the Company’s Board of Directors and expires on July 12, 2021.</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the grants under the 2011 Plan, the Company grants nonqualified stock options to employees to purchase the Company’s ordinary shares. These grants are made pursuant to employment agreements on terms consistent with the 2011 Plan.</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Under the terms of the 2011 Plan, and grants made pursuant to employment agreements, options typically vest over a four year period, expire after a 10 year term and are granted at an exercise price equal to the closing price of the Company’s American Depository Shares on the grant date. The following table summarizes all stock option activity for the year ended December 31, 2014 (in thousands, except for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4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3,271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7.7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2014</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w w:val="91"/>
              </w:rPr>
              <w:t>7.3 years</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5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8.2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at December 31, 2014</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years ended December 31, 2014, 2013 and 2012 was $1.58, $6.18 and $8.79, respectively.</w:t>
      </w:r>
    </w:p>
    <w:p>
      <w:pPr>
        <w:spacing w:after="0" w:line="20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During the years ended December 31, 2014 and 2013, the Company received cash of $0.3 million and $0.6 million from the exercise of options. The intrinsic value of options exercised during 2014 was $0.2 million and $2.4 million during 2013. As of December 31, 2014 and 2013, there was $9.4 million and $15.7 million of unrecognized stock-based compensation expense related to unvested stock option share-based compensation arrangements granted under the Company’s stock award plans. This expense is expected to be recognized over a weighted-average period of approximately 2.4 years. There was a provision of $2.3 million and a provision of $0.4 million for the years ended December 31, 2014 and 2013, respectively, reflected within the consolidated statement of cash flows related to excess tax provision on the U.S. federal level that have been realized as an increase in taxes payable. The Company recognizes compensation expense for the fair values of those awards which have graded vesting on a straight line basis.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fair value of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based on the short-cut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23" w:lineRule="auto"/>
        <w:rPr>
          <w:sz w:val="20"/>
          <w:szCs w:val="20"/>
          <w:color w:val="auto"/>
        </w:rPr>
      </w:pPr>
      <w:r>
        <w:rPr>
          <w:rFonts w:ascii="Arial" w:cs="Arial" w:eastAsia="Arial" w:hAnsi="Arial"/>
          <w:sz w:val="15"/>
          <w:szCs w:val="15"/>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 The Company recorded compensation expense in relation to stock options of $7.7 million, $14.3 million and $16.7 million for the years ended December 31, 2014, 2013 and 2012,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2014, 2013 and 2012,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 - 1.68%</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0.91% - 2.07%</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0.81% - 1.39%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97% - 109%</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91% - 110%</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109% - 111%</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9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2011 Plan also allows for granting of restricted stock unit awards under the terms of the Plan. The majority of the restricted stock units vest based upon a time-based service condition. For restricted stock units with a performance condition, no compensation expense is recorded until it becomes probable that the performance condition will be achieved.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2014 and 2013 (in thousands, except for weighted average amounts):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 Fair</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Outstanding—as of January 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553</w:t>
            </w:r>
          </w:p>
        </w:tc>
        <w:tc>
          <w:tcPr>
            <w:tcW w:w="4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(729)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2,255</w:t>
            </w:r>
          </w:p>
        </w:tc>
        <w:tc>
          <w:tcPr>
            <w:tcW w:w="4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recorded compensation expense in relation to restricted stock units of $1.4 million, $0.4 million and $1.4 million for the years ended December 31, 2014, 2013 and 2012 respectively.</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the stock-based compensation expense related to stock based awards for the period ended December 31, 2014, 2013 and 2012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$2,701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11,848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18,075</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20" w:type="dxa"/>
            <w:vAlign w:val="bottom"/>
            <w:gridSpan w:val="2"/>
          </w:tcPr>
          <w:p>
            <w:pPr>
              <w:jc w:val="right"/>
              <w:ind w:right="1652"/>
              <w:spacing w:after="0"/>
              <w:rPr>
                <w:sz w:val="20"/>
                <w:szCs w:val="20"/>
                <w:color w:val="auto"/>
              </w:rPr>
            </w:pPr>
            <w:r>
              <w:rPr>
                <w:rFonts w:ascii="Arial" w:cs="Arial" w:eastAsia="Arial" w:hAnsi="Arial"/>
                <w:sz w:val="18"/>
                <w:szCs w:val="18"/>
                <w:color w:val="auto"/>
              </w:rPr>
              <w:t>F-35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makes available a 401(k) plan for its U.S. employees to which it made contributions in prior years. The Company did not make any contributions in 2014, 2013 or 2012.</w:t>
      </w:r>
    </w:p>
    <w:p>
      <w:pPr>
        <w:spacing w:after="0" w:line="207" w:lineRule="exact"/>
        <w:rPr>
          <w:sz w:val="20"/>
          <w:szCs w:val="20"/>
          <w:color w:val="auto"/>
        </w:rPr>
      </w:pPr>
    </w:p>
    <w:p>
      <w:pPr>
        <w:ind w:left="240" w:right="8760" w:hanging="232"/>
        <w:spacing w:after="0" w:line="391" w:lineRule="auto"/>
        <w:tabs>
          <w:tab w:leader="none" w:pos="4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 </w:t>
      </w:r>
      <w:r>
        <w:rPr>
          <w:rFonts w:ascii="Arial" w:cs="Arial" w:eastAsia="Arial" w:hAnsi="Arial"/>
          <w:sz w:val="16"/>
          <w:szCs w:val="16"/>
          <w:i w:val="1"/>
          <w:iCs w:val="1"/>
          <w:u w:val="single" w:color="auto"/>
          <w:color w:val="auto"/>
        </w:rPr>
        <w:t>October 2009 Private Placement</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former Director of Amarin, is a partner; (ii) 7 million ADSs purchased by Orbimed Advisors LLC, where Dr. Carl L. Gordon, a former Director of Amarin, is a General Partner; (iii) 7 million ADSs purchased by Sofinnova Venture Partners VII, L.P., where Dr. James I. Healy, a Director of Amarin, is a Managing General Partner; and (iv) 5 million ADSs purchased by Fountain Healthcare Partners Fund 1, L.P. Fountain Healthcare Partners Ltd. is 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of an ADS. Of the $0.1 million warrant derivative liability at December 31, 2014, the fair value of the warrants held by the current and former directors of the Company and their related investment funds amounted to $65 thousand.</w:t>
      </w:r>
    </w:p>
    <w:p>
      <w:pPr>
        <w:spacing w:after="0" w:line="195"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As part of a program to reduce costs and increase operational efficiencies, in October 2013, the Company announced a plan to streamline operations to better align its cost structure with current market conditions by reducing its global workforce by approximately 50%. In connection with this program, the Company recorded $2.8 million in charges for severance and related benefits to reduce the Company’s workforce during the quarter ended December 31, 2013, of which $0.2 million is reflected in research and development expense and $2.6 million is reflected in selling, general and administrative expense in the accompanying consolidated statement of operations. The Company made all remaining payments in the first half of 2014.</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restructuring charges, which are included in accrued expenses and other current liabilities in the accompanying consolidated balance sheet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are summarized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2"/>
              </w:rPr>
              <w:t>Employee Severance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and Benefits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2013</w:t>
            </w:r>
          </w:p>
        </w:tc>
        <w:tc>
          <w:tcPr>
            <w:tcW w:w="5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21"/>
        </w:trPr>
        <w:tc>
          <w:tcPr>
            <w:tcW w:w="3740" w:type="dxa"/>
            <w:vAlign w:val="bottom"/>
            <w:gridSpan w:val="2"/>
          </w:tcPr>
          <w:p>
            <w:pPr>
              <w:spacing w:after="0"/>
              <w:rPr>
                <w:sz w:val="20"/>
                <w:szCs w:val="20"/>
                <w:color w:val="auto"/>
              </w:rPr>
            </w:pPr>
            <w:r>
              <w:rPr>
                <w:rFonts w:ascii="Arial" w:cs="Arial" w:eastAsia="Arial" w:hAnsi="Arial"/>
                <w:sz w:val="18"/>
                <w:szCs w:val="18"/>
                <w:color w:val="auto"/>
              </w:rPr>
              <w:t>Balance as of December 31, 2013</w:t>
            </w:r>
          </w:p>
        </w:tc>
        <w:tc>
          <w:tcPr>
            <w:tcW w:w="5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payments</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5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20" w:type="dxa"/>
            <w:vAlign w:val="bottom"/>
            <w:gridSpan w:val="2"/>
          </w:tcPr>
          <w:p>
            <w:pPr>
              <w:jc w:val="right"/>
              <w:ind w:right="3868"/>
              <w:spacing w:after="0"/>
              <w:rPr>
                <w:sz w:val="20"/>
                <w:szCs w:val="20"/>
                <w:color w:val="auto"/>
              </w:rPr>
            </w:pPr>
            <w:r>
              <w:rPr>
                <w:rFonts w:ascii="Arial" w:cs="Arial" w:eastAsia="Arial" w:hAnsi="Arial"/>
                <w:sz w:val="18"/>
                <w:szCs w:val="18"/>
                <w:color w:val="auto"/>
              </w:rPr>
              <w:t>F-36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Summarized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4"/>
                <w:szCs w:val="14"/>
                <w:b w:val="1"/>
                <w:bCs w:val="1"/>
                <w:color w:val="auto"/>
                <w:w w:val="92"/>
              </w:rPr>
              <w:t>Fiscal years ended December 31, 2014 and 2013</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jc w:val="right"/>
              <w:ind w:right="79"/>
              <w:spacing w:after="0" w:line="129" w:lineRule="exact"/>
              <w:rPr>
                <w:sz w:val="20"/>
                <w:szCs w:val="20"/>
                <w:color w:val="auto"/>
              </w:rPr>
            </w:pPr>
            <w:r>
              <w:rPr>
                <w:rFonts w:ascii="Arial" w:cs="Arial" w:eastAsia="Arial" w:hAnsi="Arial"/>
                <w:sz w:val="12"/>
                <w:szCs w:val="12"/>
                <w:b w:val="1"/>
                <w:bCs w:val="1"/>
                <w:color w:val="auto"/>
                <w:w w:val="80"/>
              </w:rPr>
              <w:t>1st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96"/>
              </w:rPr>
              <w:t>2nd</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3rd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4th</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94"/>
              </w:rPr>
              <w:t>14,149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98"/>
              </w:rPr>
              <w:t>16,480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10,106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Net (loss)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(25,980)</w:t>
            </w: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(62,158)</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15,323</w:t>
            </w:r>
          </w:p>
        </w:tc>
        <w:tc>
          <w:tcPr>
            <w:tcW w:w="3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(39,774)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8"/>
                <w:szCs w:val="18"/>
                <w:color w:val="auto"/>
                <w:w w:val="86"/>
              </w:rPr>
              <w:t>(26,050)</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(48,884)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21"/>
              <w:spacing w:after="0"/>
              <w:rPr>
                <w:sz w:val="20"/>
                <w:szCs w:val="20"/>
                <w:color w:val="auto"/>
              </w:rPr>
            </w:pPr>
            <w:r>
              <w:rPr>
                <w:rFonts w:ascii="Arial" w:cs="Arial" w:eastAsia="Arial" w:hAnsi="Arial"/>
                <w:sz w:val="18"/>
                <w:szCs w:val="18"/>
                <w:color w:val="auto"/>
                <w:w w:val="89"/>
              </w:rPr>
              <w:t>(19,657)</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(15,411)</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1"/>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1"/>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bl>
    <w:p>
      <w:pPr>
        <w:spacing w:after="0" w:line="229"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exchange for Kowa Pharmaceuticals America, Inc.’s co-promotional services, Kowa Pharmaceuticals America, Inc. is entitled to a quarterly co-promotion fee based on a percentage of Vascepa gross margins that increases during the Agreement’s term, from the high single digits in 2014 to the low twenty percent levels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co-promote fee in effect prior to such expiration or termination for periods ranging from one to three years following such expiration or termination.</w:t>
      </w:r>
    </w:p>
    <w:p>
      <w:pPr>
        <w:spacing w:after="0" w:line="11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of December 31, 2014, the Company had a net receivable of $0.6 million from Kowa Pharmaceuticals America, Inc. representing reimbursable amounts incurred for samples and other marketing expenses less the co-promotion fees payable to Kowa Pharmaceuticals America,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December 31, 2014 through the date of the issuance of these consolidated financial statements.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January 29, 2015, the Company granted a total of 2,564,251 RSUs and 1,622,500 stock options to employees under the 2011 Plan. The RSUs vest annually over a three year period and the stock options vest monthly over a four year period.</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February 26, 2015, Amarin entered into a Development, Commercialization and Supply Agreement (the “DCS Agreement”) with Eddingpharm (Asia) Macao Commercial Offshore Limited (“Eddingpharm”) related to the development and commercialization of Vascepa in Mainland China, Hong Kong, Macau and Taiwan (the “Territory”). Under the terms of the DCS Agreement, Amarin granted to Eddingpharm an exclusive (including as to Amarin) license with right to sublicense to develop and commercialize Vascepa in the Territory for uses that are currently commercialized and under development by Amarin based on Amarin’s MARINE, ANCHOR and ongoing REDUCE-IT clinical trials of Vascepa.</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Territory and associated expenses. Amarin will provide development assistance and be responsible for supplying finished, and later bulk drug product at defined prices under negotiated supply terms. Amarin will retain all Vascepa manufacturing rights. Amarin received a non-refundable $15.0 million up-front payment and is eligible to receive development, regulatory and sales-based milestone payments of up to an additional $154.0 million. In addition, Eddingpharm will pay Amarin tiered double-digit percentage royalties on net sales of Vascepa in the Territory escalating to the high teens. Eddingpharm has agreed to certain restrictions regarding the commercialization of competitive products globally and Amarin has agreed to certain restrictions regarding the commercialization of competitive products in the Territory.</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Amarin and Eddingpharm agreed to form a joint development committee to oversee regulatory and development activities for Vascepa in the Territory in accordance with a negotiated development plan and to form a separate joint commercialization committee to oversee Vascepa commercialization activities in the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Territory at Eddingpharm’s cost with Amarin’s assistance. The DCS Agreement also contains customary provisions regarding indemnification, packaging, record keeping, audit rights, reporting obligations, and representations and warranties that are customary for an arrangement of this type.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Amarin may assign the DCS Agreement in the event of a change of control transaction.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10.80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PARTIAL SURRENDER AND EARLY TERMINATION AGREEMENT</w:t>
      </w:r>
    </w:p>
    <w:p>
      <w:pPr>
        <w:spacing w:after="0" w:line="21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SECOND AMENDMENT TO LEASE AND SURRENDER AND PARTIAL EARLY TERMINATION AGREEMENT (this “Agreement”) is made and entered into as of the 23</w:t>
      </w:r>
      <w:r>
        <w:rPr>
          <w:rFonts w:ascii="Arial" w:cs="Arial" w:eastAsia="Arial" w:hAnsi="Arial"/>
          <w:sz w:val="15"/>
          <w:szCs w:val="15"/>
          <w:color w:val="auto"/>
        </w:rPr>
        <w:t>rd</w:t>
      </w:r>
      <w:r>
        <w:rPr>
          <w:rFonts w:ascii="Arial" w:cs="Arial" w:eastAsia="Arial" w:hAnsi="Arial"/>
          <w:sz w:val="18"/>
          <w:szCs w:val="18"/>
          <w:color w:val="auto"/>
        </w:rPr>
        <w:t xml:space="preserve"> day of January 2014, by and between BEDMINSTER 2 FUNDING LLC, (“Landlord”), and AMARIN PHARMACEUTICALS IRELAND LTD., (“Tenant”).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Landlord and Tenant are parties to that certain Office Lease Agreement dated as of April 1, 2013, License Agreement dated April 11, 2011; 1</w:t>
      </w:r>
      <w:r>
        <w:rPr>
          <w:rFonts w:ascii="Arial" w:cs="Arial" w:eastAsia="Arial" w:hAnsi="Arial"/>
          <w:sz w:val="15"/>
          <w:szCs w:val="15"/>
          <w:color w:val="auto"/>
        </w:rPr>
        <w:t>st</w:t>
      </w:r>
      <w:r>
        <w:rPr>
          <w:rFonts w:ascii="Arial" w:cs="Arial" w:eastAsia="Arial" w:hAnsi="Arial"/>
          <w:sz w:val="18"/>
          <w:szCs w:val="18"/>
          <w:color w:val="auto"/>
        </w:rPr>
        <w:t xml:space="preserve"> Amendment to License dated May 11 2011; 2</w:t>
      </w:r>
      <w:r>
        <w:rPr>
          <w:rFonts w:ascii="Arial" w:cs="Arial" w:eastAsia="Arial" w:hAnsi="Arial"/>
          <w:sz w:val="15"/>
          <w:szCs w:val="15"/>
          <w:color w:val="auto"/>
        </w:rPr>
        <w:t>nd</w:t>
      </w:r>
      <w:r>
        <w:rPr>
          <w:rFonts w:ascii="Arial" w:cs="Arial" w:eastAsia="Arial" w:hAnsi="Arial"/>
          <w:sz w:val="18"/>
          <w:szCs w:val="18"/>
          <w:color w:val="auto"/>
        </w:rPr>
        <w:t xml:space="preserve"> Amendment to License dated April 25, 2012; 3</w:t>
      </w:r>
      <w:r>
        <w:rPr>
          <w:rFonts w:ascii="Arial" w:cs="Arial" w:eastAsia="Arial" w:hAnsi="Arial"/>
          <w:sz w:val="15"/>
          <w:szCs w:val="15"/>
          <w:color w:val="auto"/>
        </w:rPr>
        <w:t>rd</w:t>
      </w:r>
      <w:r>
        <w:rPr>
          <w:rFonts w:ascii="Arial" w:cs="Arial" w:eastAsia="Arial" w:hAnsi="Arial"/>
          <w:sz w:val="18"/>
          <w:szCs w:val="18"/>
          <w:color w:val="auto"/>
        </w:rPr>
        <w:t xml:space="preserve"> Amendment to License dated July 17, 2012; 4</w:t>
      </w:r>
      <w:r>
        <w:rPr>
          <w:rFonts w:ascii="Arial" w:cs="Arial" w:eastAsia="Arial" w:hAnsi="Arial"/>
          <w:sz w:val="15"/>
          <w:szCs w:val="15"/>
          <w:color w:val="auto"/>
        </w:rPr>
        <w:t>th</w:t>
      </w:r>
      <w:r>
        <w:rPr>
          <w:rFonts w:ascii="Arial" w:cs="Arial" w:eastAsia="Arial" w:hAnsi="Arial"/>
          <w:sz w:val="18"/>
          <w:szCs w:val="18"/>
          <w:color w:val="auto"/>
        </w:rPr>
        <w:t xml:space="preserve"> Amendment to License dated December 15, 2012 and 5</w:t>
      </w:r>
      <w:r>
        <w:rPr>
          <w:rFonts w:ascii="Arial" w:cs="Arial" w:eastAsia="Arial" w:hAnsi="Arial"/>
          <w:sz w:val="15"/>
          <w:szCs w:val="15"/>
          <w:color w:val="auto"/>
        </w:rPr>
        <w:t>th</w:t>
      </w:r>
      <w:r>
        <w:rPr>
          <w:rFonts w:ascii="Arial" w:cs="Arial" w:eastAsia="Arial" w:hAnsi="Arial"/>
          <w:sz w:val="18"/>
          <w:szCs w:val="18"/>
          <w:color w:val="auto"/>
        </w:rPr>
        <w:t xml:space="preserve"> Amendment to License dated February 27, 2013 (the “Lease”), pursuant to which Tenant currently leases approximately 25,373 square feet of rentable area (the “Premises”) on the 1</w:t>
      </w:r>
      <w:r>
        <w:rPr>
          <w:rFonts w:ascii="Arial" w:cs="Arial" w:eastAsia="Arial" w:hAnsi="Arial"/>
          <w:sz w:val="15"/>
          <w:szCs w:val="15"/>
          <w:color w:val="auto"/>
        </w:rPr>
        <w:t>st</w:t>
      </w:r>
      <w:r>
        <w:rPr>
          <w:rFonts w:ascii="Arial" w:cs="Arial" w:eastAsia="Arial" w:hAnsi="Arial"/>
          <w:sz w:val="18"/>
          <w:szCs w:val="18"/>
          <w:color w:val="auto"/>
        </w:rPr>
        <w:t xml:space="preserve"> and 2nd floors of the building known as 1430 Route 206, Bedminster, New Jersey</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 Landlord and Tenant desire to surrender approximately 2,142 square feet in Suite #220, (“Surrendered Premises”) on the terms and conditions set forth herein.</w:t>
      </w:r>
    </w:p>
    <w:p>
      <w:pPr>
        <w:spacing w:after="0" w:line="17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NOW, THEREFORE, in consideration of the mutual undertakings and covenants set forth herein, and other good and valuable consideration, the receipt and sufficiency of which is hereby acknowledged, the parties hereto, intending to be legally bound, do hereby agree as follows:</w:t>
      </w:r>
    </w:p>
    <w:p>
      <w:pPr>
        <w:spacing w:after="0" w:line="124" w:lineRule="exact"/>
        <w:rPr>
          <w:sz w:val="20"/>
          <w:szCs w:val="20"/>
          <w:color w:val="auto"/>
        </w:rPr>
      </w:pPr>
    </w:p>
    <w:p>
      <w:pPr>
        <w:ind w:right="120" w:firstLine="8"/>
        <w:spacing w:after="0" w:line="277"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Landlord and Tenant hereby agree that the Effective Date of the Surrender shall be as of 11:59 p.m. on December 31, 2013 (the “Surrender Date”), subject to:</w:t>
      </w:r>
    </w:p>
    <w:p>
      <w:pPr>
        <w:spacing w:after="0" w:line="170" w:lineRule="exact"/>
        <w:rPr>
          <w:rFonts w:ascii="Arial" w:cs="Arial" w:eastAsia="Arial" w:hAnsi="Arial"/>
          <w:sz w:val="18"/>
          <w:szCs w:val="18"/>
          <w:color w:val="auto"/>
        </w:rPr>
      </w:pPr>
    </w:p>
    <w:p>
      <w:pPr>
        <w:ind w:right="280" w:firstLine="464"/>
        <w:spacing w:after="0" w:line="277" w:lineRule="auto"/>
        <w:tabs>
          <w:tab w:leader="none" w:pos="7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Tenant covenants and agrees to surrender the Premises to Landlord on or before the Surrender Date, vacant, clean and free of debris, and in good order and repair as well as otherwise in accordance with the applicable provisions of the Lease.</w:t>
      </w:r>
    </w:p>
    <w:p>
      <w:pPr>
        <w:spacing w:after="0" w:line="170" w:lineRule="exact"/>
        <w:rPr>
          <w:rFonts w:ascii="Arial" w:cs="Arial" w:eastAsia="Arial" w:hAnsi="Arial"/>
          <w:sz w:val="18"/>
          <w:szCs w:val="18"/>
          <w:color w:val="auto"/>
        </w:rPr>
      </w:pPr>
    </w:p>
    <w:p>
      <w:pPr>
        <w:ind w:right="360" w:firstLine="8"/>
        <w:spacing w:after="0" w:line="277"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Tenant’s obligations to pay any Base Rent, additional rent or other amounts due in accordance with the Lease which accrue through the Surrender Date shall survive the termination of the term of the Lease and shall remain an obligation of Tenant until fully satisfied.</w:t>
      </w:r>
    </w:p>
    <w:p>
      <w:pPr>
        <w:spacing w:after="0" w:line="170" w:lineRule="exact"/>
        <w:rPr>
          <w:rFonts w:ascii="Arial" w:cs="Arial" w:eastAsia="Arial" w:hAnsi="Arial"/>
          <w:sz w:val="18"/>
          <w:szCs w:val="18"/>
          <w:color w:val="auto"/>
        </w:rPr>
      </w:pPr>
    </w:p>
    <w:p>
      <w:pPr>
        <w:ind w:right="20" w:firstLine="8"/>
        <w:spacing w:after="0" w:line="34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Tenant fails to surrender the Surrender Premises on or before the Surrender Date in accordance with the terms of this Agreement, then, from and after the day after the Amended Early Termination Date, Tenant shall be obligated to pay holdover rent for the Surrendered Premises in accordance with the Lease.</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January 1, 2014, Minimum Base Rent for the Demised Premises (as reduced) shall be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Square Feet</w:t>
            </w:r>
          </w:p>
        </w:tc>
        <w:tc>
          <w:tcPr>
            <w:tcW w:w="3260" w:type="dxa"/>
            <w:vAlign w:val="bottom"/>
          </w:tcPr>
          <w:p>
            <w:pPr>
              <w:spacing w:after="0"/>
              <w:rPr>
                <w:sz w:val="16"/>
                <w:szCs w:val="16"/>
                <w:color w:val="auto"/>
              </w:rPr>
            </w:pPr>
          </w:p>
        </w:tc>
        <w:tc>
          <w:tcPr>
            <w:tcW w:w="2060" w:type="dxa"/>
            <w:vAlign w:val="bottom"/>
            <w:gridSpan w:val="3"/>
          </w:tcPr>
          <w:p>
            <w:pPr>
              <w:ind w:left="580"/>
              <w:spacing w:after="0"/>
              <w:rPr>
                <w:sz w:val="20"/>
                <w:szCs w:val="20"/>
                <w:color w:val="auto"/>
              </w:rPr>
            </w:pPr>
            <w:r>
              <w:rPr>
                <w:rFonts w:ascii="Arial" w:cs="Arial" w:eastAsia="Arial" w:hAnsi="Arial"/>
                <w:sz w:val="14"/>
                <w:szCs w:val="14"/>
                <w:color w:val="auto"/>
              </w:rPr>
              <w:t>Period</w:t>
            </w:r>
          </w:p>
        </w:tc>
        <w:tc>
          <w:tcPr>
            <w:tcW w:w="2440" w:type="dxa"/>
            <w:vAlign w:val="bottom"/>
            <w:gridSpan w:val="3"/>
          </w:tcPr>
          <w:p>
            <w:pPr>
              <w:ind w:left="440"/>
              <w:spacing w:after="0"/>
              <w:rPr>
                <w:sz w:val="20"/>
                <w:szCs w:val="20"/>
                <w:color w:val="auto"/>
              </w:rPr>
            </w:pPr>
            <w:r>
              <w:rPr>
                <w:rFonts w:ascii="Arial" w:cs="Arial" w:eastAsia="Arial" w:hAnsi="Arial"/>
                <w:sz w:val="14"/>
                <w:szCs w:val="14"/>
                <w:color w:val="auto"/>
              </w:rPr>
              <w:t>Per Square Foot $</w:t>
            </w:r>
          </w:p>
        </w:tc>
        <w:tc>
          <w:tcPr>
            <w:tcW w:w="1120" w:type="dxa"/>
            <w:vAlign w:val="bottom"/>
          </w:tcPr>
          <w:p>
            <w:pPr>
              <w:spacing w:after="0"/>
              <w:rPr>
                <w:sz w:val="20"/>
                <w:szCs w:val="20"/>
                <w:color w:val="auto"/>
              </w:rPr>
            </w:pPr>
            <w:r>
              <w:rPr>
                <w:rFonts w:ascii="Arial" w:cs="Arial" w:eastAsia="Arial" w:hAnsi="Arial"/>
                <w:sz w:val="14"/>
                <w:szCs w:val="14"/>
                <w:color w:val="auto"/>
                <w:w w:val="92"/>
              </w:rPr>
              <w:t>Monthly Base Rent</w:t>
            </w: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23,231</w:t>
            </w:r>
          </w:p>
        </w:tc>
        <w:tc>
          <w:tcPr>
            <w:tcW w:w="3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1/1/2014</w:t>
            </w: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4/30/2014</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w w:val="87"/>
              </w:rPr>
              <w:t>$26.50</w:t>
            </w:r>
          </w:p>
        </w:tc>
        <w:tc>
          <w:tcPr>
            <w:tcW w:w="11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8"/>
              </w:rPr>
              <w:t>$51,301.79</w:t>
            </w: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23,231</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5/1/2014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4/30/2015</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$27.00</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$52,269.75</w:t>
            </w:r>
          </w:p>
        </w:tc>
        <w:tc>
          <w:tcPr>
            <w:tcW w:w="112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23,231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5/1/2015</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4/30/2016</w:t>
            </w: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$27.50</w:t>
            </w:r>
          </w:p>
        </w:tc>
        <w:tc>
          <w:tcPr>
            <w:tcW w:w="1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$53,237.71</w:t>
            </w:r>
          </w:p>
        </w:tc>
        <w:tc>
          <w:tcPr>
            <w:tcW w:w="112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23,231</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5/1/2016</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4/30/2017</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$28.00</w:t>
            </w:r>
          </w:p>
        </w:tc>
        <w:tc>
          <w:tcPr>
            <w:tcW w:w="1660" w:type="dxa"/>
            <w:vAlign w:val="bottom"/>
            <w:gridSpan w:val="2"/>
          </w:tcPr>
          <w:p>
            <w:pPr>
              <w:ind w:left="280"/>
              <w:spacing w:after="0"/>
              <w:rPr>
                <w:sz w:val="20"/>
                <w:szCs w:val="20"/>
                <w:color w:val="auto"/>
              </w:rPr>
            </w:pPr>
            <w:r>
              <w:rPr>
                <w:rFonts w:ascii="Arial" w:cs="Arial" w:eastAsia="Arial" w:hAnsi="Arial"/>
                <w:sz w:val="18"/>
                <w:szCs w:val="18"/>
                <w:color w:val="auto"/>
              </w:rPr>
              <w:t>$54,205.67</w:t>
            </w:r>
          </w:p>
        </w:tc>
        <w:tc>
          <w:tcPr>
            <w:tcW w:w="112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23,231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5/1/2017</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4/30/2018</w:t>
            </w: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$28.50</w:t>
            </w:r>
          </w:p>
        </w:tc>
        <w:tc>
          <w:tcPr>
            <w:tcW w:w="1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$55,173.63</w:t>
            </w:r>
          </w:p>
        </w:tc>
        <w:tc>
          <w:tcPr>
            <w:tcW w:w="1120" w:type="dxa"/>
            <w:vAlign w:val="bottom"/>
            <w:shd w:val="clear" w:color="auto" w:fill="CCEEFF"/>
          </w:tcPr>
          <w:p>
            <w:pPr>
              <w:spacing w:after="0"/>
              <w:rPr>
                <w:sz w:val="18"/>
                <w:szCs w:val="18"/>
                <w:color w:val="auto"/>
              </w:rPr>
            </w:pPr>
          </w:p>
        </w:tc>
      </w:tr>
      <w:tr>
        <w:trPr>
          <w:trHeight w:val="365"/>
        </w:trPr>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0" w:name="page141"/>
    <w:bookmarkEnd w:id="140"/>
    <w:p>
      <w:pPr>
        <w:ind w:firstLine="8"/>
        <w:spacing w:after="0" w:line="277"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pay an Early Termination Fee for the Surrendered Premises, which shall be considered Additional Rent, on a monthly basis and is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color w:val="auto"/>
              </w:rPr>
              <w:t>Square Feet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9"/>
              </w:rPr>
              <w:t>Existing Per</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Per Square</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rPr>
              <w:t>Monthly</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gridSpan w:val="3"/>
            <w:vMerge w:val="continue"/>
          </w:tcPr>
          <w:p>
            <w:pPr>
              <w:spacing w:after="0"/>
              <w:rPr>
                <w:sz w:val="13"/>
                <w:szCs w:val="13"/>
                <w:color w:val="auto"/>
              </w:rPr>
            </w:pPr>
          </w:p>
        </w:tc>
        <w:tc>
          <w:tcPr>
            <w:tcW w:w="1680" w:type="dxa"/>
            <w:vAlign w:val="bottom"/>
            <w:gridSpan w:val="3"/>
          </w:tcPr>
          <w:p>
            <w:pPr>
              <w:ind w:left="580"/>
              <w:spacing w:after="0" w:line="154" w:lineRule="exact"/>
              <w:rPr>
                <w:sz w:val="20"/>
                <w:szCs w:val="20"/>
                <w:color w:val="auto"/>
              </w:rPr>
            </w:pPr>
            <w:r>
              <w:rPr>
                <w:rFonts w:ascii="Arial" w:cs="Arial" w:eastAsia="Arial" w:hAnsi="Arial"/>
                <w:sz w:val="14"/>
                <w:szCs w:val="14"/>
                <w:color w:val="auto"/>
              </w:rPr>
              <w:t>Period</w:t>
            </w:r>
          </w:p>
        </w:tc>
        <w:tc>
          <w:tcPr>
            <w:tcW w:w="140" w:type="dxa"/>
            <w:vAlign w:val="bottom"/>
          </w:tcPr>
          <w:p>
            <w:pPr>
              <w:spacing w:after="0"/>
              <w:rPr>
                <w:sz w:val="13"/>
                <w:szCs w:val="13"/>
                <w:color w:val="auto"/>
              </w:rPr>
            </w:pPr>
          </w:p>
        </w:tc>
        <w:tc>
          <w:tcPr>
            <w:tcW w:w="82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87"/>
              </w:rPr>
              <w:t>Square Foot $</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w w:val="95"/>
              </w:rPr>
              <w:t>Foot $</w:t>
            </w: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8"/>
              </w:rPr>
              <w:t>Base Rent</w:t>
            </w:r>
          </w:p>
        </w:tc>
        <w:tc>
          <w:tcPr>
            <w:tcW w:w="94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5"/>
              </w:rPr>
              <w:t>Months</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jc w:val="right"/>
              <w:ind w:right="3720"/>
              <w:spacing w:after="0" w:line="203" w:lineRule="exact"/>
              <w:rPr>
                <w:sz w:val="20"/>
                <w:szCs w:val="20"/>
                <w:color w:val="auto"/>
              </w:rPr>
            </w:pPr>
            <w:r>
              <w:rPr>
                <w:rFonts w:ascii="Arial" w:cs="Arial" w:eastAsia="Arial" w:hAnsi="Arial"/>
                <w:sz w:val="18"/>
                <w:szCs w:val="18"/>
                <w:color w:val="auto"/>
              </w:rPr>
              <w:t>2,142</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1/1/2014</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4/30/2014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11.93</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$2,128.61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8,514.45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jc w:val="right"/>
              <w:ind w:right="3720"/>
              <w:spacing w:after="0"/>
              <w:rPr>
                <w:sz w:val="20"/>
                <w:szCs w:val="20"/>
                <w:color w:val="auto"/>
              </w:rPr>
            </w:pPr>
            <w:r>
              <w:rPr>
                <w:rFonts w:ascii="Arial" w:cs="Arial" w:eastAsia="Arial" w:hAnsi="Arial"/>
                <w:sz w:val="18"/>
                <w:szCs w:val="18"/>
                <w:color w:val="auto"/>
              </w:rPr>
              <w:t>2,142</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5/1/2014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4/30/2015</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12.15</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$2,168.78</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26,025.30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jc w:val="right"/>
              <w:ind w:right="3720"/>
              <w:spacing w:after="0"/>
              <w:rPr>
                <w:sz w:val="20"/>
                <w:szCs w:val="20"/>
                <w:color w:val="auto"/>
              </w:rPr>
            </w:pPr>
            <w:r>
              <w:rPr>
                <w:rFonts w:ascii="Arial" w:cs="Arial" w:eastAsia="Arial" w:hAnsi="Arial"/>
                <w:sz w:val="18"/>
                <w:szCs w:val="18"/>
                <w:color w:val="auto"/>
              </w:rPr>
              <w:t>2,142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5/1/2015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4/30/2016</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12.38</w:t>
            </w: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$2,208.94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26,507.25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jc w:val="right"/>
              <w:ind w:right="3720"/>
              <w:spacing w:after="0"/>
              <w:rPr>
                <w:sz w:val="20"/>
                <w:szCs w:val="20"/>
                <w:color w:val="auto"/>
              </w:rPr>
            </w:pPr>
            <w:r>
              <w:rPr>
                <w:rFonts w:ascii="Arial" w:cs="Arial" w:eastAsia="Arial" w:hAnsi="Arial"/>
                <w:sz w:val="18"/>
                <w:szCs w:val="18"/>
                <w:color w:val="auto"/>
              </w:rPr>
              <w:t>2,142</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5/1/2016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4/30/2017</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12.60</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$2,249.10</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26,989.20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jc w:val="right"/>
              <w:ind w:right="3720"/>
              <w:spacing w:after="0"/>
              <w:rPr>
                <w:sz w:val="20"/>
                <w:szCs w:val="20"/>
                <w:color w:val="auto"/>
              </w:rPr>
            </w:pPr>
            <w:r>
              <w:rPr>
                <w:rFonts w:ascii="Arial" w:cs="Arial" w:eastAsia="Arial" w:hAnsi="Arial"/>
                <w:sz w:val="18"/>
                <w:szCs w:val="18"/>
                <w:color w:val="auto"/>
              </w:rPr>
              <w:t>2,142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4/30/2018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12.83</w:t>
            </w: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2,289.26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27,471.15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115,507.35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Per Month</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$2,221.30 Per Month Additional Rent effective January 1, 2014, any amounts previously paid in excess of the aforementioned will be issued as a credit on Tenants billing statement.</w:t>
      </w:r>
    </w:p>
    <w:p>
      <w:pPr>
        <w:spacing w:after="0" w:line="170" w:lineRule="exact"/>
        <w:rPr>
          <w:sz w:val="20"/>
          <w:szCs w:val="20"/>
          <w:color w:val="auto"/>
        </w:rPr>
      </w:pPr>
    </w:p>
    <w:p>
      <w:pPr>
        <w:ind w:right="34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hereto represent and warrant to each other that each has full right and authority to enter into this Agreement and that the person signing this Agreement on behalf of Landlord and Tenant respectively has the requisite authority for such act.</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Lease remain unchanged and in full force and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BEDMINSTER 2 FUNDING, LLC,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New Jersey limited liability company</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R. Padavano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Kurt R. Padavano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PHARMACEUTICALS IRELAND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F. Thero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PARTIAL SURRENDER AND EARLY TERMINATION AGREEMENT</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THIRD AMENDMENT TO LEASE AND SURRENDER AND PARTIAL EARLY TERMINATION AGREEMENT (this “Agreement”) is made and entered into as of the 3</w:t>
      </w:r>
      <w:r>
        <w:rPr>
          <w:rFonts w:ascii="Arial" w:cs="Arial" w:eastAsia="Arial" w:hAnsi="Arial"/>
          <w:sz w:val="15"/>
          <w:szCs w:val="15"/>
          <w:color w:val="auto"/>
        </w:rPr>
        <w:t>rd</w:t>
      </w:r>
      <w:r>
        <w:rPr>
          <w:rFonts w:ascii="Arial" w:cs="Arial" w:eastAsia="Arial" w:hAnsi="Arial"/>
          <w:sz w:val="18"/>
          <w:szCs w:val="18"/>
          <w:color w:val="auto"/>
        </w:rPr>
        <w:t xml:space="preserve"> day of April 2014, by and between BEDMINSTER 2 FUNDING LLC, (“Landlord”), and AMARIN PHARMACEUTICALS IRELAND LTD., (“Tenant”).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 Landlord and Tenant are parties to that certain Office Lease Agreement dated as of April 1, 2013, 2</w:t>
      </w:r>
      <w:r>
        <w:rPr>
          <w:rFonts w:ascii="Arial" w:cs="Arial" w:eastAsia="Arial" w:hAnsi="Arial"/>
          <w:sz w:val="14"/>
          <w:szCs w:val="14"/>
          <w:color w:val="auto"/>
        </w:rPr>
        <w:t>nd</w:t>
      </w:r>
      <w:r>
        <w:rPr>
          <w:rFonts w:ascii="Arial" w:cs="Arial" w:eastAsia="Arial" w:hAnsi="Arial"/>
          <w:sz w:val="17"/>
          <w:szCs w:val="17"/>
          <w:color w:val="auto"/>
        </w:rPr>
        <w:t xml:space="preserve"> Amendment to Lease and Partial Surrender and Early Termination Agreement dated January 23, 2014; License Agreement dated April 11, 2011; 1</w:t>
      </w:r>
      <w:r>
        <w:rPr>
          <w:rFonts w:ascii="Arial" w:cs="Arial" w:eastAsia="Arial" w:hAnsi="Arial"/>
          <w:sz w:val="14"/>
          <w:szCs w:val="14"/>
          <w:color w:val="auto"/>
        </w:rPr>
        <w:t>st</w:t>
      </w:r>
      <w:r>
        <w:rPr>
          <w:rFonts w:ascii="Arial" w:cs="Arial" w:eastAsia="Arial" w:hAnsi="Arial"/>
          <w:sz w:val="17"/>
          <w:szCs w:val="17"/>
          <w:color w:val="auto"/>
        </w:rPr>
        <w:t xml:space="preserve"> Amendment to License dated May 11 2011; 2</w:t>
      </w:r>
      <w:r>
        <w:rPr>
          <w:rFonts w:ascii="Arial" w:cs="Arial" w:eastAsia="Arial" w:hAnsi="Arial"/>
          <w:sz w:val="14"/>
          <w:szCs w:val="14"/>
          <w:color w:val="auto"/>
        </w:rPr>
        <w:t>nd</w:t>
      </w:r>
      <w:r>
        <w:rPr>
          <w:rFonts w:ascii="Arial" w:cs="Arial" w:eastAsia="Arial" w:hAnsi="Arial"/>
          <w:sz w:val="17"/>
          <w:szCs w:val="17"/>
          <w:color w:val="auto"/>
        </w:rPr>
        <w:t xml:space="preserve"> Amendment to License dated April 25, 2012; 3</w:t>
      </w:r>
      <w:r>
        <w:rPr>
          <w:rFonts w:ascii="Arial" w:cs="Arial" w:eastAsia="Arial" w:hAnsi="Arial"/>
          <w:sz w:val="14"/>
          <w:szCs w:val="14"/>
          <w:color w:val="auto"/>
        </w:rPr>
        <w:t>rd</w:t>
      </w:r>
      <w:r>
        <w:rPr>
          <w:rFonts w:ascii="Arial" w:cs="Arial" w:eastAsia="Arial" w:hAnsi="Arial"/>
          <w:sz w:val="17"/>
          <w:szCs w:val="17"/>
          <w:color w:val="auto"/>
        </w:rPr>
        <w:t xml:space="preserve"> Amendment to License dated July 17, 2012; 4</w:t>
      </w:r>
      <w:r>
        <w:rPr>
          <w:rFonts w:ascii="Arial" w:cs="Arial" w:eastAsia="Arial" w:hAnsi="Arial"/>
          <w:sz w:val="14"/>
          <w:szCs w:val="14"/>
          <w:color w:val="auto"/>
        </w:rPr>
        <w:t>th</w:t>
      </w:r>
      <w:r>
        <w:rPr>
          <w:rFonts w:ascii="Arial" w:cs="Arial" w:eastAsia="Arial" w:hAnsi="Arial"/>
          <w:sz w:val="17"/>
          <w:szCs w:val="17"/>
          <w:color w:val="auto"/>
        </w:rPr>
        <w:t xml:space="preserve"> Amendment to License dated December 15, 2012, and 5</w:t>
      </w:r>
      <w:r>
        <w:rPr>
          <w:rFonts w:ascii="Arial" w:cs="Arial" w:eastAsia="Arial" w:hAnsi="Arial"/>
          <w:sz w:val="14"/>
          <w:szCs w:val="14"/>
          <w:color w:val="auto"/>
        </w:rPr>
        <w:t>th</w:t>
      </w:r>
      <w:r>
        <w:rPr>
          <w:rFonts w:ascii="Arial" w:cs="Arial" w:eastAsia="Arial" w:hAnsi="Arial"/>
          <w:sz w:val="17"/>
          <w:szCs w:val="17"/>
          <w:color w:val="auto"/>
        </w:rPr>
        <w:t xml:space="preserve"> Amendment to License dated February 27, 2013 (the “Lease”), pursuant to which Tenant currently leases approximately 23,231 square feet of rentable area (the “Premises”) on the 1</w:t>
      </w:r>
      <w:r>
        <w:rPr>
          <w:rFonts w:ascii="Arial" w:cs="Arial" w:eastAsia="Arial" w:hAnsi="Arial"/>
          <w:sz w:val="14"/>
          <w:szCs w:val="14"/>
          <w:color w:val="auto"/>
        </w:rPr>
        <w:t>st</w:t>
      </w:r>
      <w:r>
        <w:rPr>
          <w:rFonts w:ascii="Arial" w:cs="Arial" w:eastAsia="Arial" w:hAnsi="Arial"/>
          <w:sz w:val="17"/>
          <w:szCs w:val="17"/>
          <w:color w:val="auto"/>
        </w:rPr>
        <w:t xml:space="preserve"> and 2nd floors of the building known as 1430 Route 206, Bedminster, New Jersey</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 Landlord and Tenant desire to surrender approximately 2,000 square feet from Suite #200, (“Surrendered Premises”) on the terms and conditions set forth herein.</w:t>
      </w:r>
    </w:p>
    <w:p>
      <w:pPr>
        <w:spacing w:after="0" w:line="17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NOW, THEREFORE, in consideration of the mutual undertakings and covenants set forth herein, and other good and valuable consideration, the receipt and sufficiency of which is hereby acknowledged, the parties hereto, intending to be legally bound, do hereby agree as follows:</w:t>
      </w:r>
    </w:p>
    <w:p>
      <w:pPr>
        <w:spacing w:after="0" w:line="12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Landlord and Tenant hereby agree that the Effective Date of the Surrender shall be as of 11:59 p.m. on April 30, 2014 (the “Surrender Date”), subject to:</w:t>
      </w:r>
    </w:p>
    <w:p>
      <w:pPr>
        <w:spacing w:after="0" w:line="248" w:lineRule="exact"/>
        <w:rPr>
          <w:rFonts w:ascii="Arial" w:cs="Arial" w:eastAsia="Arial" w:hAnsi="Arial"/>
          <w:sz w:val="16"/>
          <w:szCs w:val="16"/>
          <w:color w:val="auto"/>
        </w:rPr>
      </w:pPr>
    </w:p>
    <w:p>
      <w:pPr>
        <w:ind w:right="280" w:firstLine="464"/>
        <w:spacing w:after="0" w:line="277" w:lineRule="auto"/>
        <w:tabs>
          <w:tab w:leader="none" w:pos="70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Tenant covenants and agrees to surrender the Premises to Landlord on or before the Surrender Date, vacant, clean and free of debris, and in good order and repair as well as otherwise in accordance with the applicable provisions of the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Landlord shall have early access to the Surrender Premises commencing April 1, 2014 in order to perform the work necessary to demise the space</w:t>
      </w:r>
    </w:p>
    <w:p>
      <w:pPr>
        <w:spacing w:after="0" w:line="237" w:lineRule="exact"/>
        <w:rPr>
          <w:sz w:val="20"/>
          <w:szCs w:val="20"/>
          <w:color w:val="auto"/>
        </w:rPr>
      </w:pPr>
    </w:p>
    <w:p>
      <w:pPr>
        <w:ind w:right="360"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Tenant’s obligations to pay any Base Rent, additional rent or other amounts due in accordance with the Lease which accrue through the Surrender Date shall survive the termination of the term of the Lease and shall remain an obligation of Tenant until fully satisfied.</w:t>
      </w:r>
    </w:p>
    <w:p>
      <w:pPr>
        <w:spacing w:after="0" w:line="170" w:lineRule="exact"/>
        <w:rPr>
          <w:rFonts w:ascii="Arial" w:cs="Arial" w:eastAsia="Arial" w:hAnsi="Arial"/>
          <w:sz w:val="18"/>
          <w:szCs w:val="18"/>
          <w:color w:val="auto"/>
        </w:rPr>
      </w:pPr>
    </w:p>
    <w:p>
      <w:pPr>
        <w:ind w:right="20" w:firstLine="8"/>
        <w:spacing w:after="0" w:line="342"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Tenant fails to surrender the Surrender Premises on or before the Surrender Date in accordance with the terms of this Agreement, then, from and after the day after the Amended Early Termination Date, Tenant shall be obligated to pay holdover rent for the Surrendered Premises in accordance with the Lease.</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May 1, 2014, Minimum Base Rent for the Demised Premises (as reduced) shall be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Square Feet</w:t>
            </w:r>
          </w:p>
        </w:tc>
        <w:tc>
          <w:tcPr>
            <w:tcW w:w="3800" w:type="dxa"/>
            <w:vAlign w:val="bottom"/>
          </w:tcPr>
          <w:p>
            <w:pPr>
              <w:spacing w:after="0"/>
              <w:rPr>
                <w:sz w:val="16"/>
                <w:szCs w:val="16"/>
                <w:color w:val="auto"/>
              </w:rPr>
            </w:pPr>
          </w:p>
        </w:tc>
        <w:tc>
          <w:tcPr>
            <w:tcW w:w="2180" w:type="dxa"/>
            <w:vAlign w:val="bottom"/>
            <w:gridSpan w:val="3"/>
          </w:tcPr>
          <w:p>
            <w:pPr>
              <w:ind w:left="580"/>
              <w:spacing w:after="0"/>
              <w:rPr>
                <w:sz w:val="20"/>
                <w:szCs w:val="20"/>
                <w:color w:val="auto"/>
              </w:rPr>
            </w:pPr>
            <w:r>
              <w:rPr>
                <w:rFonts w:ascii="Arial" w:cs="Arial" w:eastAsia="Arial" w:hAnsi="Arial"/>
                <w:sz w:val="14"/>
                <w:szCs w:val="14"/>
                <w:color w:val="auto"/>
              </w:rPr>
              <w:t>Period</w:t>
            </w:r>
          </w:p>
        </w:tc>
        <w:tc>
          <w:tcPr>
            <w:tcW w:w="1680" w:type="dxa"/>
            <w:vAlign w:val="bottom"/>
            <w:gridSpan w:val="3"/>
          </w:tcPr>
          <w:p>
            <w:pPr>
              <w:spacing w:after="0"/>
              <w:rPr>
                <w:sz w:val="20"/>
                <w:szCs w:val="20"/>
                <w:color w:val="auto"/>
              </w:rPr>
            </w:pPr>
            <w:r>
              <w:rPr>
                <w:rFonts w:ascii="Arial" w:cs="Arial" w:eastAsia="Arial" w:hAnsi="Arial"/>
                <w:sz w:val="14"/>
                <w:szCs w:val="14"/>
                <w:color w:val="auto"/>
              </w:rPr>
              <w:t>Per Square Foot $</w:t>
            </w:r>
          </w:p>
        </w:tc>
        <w:tc>
          <w:tcPr>
            <w:tcW w:w="1220" w:type="dxa"/>
            <w:vAlign w:val="bottom"/>
            <w:gridSpan w:val="3"/>
          </w:tcPr>
          <w:p>
            <w:pPr>
              <w:spacing w:after="0"/>
              <w:rPr>
                <w:sz w:val="20"/>
                <w:szCs w:val="20"/>
                <w:color w:val="auto"/>
              </w:rPr>
            </w:pPr>
            <w:r>
              <w:rPr>
                <w:rFonts w:ascii="Arial" w:cs="Arial" w:eastAsia="Arial" w:hAnsi="Arial"/>
                <w:sz w:val="14"/>
                <w:szCs w:val="14"/>
                <w:color w:val="auto"/>
              </w:rPr>
              <w:t>Monthly Base Rent</w:t>
            </w: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21,231</w:t>
            </w:r>
          </w:p>
        </w:tc>
        <w:tc>
          <w:tcPr>
            <w:tcW w:w="3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5/1/2014</w:t>
            </w:r>
          </w:p>
        </w:tc>
        <w:tc>
          <w:tcPr>
            <w:tcW w:w="7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4/30/2015</w:t>
            </w:r>
          </w:p>
        </w:tc>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27.00</w:t>
            </w: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47,769.75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21,231</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5/1/2015</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4/30/2016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27.50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48,654.38</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21,231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5/1/2016</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4/30/2017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49,539.00</w:t>
            </w:r>
          </w:p>
        </w:tc>
        <w:tc>
          <w:tcPr>
            <w:tcW w:w="100" w:type="dxa"/>
            <w:vAlign w:val="bottom"/>
            <w:shd w:val="clear" w:color="auto" w:fill="CCEEFF"/>
          </w:tcPr>
          <w:p>
            <w:pPr>
              <w:spacing w:after="0"/>
              <w:rPr>
                <w:sz w:val="18"/>
                <w:szCs w:val="18"/>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21,231</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5/1/2017</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4/30/2018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28.50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50,423.63</w:t>
            </w:r>
          </w:p>
        </w:tc>
        <w:tc>
          <w:tcPr>
            <w:tcW w:w="100" w:type="dxa"/>
            <w:vAlign w:val="bottom"/>
          </w:tcPr>
          <w:p>
            <w:pPr>
              <w:spacing w:after="0"/>
              <w:rPr>
                <w:sz w:val="20"/>
                <w:szCs w:val="20"/>
                <w:color w:val="auto"/>
              </w:rPr>
            </w:pPr>
          </w:p>
        </w:tc>
      </w:tr>
      <w:tr>
        <w:trPr>
          <w:trHeight w:val="350"/>
        </w:trPr>
        <w:tc>
          <w:tcPr>
            <w:tcW w:w="700" w:type="dxa"/>
            <w:vAlign w:val="bottom"/>
          </w:tcPr>
          <w:p>
            <w:pPr>
              <w:spacing w:after="0"/>
              <w:rPr>
                <w:sz w:val="24"/>
                <w:szCs w:val="24"/>
                <w:color w:val="auto"/>
              </w:rPr>
            </w:pPr>
          </w:p>
        </w:tc>
        <w:tc>
          <w:tcPr>
            <w:tcW w:w="4560" w:type="dxa"/>
            <w:vAlign w:val="bottom"/>
            <w:gridSpan w:val="2"/>
          </w:tcPr>
          <w:p>
            <w:pPr>
              <w:jc w:val="right"/>
              <w:ind w:right="339"/>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2" w:name="page143"/>
    <w:bookmarkEnd w:id="142"/>
    <w:p>
      <w:pPr>
        <w:ind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pay an Early Termination Fee for the Surrendered Premises, which shall be considered Additional Rent, on a monthly basis and is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color w:val="auto"/>
              </w:rPr>
              <w:t>Square Feet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9"/>
              </w:rPr>
              <w:t>Existing Per</w:t>
            </w:r>
          </w:p>
        </w:tc>
        <w:tc>
          <w:tcPr>
            <w:tcW w:w="2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Per Square</w:t>
            </w: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Monthly Base</w:t>
            </w:r>
          </w:p>
        </w:tc>
        <w:tc>
          <w:tcPr>
            <w:tcW w:w="640" w:type="dxa"/>
            <w:vAlign w:val="bottom"/>
          </w:tcPr>
          <w:p>
            <w:pPr>
              <w:jc w:val="right"/>
              <w:spacing w:after="0"/>
              <w:rPr>
                <w:sz w:val="20"/>
                <w:szCs w:val="20"/>
                <w:color w:val="auto"/>
              </w:rPr>
            </w:pPr>
            <w:r>
              <w:rPr>
                <w:rFonts w:ascii="Arial" w:cs="Arial" w:eastAsia="Arial" w:hAnsi="Arial"/>
                <w:sz w:val="14"/>
                <w:szCs w:val="14"/>
                <w:color w:val="auto"/>
                <w:w w:val="94"/>
              </w:rPr>
              <w:t>Number of</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vMerge w:val="continue"/>
          </w:tcPr>
          <w:p>
            <w:pPr>
              <w:spacing w:after="0"/>
              <w:rPr>
                <w:sz w:val="13"/>
                <w:szCs w:val="13"/>
                <w:color w:val="auto"/>
              </w:rPr>
            </w:pPr>
          </w:p>
        </w:tc>
        <w:tc>
          <w:tcPr>
            <w:tcW w:w="1720" w:type="dxa"/>
            <w:vAlign w:val="bottom"/>
            <w:gridSpan w:val="3"/>
          </w:tcPr>
          <w:p>
            <w:pPr>
              <w:ind w:left="580"/>
              <w:spacing w:after="0" w:line="154" w:lineRule="exact"/>
              <w:rPr>
                <w:sz w:val="20"/>
                <w:szCs w:val="20"/>
                <w:color w:val="auto"/>
              </w:rPr>
            </w:pPr>
            <w:r>
              <w:rPr>
                <w:rFonts w:ascii="Arial" w:cs="Arial" w:eastAsia="Arial" w:hAnsi="Arial"/>
                <w:sz w:val="14"/>
                <w:szCs w:val="14"/>
                <w:color w:val="auto"/>
              </w:rPr>
              <w:t>Period</w:t>
            </w:r>
          </w:p>
        </w:tc>
        <w:tc>
          <w:tcPr>
            <w:tcW w:w="180" w:type="dxa"/>
            <w:vAlign w:val="bottom"/>
          </w:tcPr>
          <w:p>
            <w:pPr>
              <w:spacing w:after="0"/>
              <w:rPr>
                <w:sz w:val="13"/>
                <w:szCs w:val="13"/>
                <w:color w:val="auto"/>
              </w:rPr>
            </w:pPr>
          </w:p>
        </w:tc>
        <w:tc>
          <w:tcPr>
            <w:tcW w:w="82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87"/>
              </w:rPr>
              <w:t>Square Foot $</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w w:val="90"/>
              </w:rPr>
              <w:t>Foot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Rent</w:t>
            </w:r>
          </w:p>
        </w:tc>
        <w:tc>
          <w:tcPr>
            <w:tcW w:w="640" w:type="dxa"/>
            <w:vAlign w:val="bottom"/>
          </w:tcPr>
          <w:p>
            <w:pPr>
              <w:jc w:val="right"/>
              <w:ind w:right="15"/>
              <w:spacing w:after="0" w:line="154" w:lineRule="exact"/>
              <w:rPr>
                <w:sz w:val="20"/>
                <w:szCs w:val="20"/>
                <w:color w:val="auto"/>
              </w:rPr>
            </w:pPr>
            <w:r>
              <w:rPr>
                <w:rFonts w:ascii="Arial" w:cs="Arial" w:eastAsia="Arial" w:hAnsi="Arial"/>
                <w:sz w:val="14"/>
                <w:szCs w:val="14"/>
                <w:color w:val="auto"/>
              </w:rPr>
              <w:t>Months</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ind w:left="1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jc w:val="right"/>
              <w:ind w:right="3640"/>
              <w:spacing w:after="0"/>
              <w:rPr>
                <w:sz w:val="20"/>
                <w:szCs w:val="20"/>
                <w:color w:val="auto"/>
              </w:rPr>
            </w:pPr>
            <w:r>
              <w:rPr>
                <w:rFonts w:ascii="Arial" w:cs="Arial" w:eastAsia="Arial" w:hAnsi="Arial"/>
                <w:sz w:val="18"/>
                <w:szCs w:val="18"/>
                <w:color w:val="auto"/>
              </w:rPr>
              <w:t>2,000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5/1/2014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4/30/2015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jc w:val="right"/>
              <w:ind w:right="3640"/>
              <w:spacing w:after="0"/>
              <w:rPr>
                <w:sz w:val="20"/>
                <w:szCs w:val="20"/>
                <w:color w:val="auto"/>
              </w:rPr>
            </w:pPr>
            <w:r>
              <w:rPr>
                <w:rFonts w:ascii="Arial" w:cs="Arial" w:eastAsia="Arial" w:hAnsi="Arial"/>
                <w:sz w:val="18"/>
                <w:szCs w:val="18"/>
                <w:color w:val="auto"/>
              </w:rPr>
              <w:t>2,000</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5/1/2015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4/30/2016</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12.38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2,062.50</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24,750.00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jc w:val="right"/>
              <w:ind w:right="3640"/>
              <w:spacing w:after="0"/>
              <w:rPr>
                <w:sz w:val="20"/>
                <w:szCs w:val="20"/>
                <w:color w:val="auto"/>
              </w:rPr>
            </w:pPr>
            <w:r>
              <w:rPr>
                <w:rFonts w:ascii="Arial" w:cs="Arial" w:eastAsia="Arial" w:hAnsi="Arial"/>
                <w:sz w:val="18"/>
                <w:szCs w:val="18"/>
                <w:color w:val="auto"/>
              </w:rPr>
              <w:t>2,000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5/1/2016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4/30/2017</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jc w:val="right"/>
              <w:ind w:right="3640"/>
              <w:spacing w:after="0"/>
              <w:rPr>
                <w:sz w:val="20"/>
                <w:szCs w:val="20"/>
                <w:color w:val="auto"/>
              </w:rPr>
            </w:pPr>
            <w:r>
              <w:rPr>
                <w:rFonts w:ascii="Arial" w:cs="Arial" w:eastAsia="Arial" w:hAnsi="Arial"/>
                <w:sz w:val="18"/>
                <w:szCs w:val="18"/>
                <w:color w:val="auto"/>
              </w:rPr>
              <w:t>2,000</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5/1/2017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4/30/2018</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50</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2,137.50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25,650.00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99,900.00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color w:val="auto"/>
              </w:rPr>
              <w:t>Annualized Per Month</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2,081.25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$2,081.25 Per Month Additional Rent effective May 1, 2014, any amounts previously paid in excess of the aforementioned will be issued as a credit on Tenants billing statement.</w:t>
      </w:r>
    </w:p>
    <w:p>
      <w:pPr>
        <w:spacing w:after="0" w:line="170" w:lineRule="exact"/>
        <w:rPr>
          <w:sz w:val="20"/>
          <w:szCs w:val="20"/>
          <w:color w:val="auto"/>
        </w:rPr>
      </w:pPr>
    </w:p>
    <w:p>
      <w:pPr>
        <w:ind w:right="34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hereto represent and warrant to each other that each has full right and authority to enter into this Agreement and that the person signing this Agreement on behalf of Landlord and Tenant respectively has the requisite authority for such act.</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Lease remain unchanged and in full force and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BEDMINSTER 2 FUNDING, LLC,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New Jersey limited liability company</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R. Padavano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Kurt R. Padavano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PHARMACEUTICALS IRELAND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F. Thero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&amp; CEO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b w:val="1"/>
                <w:bCs w:val="1"/>
                <w:color w:val="auto"/>
                <w:w w:val="86"/>
              </w:rPr>
              <w:t>Subsidiaries of the Registrant as of December 31, 2014</w:t>
            </w:r>
          </w:p>
        </w:tc>
      </w:tr>
      <w:tr>
        <w:trPr>
          <w:trHeight w:val="3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Jurisdiction</w:t>
            </w:r>
          </w:p>
        </w:tc>
        <w:tc>
          <w:tcPr>
            <w:tcW w:w="1020" w:type="dxa"/>
            <w:vAlign w:val="bottom"/>
          </w:tcPr>
          <w:p>
            <w:pPr>
              <w:spacing w:after="0"/>
              <w:rPr>
                <w:sz w:val="24"/>
                <w:szCs w:val="24"/>
                <w:color w:val="auto"/>
              </w:rPr>
            </w:pPr>
          </w:p>
        </w:tc>
      </w:tr>
      <w:tr>
        <w:trPr>
          <w:trHeight w:val="201"/>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Amarin Pharmaceuticals Ireland Limited</w:t>
            </w:r>
          </w:p>
        </w:tc>
        <w:tc>
          <w:tcPr>
            <w:tcW w:w="278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Ireland</w:t>
            </w:r>
          </w:p>
        </w:tc>
        <w:tc>
          <w:tcPr>
            <w:tcW w:w="102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Scotland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F-1 No. 333-163704) of Amarin Corporation plc,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F-3 No. 333-170505) of Amarin Corporation plc,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S-3 No. 333-197936) of Amarin Corporation plc,</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Nos. 333-146839, 333-143358, 333-132520, 333-110704, 333-101775, and 333-168055) pertaining to the 2002 Stock Option Plan of Amarin Corporation plc,</w:t>
      </w:r>
    </w:p>
    <w:p>
      <w:pPr>
        <w:spacing w:after="0" w:line="5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333-168054) pertaining to the 2008 Long Term Incentive Award dated May 20, 2008 issued to Mr. Tom Maher, Mr. Alan Cooke, and Dr. Declan Doogan of Amarin Corporation plc,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Registration Statement (Form S-8 Nos. 333-176877 and 333-183160) pertaining to the 2011 Stock Incentive Plan of Amarin Corporation plc,</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333-180180) ) pertaining to the Employment Inducement Award of Amarin Corporation plc,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333-84152);</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of our reports dated March 3, 2015, with respect to the consolidated financial statements of Amarin Corporation plc and the effectiveness of internal control over financial reporting of Amarin Corporation plc included in this Annual Report (Form 10-K) of Amarin Corporation plc for the year ended December 31,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333-163704 and 333-170505 on Form F-3, Registration Statement No. 333-173132 on Form S-3 and Registration Statement Nos. 333-146839, 333-143358, 333-132520, 333-110704, 333-101775, 333-84152, 333-168054, 333-176877, 333-168055, 333-180180 and 333-183160 on Form S-8 of our report dated February 27, 2014, relating to the consolidated financial statements as of December 31, 2013 and for each of the two years in the period ended December 31, 2013 of Amarin Corporation plc and subsidiaries, appearing in this Annual Report on Form 10-K of Amarin Corporation plc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2015</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Date: March 3, 2015</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Date: March 3, 2015</w:t>
            </w:r>
          </w:p>
        </w:tc>
        <w:tc>
          <w:tcPr>
            <w:tcW w:w="62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0"/>
              </w:rPr>
              <w:t>/s/ Michael J. Farrell</w:t>
            </w:r>
          </w:p>
        </w:tc>
      </w:tr>
      <w:tr>
        <w:trPr>
          <w:trHeight w:val="202"/>
        </w:trPr>
        <w:tc>
          <w:tcPr>
            <w:tcW w:w="5180" w:type="dxa"/>
            <w:vAlign w:val="bottom"/>
          </w:tcPr>
          <w:p>
            <w:pPr>
              <w:spacing w:after="0"/>
              <w:rPr>
                <w:sz w:val="17"/>
                <w:szCs w:val="17"/>
                <w:color w:val="auto"/>
              </w:rPr>
            </w:pPr>
          </w:p>
        </w:tc>
        <w:tc>
          <w:tcPr>
            <w:tcW w:w="624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1"/>
              </w:rPr>
              <w:t>Michael J. Farrell</w:t>
            </w:r>
          </w:p>
        </w:tc>
      </w:tr>
      <w:tr>
        <w:trPr>
          <w:trHeight w:val="216"/>
        </w:trPr>
        <w:tc>
          <w:tcPr>
            <w:tcW w:w="5180" w:type="dxa"/>
            <w:vAlign w:val="bottom"/>
          </w:tcPr>
          <w:p>
            <w:pPr>
              <w:spacing w:after="0"/>
              <w:rPr>
                <w:sz w:val="18"/>
                <w:szCs w:val="18"/>
                <w:color w:val="auto"/>
              </w:rPr>
            </w:pPr>
          </w:p>
        </w:tc>
        <w:tc>
          <w:tcPr>
            <w:tcW w:w="6240" w:type="dxa"/>
            <w:vAlign w:val="bottom"/>
          </w:tcPr>
          <w:p>
            <w:pPr>
              <w:jc w:val="center"/>
              <w:ind w:left="132"/>
              <w:spacing w:after="0"/>
              <w:rPr>
                <w:sz w:val="20"/>
                <w:szCs w:val="20"/>
                <w:color w:val="auto"/>
              </w:rPr>
            </w:pPr>
            <w:r>
              <w:rPr>
                <w:rFonts w:ascii="Arial" w:cs="Arial" w:eastAsia="Arial" w:hAnsi="Arial"/>
                <w:sz w:val="18"/>
                <w:szCs w:val="18"/>
                <w:color w:val="auto"/>
                <w:w w:val="87"/>
              </w:rPr>
              <w:t>Vice President, Finance</w:t>
            </w:r>
          </w:p>
        </w:tc>
      </w:tr>
      <w:tr>
        <w:trPr>
          <w:trHeight w:val="222"/>
        </w:trPr>
        <w:tc>
          <w:tcPr>
            <w:tcW w:w="5180" w:type="dxa"/>
            <w:vAlign w:val="bottom"/>
          </w:tcPr>
          <w:p>
            <w:pPr>
              <w:spacing w:after="0"/>
              <w:rPr>
                <w:sz w:val="19"/>
                <w:szCs w:val="19"/>
                <w:color w:val="auto"/>
              </w:rPr>
            </w:pPr>
          </w:p>
        </w:tc>
        <w:tc>
          <w:tcPr>
            <w:tcW w:w="6240" w:type="dxa"/>
            <w:vAlign w:val="bottom"/>
          </w:tcPr>
          <w:p>
            <w:pPr>
              <w:jc w:val="center"/>
              <w:ind w:left="132"/>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J. Farrell, Vice President, Finance (Principal Financial Officer) of the Company, each hereby certifies that, to the best of his knowledge:</w:t>
      </w:r>
    </w:p>
    <w:p>
      <w:pPr>
        <w:spacing w:after="0" w:line="62" w:lineRule="exact"/>
        <w:rPr>
          <w:sz w:val="20"/>
          <w:szCs w:val="20"/>
          <w:color w:val="auto"/>
        </w:rPr>
      </w:pPr>
    </w:p>
    <w:p>
      <w:pPr>
        <w:ind w:left="460" w:right="6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2014, to which this Certification is attached as Exhibit 32.1 (the “Annual Report”) fully complies with the requirements of Section 13(a) or 15(d) of the Securities Exchange Act;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March 3, 2015</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March 3, 2015</w:t>
            </w:r>
          </w:p>
        </w:tc>
        <w:tc>
          <w:tcPr>
            <w:tcW w:w="560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Finance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lowerRoman"/>
      <w:start w:val="4"/>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2"/>
    </w:lvl>
  </w:abstractNum>
  <w:abstractNum w:abstractNumId="26">
    <w:nsid w:val="32FFF902"/>
    <w:multiLevelType w:val="hybridMultilevel"/>
    <w:lvl w:ilvl="0">
      <w:lvlJc w:val="left"/>
      <w:lvlText w:val="(%1)"/>
      <w:numFmt w:val="lowerRoman"/>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4"/>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decimal"/>
      <w:start w:val="101"/>
    </w:lvl>
  </w:abstractNum>
  <w:abstractNum w:abstractNumId="35">
    <w:nsid w:val="70C6A529"/>
    <w:multiLevelType w:val="hybridMultilevel"/>
    <w:lvl w:ilvl="0">
      <w:lvlJc w:val="left"/>
      <w:lvlText w:val="%1"/>
      <w:numFmt w:val="decimal"/>
      <w:start w:val="101"/>
    </w:lvl>
  </w:abstractNum>
  <w:abstractNum w:abstractNumId="36">
    <w:nsid w:val="520EEDD1"/>
    <w:multiLevelType w:val="hybridMultilevel"/>
    <w:lvl w:ilvl="0">
      <w:lvlJc w:val="left"/>
      <w:lvlText w:val="%1"/>
      <w:numFmt w:val="decimal"/>
      <w:start w:val="10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2"/>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4"/>
    </w:lvl>
  </w:abstractNum>
  <w:abstractNum w:abstractNumId="44">
    <w:nsid w:val="180115BE"/>
    <w:multiLevelType w:val="hybridMultilevel"/>
    <w:lvl w:ilvl="0">
      <w:lvlJc w:val="left"/>
      <w:lvlText w:val="(%1)"/>
      <w:numFmt w:val="decimal"/>
      <w:start w:val="5"/>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8"/>
    </w:lvl>
  </w:abstractNum>
  <w:abstractNum w:abstractNumId="47">
    <w:nsid w:val="354FE9F9"/>
    <w:multiLevelType w:val="hybridMultilevel"/>
    <w:lvl w:ilvl="0">
      <w:lvlJc w:val="left"/>
      <w:lvlText w:val="(%1)"/>
      <w:numFmt w:val="decimal"/>
      <w:start w:val="9"/>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0"/>
    </w:lvl>
  </w:abstractNum>
  <w:abstractNum w:abstractNumId="51">
    <w:nsid w:val="10233C99"/>
    <w:multiLevelType w:val="hybridMultilevel"/>
    <w:lvl w:ilvl="0">
      <w:lvlJc w:val="left"/>
      <w:lvlText w:val="(%1)"/>
      <w:numFmt w:val="decimal"/>
      <w:start w:val="11"/>
    </w:lvl>
  </w:abstractNum>
  <w:abstractNum w:abstractNumId="52">
    <w:nsid w:val="3F6AB60F"/>
    <w:multiLevelType w:val="hybridMultilevel"/>
    <w:lvl w:ilvl="0">
      <w:lvlJc w:val="left"/>
      <w:lvlText w:val="(%1)"/>
      <w:numFmt w:val="decimal"/>
      <w:start w:val="12"/>
    </w:lvl>
  </w:abstractNum>
  <w:abstractNum w:abstractNumId="53">
    <w:nsid w:val="61574095"/>
    <w:multiLevelType w:val="hybridMultilevel"/>
    <w:lvl w:ilvl="0">
      <w:lvlJc w:val="left"/>
      <w:lvlText w:val="(%1)"/>
      <w:numFmt w:val="decimal"/>
      <w:start w:val="13"/>
    </w:lvl>
  </w:abstractNum>
  <w:abstractNum w:abstractNumId="54">
    <w:nsid w:val="7E0C57B1"/>
    <w:multiLevelType w:val="hybridMultilevel"/>
    <w:lvl w:ilvl="0">
      <w:lvlJc w:val="left"/>
      <w:lvlText w:val="(%1)"/>
      <w:numFmt w:val="decimal"/>
      <w:start w:val="14"/>
    </w:lvl>
  </w:abstractNum>
  <w:abstractNum w:abstractNumId="55">
    <w:nsid w:val="77AE35EB"/>
    <w:multiLevelType w:val="hybridMultilevel"/>
    <w:lvl w:ilvl="0">
      <w:lvlJc w:val="left"/>
      <w:lvlText w:val="(%1)"/>
      <w:numFmt w:val="decimal"/>
      <w:start w:val="15"/>
    </w:lvl>
  </w:abstractNum>
  <w:abstractNum w:abstractNumId="56">
    <w:nsid w:val="579BE4F1"/>
    <w:multiLevelType w:val="hybridMultilevel"/>
    <w:lvl w:ilvl="0">
      <w:lvlJc w:val="left"/>
      <w:lvlText w:val="(%1)"/>
      <w:numFmt w:val="decimal"/>
      <w:start w:val="16"/>
    </w:lvl>
  </w:abstractNum>
  <w:abstractNum w:abstractNumId="57">
    <w:nsid w:val="310C50B3"/>
    <w:multiLevelType w:val="hybridMultilevel"/>
    <w:lvl w:ilvl="0">
      <w:lvlJc w:val="left"/>
      <w:lvlText w:val="(%1)"/>
      <w:numFmt w:val="decimal"/>
      <w:start w:val="17"/>
    </w:lvl>
  </w:abstractNum>
  <w:abstractNum w:abstractNumId="58">
    <w:nsid w:val="5FF87E05"/>
    <w:multiLevelType w:val="hybridMultilevel"/>
    <w:lvl w:ilvl="0">
      <w:lvlJc w:val="left"/>
      <w:lvlText w:val="(%1)"/>
      <w:numFmt w:val="decimal"/>
      <w:start w:val="18"/>
    </w:lvl>
  </w:abstractNum>
  <w:abstractNum w:abstractNumId="59">
    <w:nsid w:val="2F305DEF"/>
    <w:multiLevelType w:val="hybridMultilevel"/>
    <w:lvl w:ilvl="0">
      <w:lvlJc w:val="left"/>
      <w:lvlText w:val="%1."/>
      <w:numFmt w:val="decimal"/>
      <w:start w:val="1"/>
    </w:lvl>
    <w:lvl w:ilvl="1">
      <w:lvlJc w:val="left"/>
      <w:lvlText w:val="(%2)"/>
      <w:numFmt w:val="lowerLetter"/>
      <w:start w:val="1"/>
    </w:lvl>
  </w:abstractNum>
  <w:abstractNum w:abstractNumId="60">
    <w:nsid w:val="25A70BF7"/>
    <w:multiLevelType w:val="hybridMultilevel"/>
    <w:lvl w:ilvl="0">
      <w:lvlJc w:val="left"/>
      <w:lvlText w:val="%1."/>
      <w:numFmt w:val="decimal"/>
      <w:start w:val="4"/>
    </w:lvl>
  </w:abstractNum>
  <w:abstractNum w:abstractNumId="61">
    <w:nsid w:val="1DBABF00"/>
    <w:multiLevelType w:val="hybridMultilevel"/>
    <w:lvl w:ilvl="0">
      <w:lvlJc w:val="left"/>
      <w:lvlText w:val="%1."/>
      <w:numFmt w:val="decimal"/>
      <w:start w:val="5"/>
    </w:lvl>
  </w:abstractNum>
  <w:abstractNum w:abstractNumId="62">
    <w:nsid w:val="4AD084E9"/>
    <w:multiLevelType w:val="hybridMultilevel"/>
    <w:lvl w:ilvl="0">
      <w:lvlJc w:val="left"/>
      <w:lvlText w:val="%1."/>
      <w:numFmt w:val="decimal"/>
      <w:start w:val="1"/>
    </w:lvl>
    <w:lvl w:ilvl="1">
      <w:lvlJc w:val="left"/>
      <w:lvlText w:val="(%2)"/>
      <w:numFmt w:val="lowerLetter"/>
      <w:start w:val="1"/>
    </w:lvl>
  </w:abstractNum>
  <w:abstractNum w:abstractNumId="63">
    <w:nsid w:val="1F48EAA1"/>
    <w:multiLevelType w:val="hybridMultilevel"/>
    <w:lvl w:ilvl="0">
      <w:lvlJc w:val="left"/>
      <w:lvlText w:val="%1."/>
      <w:numFmt w:val="decimal"/>
      <w:start w:val="2"/>
    </w:lvl>
  </w:abstractNum>
  <w:abstractNum w:abstractNumId="64">
    <w:nsid w:val="1381823A"/>
    <w:multiLevelType w:val="hybridMultilevel"/>
    <w:lvl w:ilvl="0">
      <w:lvlJc w:val="left"/>
      <w:lvlText w:val="%1."/>
      <w:numFmt w:val="decimal"/>
      <w:start w:val="5"/>
    </w:lvl>
  </w:abstractNum>
  <w:abstractNum w:abstractNumId="65">
    <w:nsid w:val="5DB70AE5"/>
    <w:multiLevelType w:val="hybridMultilevel"/>
    <w:lvl w:ilvl="0">
      <w:lvlJc w:val="left"/>
      <w:lvlText w:val="%1."/>
      <w:numFmt w:val="decimal"/>
      <w:start w:val="6"/>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2019-12-29T19:07:36Z</dcterms:created>
  <dcterms:modified xsi:type="dcterms:W3CDTF">2019-12-29T19:07:36Z</dcterms:modified>
</cp:coreProperties>
</file>